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5BC9" w14:textId="77777777" w:rsidR="002C4D54" w:rsidRPr="002C4D54" w:rsidRDefault="002C4D54" w:rsidP="002C4D54">
      <w:pPr>
        <w:shd w:val="clear" w:color="auto" w:fill="FFFFFF"/>
        <w:spacing w:before="480" w:after="120" w:line="240" w:lineRule="auto"/>
        <w:jc w:val="both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s-UY"/>
          <w14:ligatures w14:val="none"/>
        </w:rPr>
      </w:pPr>
      <w:r w:rsidRPr="002C4D54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lang w:eastAsia="es-UY"/>
          <w14:ligatures w14:val="none"/>
        </w:rPr>
        <w:t>India obligará a usar baterías en renovables para frenar el desperdicio de energía</w:t>
      </w:r>
    </w:p>
    <w:p w14:paraId="1D2A096F" w14:textId="77777777" w:rsidR="002C4D54" w:rsidRPr="002C4D54" w:rsidRDefault="002C4D54" w:rsidP="002C4D54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lang w:eastAsia="es-UY"/>
          <w14:ligatures w14:val="none"/>
        </w:rPr>
      </w:pP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Millones de kilovatios limpios se pierden a diario por la incapacidad de la red para absorber los picos de producción solar y eólica. Para cortar de raíz este enorme desperdicio energético, </w:t>
      </w:r>
      <w:r w:rsidRPr="002C4D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India exigirá que todas las nuevas plantas renovables incorporen sistemas de almacenamiento en baterías a partir de julio de 2027</w:t>
      </w: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. Esta medida busca capturar la energía sobrante que hoy se pierde y transformarla en una reserva estratégica para </w:t>
      </w:r>
      <w:r w:rsidRPr="002C4D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estabilizar la red eléctrica nacional</w:t>
      </w: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, garantizando un </w:t>
      </w:r>
      <w:r w:rsidRPr="002C4D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suministro continuo durante las horas de mayor demanda</w:t>
      </w: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sin recurrir a combustibles fósiles.</w:t>
      </w:r>
    </w:p>
    <w:p w14:paraId="70B8B1E0" w14:textId="77777777" w:rsidR="002C4D54" w:rsidRPr="002C4D54" w:rsidRDefault="002C4D54" w:rsidP="002C4D54">
      <w:pPr>
        <w:shd w:val="clear" w:color="auto" w:fill="FFFFFF"/>
        <w:spacing w:before="360" w:after="80" w:line="240" w:lineRule="auto"/>
        <w:jc w:val="both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2C4D54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>Un impulso estratégico para la estabilidad energética</w:t>
      </w:r>
    </w:p>
    <w:p w14:paraId="788CD44F" w14:textId="77777777" w:rsidR="002C4D54" w:rsidRPr="002C4D54" w:rsidRDefault="002C4D54" w:rsidP="002C4D54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lang w:eastAsia="es-UY"/>
          <w14:ligatures w14:val="none"/>
        </w:rPr>
      </w:pP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El Ministerio de Energía de India plantea un nuevo marco operativo para optimizar la integración de las energías limpias a través de los siguientes puntos clave:</w:t>
      </w:r>
    </w:p>
    <w:p w14:paraId="4DB9D74E" w14:textId="77777777" w:rsidR="002C4D54" w:rsidRPr="002C4D54" w:rsidRDefault="002C4D54" w:rsidP="002C4D54">
      <w:pPr>
        <w:numPr>
          <w:ilvl w:val="0"/>
          <w:numId w:val="1"/>
        </w:numPr>
        <w:spacing w:before="240" w:after="0" w:line="240" w:lineRule="auto"/>
        <w:ind w:left="945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</w:pP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Los desarrolladores deberán </w:t>
      </w:r>
      <w:r w:rsidRPr="002C4D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incorporar almacenamiento equivalentemente dimensionado</w:t>
      </w: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para capturar el excedente de producción durante las horas de máxima generación solar y eólica.</w:t>
      </w:r>
    </w:p>
    <w:p w14:paraId="6D85A7DF" w14:textId="77777777" w:rsidR="002C4D54" w:rsidRPr="002C4D54" w:rsidRDefault="002C4D54" w:rsidP="002C4D54">
      <w:pPr>
        <w:numPr>
          <w:ilvl w:val="0"/>
          <w:numId w:val="1"/>
        </w:numPr>
        <w:spacing w:after="0" w:line="240" w:lineRule="auto"/>
        <w:ind w:left="945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</w:pP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Esta política </w:t>
      </w:r>
      <w:r w:rsidRPr="002C4D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mitiga la variabilidad de la red</w:t>
      </w: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y garantiza una integración fluida de las fuentes renovables en el sistema eléctrico.</w:t>
      </w:r>
    </w:p>
    <w:p w14:paraId="3B85FC5D" w14:textId="77777777" w:rsidR="002C4D54" w:rsidRPr="002C4D54" w:rsidRDefault="002C4D54" w:rsidP="002C4D54">
      <w:pPr>
        <w:numPr>
          <w:ilvl w:val="0"/>
          <w:numId w:val="1"/>
        </w:numPr>
        <w:spacing w:after="0" w:line="240" w:lineRule="auto"/>
        <w:ind w:left="945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</w:pP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La infraestructura de respaldo es crucial para </w:t>
      </w:r>
      <w:r w:rsidRPr="002C4D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prevenir apagones a medida que aumenta el volumen de generación limpia</w:t>
      </w: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y asegurar que el</w:t>
      </w:r>
      <w:hyperlink r:id="rId5" w:tgtFrame="_blank" w:history="1">
        <w:r w:rsidRPr="002C4D54">
          <w:rPr>
            <w:rFonts w:ascii="Arial" w:eastAsia="Times New Roman" w:hAnsi="Arial" w:cs="Arial"/>
            <w:color w:val="000000"/>
            <w:kern w:val="0"/>
            <w:sz w:val="20"/>
            <w:szCs w:val="20"/>
            <w:lang w:eastAsia="es-UY"/>
            <w14:ligatures w14:val="none"/>
          </w:rPr>
          <w:t xml:space="preserve"> </w:t>
        </w:r>
        <w:r w:rsidRPr="002C4D54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precio de la luz</w:t>
        </w:r>
      </w:hyperlink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no sufra fluctuaciones drásticas.</w:t>
      </w:r>
    </w:p>
    <w:p w14:paraId="1E2F5A6C" w14:textId="77777777" w:rsidR="002C4D54" w:rsidRPr="002C4D54" w:rsidRDefault="002C4D54" w:rsidP="002C4D54">
      <w:pPr>
        <w:numPr>
          <w:ilvl w:val="0"/>
          <w:numId w:val="1"/>
        </w:numPr>
        <w:spacing w:after="240" w:line="240" w:lineRule="auto"/>
        <w:ind w:left="945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</w:pP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Las autoridades prevén que la adopción masiva de almacenamiento </w:t>
      </w:r>
      <w:r w:rsidRPr="002C4D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reduzca los costes tecnológicos a largo plazo</w:t>
      </w: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</w:t>
      </w:r>
    </w:p>
    <w:p w14:paraId="19ACA486" w14:textId="77777777" w:rsidR="002C4D54" w:rsidRPr="002C4D54" w:rsidRDefault="002C4D54" w:rsidP="002C4D54">
      <w:pPr>
        <w:shd w:val="clear" w:color="auto" w:fill="FFFFFF"/>
        <w:spacing w:before="360" w:after="80" w:line="240" w:lineRule="auto"/>
        <w:jc w:val="both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2C4D54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>Impacto en los objetivos globales de descarbonización</w:t>
      </w:r>
    </w:p>
    <w:p w14:paraId="0F306081" w14:textId="77777777" w:rsidR="002C4D54" w:rsidRPr="002C4D54" w:rsidRDefault="002C4D54" w:rsidP="002C4D54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lang w:eastAsia="es-UY"/>
          <w14:ligatures w14:val="none"/>
        </w:rPr>
      </w:pP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La iniciativa forma parte del compromiso de India de </w:t>
      </w:r>
      <w:r w:rsidRPr="002C4D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alcanzar 500 gigavatios de capacidad energética no fósil para 2030</w:t>
      </w: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y acelerar la descarbonización de su economía. Reducir las emisiones del sector eléctrico es una prioridad clave para limitar la</w:t>
      </w:r>
      <w:hyperlink r:id="rId6" w:tgtFrame="_blank" w:history="1">
        <w:r w:rsidRPr="002C4D54">
          <w:rPr>
            <w:rFonts w:ascii="Arial" w:eastAsia="Times New Roman" w:hAnsi="Arial" w:cs="Arial"/>
            <w:color w:val="000000"/>
            <w:kern w:val="0"/>
            <w:sz w:val="20"/>
            <w:szCs w:val="20"/>
            <w:lang w:eastAsia="es-UY"/>
            <w14:ligatures w14:val="none"/>
          </w:rPr>
          <w:t xml:space="preserve"> </w:t>
        </w:r>
        <w:r w:rsidRPr="002C4D54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huella de carbono</w:t>
        </w:r>
      </w:hyperlink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a escala global, ya que el país busca equilibrar su rápido crecimiento industrial con sus metas climáticas internacionales. Este mandato </w:t>
      </w:r>
      <w:r w:rsidRPr="002C4D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reforzará la fiabilidad de las</w:t>
      </w:r>
      <w:hyperlink r:id="rId7" w:tgtFrame="_blank" w:history="1">
        <w:r w:rsidRPr="002C4D54">
          <w:rPr>
            <w:rFonts w:ascii="Arial" w:eastAsia="Times New Roman" w:hAnsi="Arial" w:cs="Arial"/>
            <w:b/>
            <w:bCs/>
            <w:color w:val="000000"/>
            <w:kern w:val="0"/>
            <w:sz w:val="20"/>
            <w:szCs w:val="20"/>
            <w:lang w:eastAsia="es-UY"/>
            <w14:ligatures w14:val="none"/>
          </w:rPr>
          <w:t xml:space="preserve"> </w:t>
        </w:r>
        <w:r w:rsidRPr="002C4D54">
          <w:rPr>
            <w:rFonts w:ascii="Arial" w:eastAsia="Times New Roman" w:hAnsi="Arial" w:cs="Arial"/>
            <w:b/>
            <w:bCs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energías renovables</w:t>
        </w:r>
      </w:hyperlink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dentro de la red nacional, demostrando que las grandes economías emergentes pueden operar infraestructuras de energía limpia de forma masiva sin comprometer la seguridad energética.</w:t>
      </w:r>
    </w:p>
    <w:p w14:paraId="4DF2F4B4" w14:textId="77777777" w:rsidR="002C4D54" w:rsidRPr="002C4D54" w:rsidRDefault="002C4D54" w:rsidP="002C4D54">
      <w:pPr>
        <w:shd w:val="clear" w:color="auto" w:fill="FFFFFF"/>
        <w:spacing w:before="360" w:after="80" w:line="240" w:lineRule="auto"/>
        <w:jc w:val="both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UY"/>
          <w14:ligatures w14:val="none"/>
        </w:rPr>
      </w:pPr>
      <w:r w:rsidRPr="002C4D54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:lang w:eastAsia="es-UY"/>
          <w14:ligatures w14:val="none"/>
        </w:rPr>
        <w:t>Hacia un modelo sostenible de desarrollo global</w:t>
      </w:r>
    </w:p>
    <w:p w14:paraId="7CA26DEF" w14:textId="77777777" w:rsidR="002C4D54" w:rsidRPr="002C4D54" w:rsidRDefault="002C4D54" w:rsidP="002C4D54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222222"/>
          <w:kern w:val="0"/>
          <w:lang w:eastAsia="es-UY"/>
          <w14:ligatures w14:val="none"/>
        </w:rPr>
      </w:pP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El avance indio refleja la urgencia de adoptar medidas efectivas frente al</w:t>
      </w:r>
      <w:hyperlink r:id="rId8" w:tgtFrame="_blank" w:history="1">
        <w:r w:rsidRPr="002C4D54">
          <w:rPr>
            <w:rFonts w:ascii="Arial" w:eastAsia="Times New Roman" w:hAnsi="Arial" w:cs="Arial"/>
            <w:color w:val="000000"/>
            <w:kern w:val="0"/>
            <w:sz w:val="20"/>
            <w:szCs w:val="20"/>
            <w:lang w:eastAsia="es-UY"/>
            <w14:ligatures w14:val="none"/>
          </w:rPr>
          <w:t xml:space="preserve"> </w:t>
        </w:r>
        <w:r w:rsidRPr="002C4D54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cambio climático</w:t>
        </w:r>
      </w:hyperlink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, mostrando que </w:t>
      </w:r>
      <w:r w:rsidRPr="002C4D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la modernización de la red es tan importante como la instalación de nuevos paneles</w:t>
      </w: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o aerogeneradores. La integración de baterías facilitará también la electrificación de otros sectores estratégicos, en consonancia con las tendencias globales en</w:t>
      </w:r>
      <w:hyperlink r:id="rId9" w:tgtFrame="_blank" w:history="1">
        <w:r w:rsidRPr="002C4D54">
          <w:rPr>
            <w:rFonts w:ascii="Arial" w:eastAsia="Times New Roman" w:hAnsi="Arial" w:cs="Arial"/>
            <w:color w:val="000000"/>
            <w:kern w:val="0"/>
            <w:sz w:val="20"/>
            <w:szCs w:val="20"/>
            <w:lang w:eastAsia="es-UY"/>
            <w14:ligatures w14:val="none"/>
          </w:rPr>
          <w:t xml:space="preserve"> </w:t>
        </w:r>
        <w:r w:rsidRPr="002C4D54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movilidad sostenible</w:t>
        </w:r>
      </w:hyperlink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 xml:space="preserve"> y consumo eficiente. Con esta propuesta regulatoria, India sienta un precedente para otros países en desarrollo, demostrando que </w:t>
      </w:r>
      <w:r w:rsidRPr="002C4D5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el almacenamiento a gran escala es la columna vertebral de la transición energética del futuro</w:t>
      </w: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t>.</w:t>
      </w:r>
    </w:p>
    <w:p w14:paraId="7E607423" w14:textId="77777777" w:rsidR="002C4D54" w:rsidRPr="002C4D54" w:rsidRDefault="002C4D54" w:rsidP="002C4D5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lang w:eastAsia="es-UY"/>
          <w14:ligatures w14:val="none"/>
        </w:rPr>
      </w:pPr>
      <w:r w:rsidRPr="002C4D54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lastRenderedPageBreak/>
        <w:t xml:space="preserve">Fuente: </w:t>
      </w:r>
      <w:hyperlink r:id="rId10" w:tgtFrame="_blank" w:history="1">
        <w:r w:rsidRPr="002C4D54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papernest.es</w:t>
        </w:r>
      </w:hyperlink>
    </w:p>
    <w:p w14:paraId="4A4616E8" w14:textId="77777777" w:rsidR="002C4D54" w:rsidRDefault="002C4D54"/>
    <w:sectPr w:rsidR="002C4D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17FDB"/>
    <w:multiLevelType w:val="multilevel"/>
    <w:tmpl w:val="616E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35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54"/>
    <w:rsid w:val="002C4D54"/>
    <w:rsid w:val="004E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72CAB"/>
  <w15:chartTrackingRefBased/>
  <w15:docId w15:val="{AA80364A-AC31-475A-B6B2-1558D9A6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C4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4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4D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4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4D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4D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4D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4D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4D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4D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4D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4D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4D5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4D5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4D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4D5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4D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4D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4D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4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4D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4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4D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4D5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4D5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4D5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4D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4D5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4D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pernest.es/info/renovables/cambio-climatic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pernest.es/info/renovable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apernest.es/info/huella-carbono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papernest.es/precio-de-la-luz/hoy/" TargetMode="External"/><Relationship Id="rId10" Type="http://schemas.openxmlformats.org/officeDocument/2006/relationships/hyperlink" Target="https://www.papernest.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pernest.es/energias-renovables/movilidad-sostenibl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2026-09-15T13:14:00Z</dcterms:created>
  <dcterms:modified xsi:type="dcterms:W3CDTF">2026-09-15T13:14:00Z</dcterms:modified>
</cp:coreProperties>
</file>