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B02B4" w14:textId="116C1680" w:rsidR="003F799B" w:rsidRPr="00D64D96" w:rsidRDefault="003F799B" w:rsidP="003F799B">
      <w:pPr>
        <w:spacing w:after="0" w:line="240" w:lineRule="auto"/>
        <w:textAlignment w:val="center"/>
        <w:rPr>
          <w:rFonts w:ascii="Times New Roman" w:eastAsia="Times New Roman" w:hAnsi="Times New Roman" w:cs="Times New Roman"/>
          <w:caps/>
          <w:color w:val="B0B1B4"/>
          <w:kern w:val="0"/>
          <w:sz w:val="24"/>
          <w:szCs w:val="24"/>
          <w:lang w:eastAsia="pt-PT"/>
          <w14:ligatures w14:val="none"/>
        </w:rPr>
      </w:pPr>
    </w:p>
    <w:p w14:paraId="662C8DCA" w14:textId="4E5FE9FC" w:rsidR="0047295B" w:rsidRPr="00D64D96" w:rsidRDefault="00F46BA1" w:rsidP="0047295B">
      <w:pPr>
        <w:spacing w:after="75" w:line="570" w:lineRule="atLeast"/>
        <w:jc w:val="center"/>
        <w:textAlignment w:val="top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PT"/>
          <w14:ligatures w14:val="none"/>
        </w:rPr>
      </w:pPr>
      <w:r w:rsidRPr="00D64D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PT"/>
          <w14:ligatures w14:val="none"/>
        </w:rPr>
        <w:t xml:space="preserve">RELATÓRIO DO CONSELHO NACIONAL </w:t>
      </w:r>
      <w:r w:rsidR="00A35605" w:rsidRPr="00D64D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PT"/>
          <w14:ligatures w14:val="none"/>
        </w:rPr>
        <w:t>DOS DIREITOS HUMANOS DO BRASIL</w:t>
      </w:r>
    </w:p>
    <w:p w14:paraId="4E50840C" w14:textId="77777777" w:rsidR="003F799B" w:rsidRPr="00D64D96" w:rsidRDefault="003F799B" w:rsidP="00763EF6">
      <w:pPr>
        <w:spacing w:after="0" w:line="276" w:lineRule="auto"/>
        <w:jc w:val="both"/>
        <w:textAlignment w:val="top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PT"/>
          <w14:ligatures w14:val="none"/>
        </w:rPr>
      </w:pPr>
    </w:p>
    <w:p w14:paraId="2982EBF4" w14:textId="527A65B5" w:rsidR="003F799B" w:rsidRPr="00D64D96" w:rsidRDefault="00CE1879" w:rsidP="004F6C1D">
      <w:pPr>
        <w:spacing w:after="0" w:line="276" w:lineRule="auto"/>
        <w:jc w:val="both"/>
        <w:textAlignment w:val="top"/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“</w:t>
      </w:r>
      <w:r w:rsidR="003F799B" w:rsidRPr="00D64D96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A violência praticada por agentes de segurança pública aparece no </w:t>
      </w:r>
      <w:hyperlink r:id="rId5" w:history="1">
        <w:r w:rsidR="003F799B" w:rsidRPr="00D64D96">
          <w:rPr>
            <w:rFonts w:ascii="Times New Roman" w:eastAsia="Times New Roman" w:hAnsi="Times New Roman" w:cs="Times New Roman"/>
            <w:kern w:val="0"/>
            <w:sz w:val="24"/>
            <w:szCs w:val="24"/>
            <w:bdr w:val="none" w:sz="0" w:space="0" w:color="auto" w:frame="1"/>
            <w:lang w:eastAsia="pt-PT"/>
            <w14:ligatures w14:val="none"/>
          </w:rPr>
          <w:t>relatório do Conselho Nacional dos Direitos Humanos (CNDH)</w:t>
        </w:r>
      </w:hyperlink>
      <w:r w:rsidR="003F799B" w:rsidRPr="00D64D96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 como um dos componentes do quadro de violência letal contra os povos indígenas entre 2020 </w:t>
      </w:r>
      <w:r w:rsidR="0035399E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a</w:t>
      </w:r>
      <w:r w:rsidR="003F799B" w:rsidRPr="00D64D96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2026. O documento, publicado neste mês de agosto, destaca assassinatos cometidos diretamente por policiais, operações contra retomadas territoriais, denúncias de participação ou proteção de agentes públicos a grupos privados e episódios em que policiais estavam presentes diante de ataques sem impedir a violência.</w:t>
      </w:r>
      <w:r w:rsidR="00763EF6" w:rsidRPr="00D64D96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</w:t>
      </w:r>
      <w:r w:rsidR="003F799B" w:rsidRPr="00D64D96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O relatório reúne dados oficiais e informações produzidas pelo Conselho Indigenista Missionário (Cimi), </w:t>
      </w:r>
      <w:hyperlink r:id="rId6" w:history="1">
        <w:r w:rsidR="003F799B" w:rsidRPr="00D64D96">
          <w:rPr>
            <w:rFonts w:ascii="Times New Roman" w:eastAsia="Times New Roman" w:hAnsi="Times New Roman" w:cs="Times New Roman"/>
            <w:kern w:val="0"/>
            <w:sz w:val="24"/>
            <w:szCs w:val="24"/>
            <w:bdr w:val="none" w:sz="0" w:space="0" w:color="auto" w:frame="1"/>
            <w:lang w:eastAsia="pt-PT"/>
            <w14:ligatures w14:val="none"/>
          </w:rPr>
          <w:t>a partir do relatório Violência Contra os Povos Indígenas no Brasil – Dados 2025</w:t>
        </w:r>
      </w:hyperlink>
      <w:r w:rsidR="003F799B" w:rsidRPr="00D64D96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, para reconstruir a evolução dos homicídios no período. Entre 2020 e 2024, a soma dos </w:t>
      </w:r>
      <w:r w:rsidR="00763EF6" w:rsidRPr="00D64D96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registos</w:t>
      </w:r>
      <w:r w:rsidR="003F799B" w:rsidRPr="00D64D96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oficiais utilizados pelo CNDH chega a 957 assassinatos de indígenas: 182 em 2020, 176 em 2021, 180 em 2022, 208 em 2023 e 211 em 2024. O cálculo representa uma média superior a 190 mortes por ano, ou mais de uma morte a cada dois dias.</w:t>
      </w:r>
      <w:r w:rsidR="00C17B7E" w:rsidRPr="00D64D96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</w:t>
      </w:r>
      <w:r w:rsidR="003F799B" w:rsidRPr="00D64D96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O número do CNDH não corresponde, entretanto, à quantidade de casos individualmente documentados pelo Cimi. Nas mesmas cinco edições, o Cimi </w:t>
      </w:r>
      <w:r w:rsidR="00763EF6" w:rsidRPr="00D64D96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registou</w:t>
      </w:r>
      <w:r w:rsidR="003F799B" w:rsidRPr="00D64D96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45 vítimas em 2020, 77 em 2021, 69 em 2022, 88 em 2023 e 55 em 2024, num total de 334 vítimas. A diferença não representa necessariamente divergência sobre os mesmos fatos, mas decorre principalmente da metodologia.</w:t>
      </w:r>
      <w:r w:rsidR="004F6C1D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</w:t>
      </w:r>
      <w:r w:rsidR="003F799B" w:rsidRPr="00D64D96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O próprio CNDH reconhece que os </w:t>
      </w:r>
      <w:r w:rsidR="00763EF6" w:rsidRPr="00D64D96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registos</w:t>
      </w:r>
      <w:r w:rsidR="003F799B" w:rsidRPr="00D64D96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oficiais são parciais, estão sujeitos a atualização e podem subestimar a realidade, especialmente porque nem sempre alcançam indígenas que vivem em contexto urbano, acampamentos e retomadas. Na avaliação do CNDH, o cruzamento com os </w:t>
      </w:r>
      <w:r w:rsidR="00763EF6" w:rsidRPr="00D64D96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registos</w:t>
      </w:r>
      <w:r w:rsidR="003F799B" w:rsidRPr="00D64D96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do Cimi ajuda justamente a revelar aquilo que os bancos estatísticos não explicam: motivações, circunstâncias e padrões de violência.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”</w:t>
      </w:r>
      <w:r w:rsidR="00AC6C1A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, assim começa o relatório do Cimi sobre os crimes praticados </w:t>
      </w:r>
      <w:r w:rsidR="006B4676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de 2020 a 2026, do relatório citado</w:t>
      </w:r>
      <w:r w:rsidR="00B12A38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.</w:t>
      </w:r>
    </w:p>
    <w:p w14:paraId="6F3CFEC7" w14:textId="77777777" w:rsidR="00AC6C1A" w:rsidRPr="00D64D96" w:rsidRDefault="00AC6C1A" w:rsidP="004F6C1D">
      <w:pPr>
        <w:spacing w:after="0" w:line="276" w:lineRule="auto"/>
        <w:jc w:val="both"/>
        <w:textAlignment w:val="top"/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</w:pPr>
    </w:p>
    <w:p w14:paraId="5B64491B" w14:textId="1E79F021" w:rsidR="008501B1" w:rsidRDefault="00BF0E0D" w:rsidP="00763EF6">
      <w:pPr>
        <w:spacing w:after="0" w:line="276" w:lineRule="auto"/>
        <w:jc w:val="both"/>
        <w:textAlignment w:val="top"/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pt-P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Os povos vitimas </w:t>
      </w:r>
      <w:r w:rsidR="00A941D6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desta violência </w:t>
      </w:r>
      <w:r w:rsidR="004022A7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como</w:t>
      </w:r>
      <w:r w:rsidR="00A941D6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o</w:t>
      </w:r>
      <w:r w:rsidR="009D1D5D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s</w:t>
      </w:r>
      <w:r w:rsidR="009324A8" w:rsidRPr="009D713A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Chiquitanos ou monkox são um povo </w:t>
      </w:r>
      <w:hyperlink r:id="rId7" w:tooltip="ameríndio" w:history="1">
        <w:r w:rsidR="009324A8" w:rsidRPr="009D713A">
          <w:rPr>
            <w:rFonts w:ascii="Times New Roman" w:eastAsia="Times New Roman" w:hAnsi="Times New Roman" w:cs="Times New Roman"/>
            <w:kern w:val="0"/>
            <w:sz w:val="24"/>
            <w:szCs w:val="24"/>
            <w:lang w:eastAsia="pt-PT"/>
            <w14:ligatures w14:val="none"/>
          </w:rPr>
          <w:t>ameríndio</w:t>
        </w:r>
      </w:hyperlink>
      <w:r w:rsidR="009324A8" w:rsidRPr="009D713A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 , nativo da </w:t>
      </w:r>
      <w:hyperlink r:id="rId8" w:tooltip="Llanos de Chiquitos" w:history="1">
        <w:r w:rsidR="009324A8" w:rsidRPr="009D713A">
          <w:rPr>
            <w:rFonts w:ascii="Times New Roman" w:eastAsia="Times New Roman" w:hAnsi="Times New Roman" w:cs="Times New Roman"/>
            <w:kern w:val="0"/>
            <w:sz w:val="24"/>
            <w:szCs w:val="24"/>
            <w:lang w:eastAsia="pt-PT"/>
            <w14:ligatures w14:val="none"/>
          </w:rPr>
          <w:t>Chiquitanía</w:t>
        </w:r>
      </w:hyperlink>
      <w:r w:rsidR="009324A8" w:rsidRPr="009D713A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 , uma savana tropical no </w:t>
      </w:r>
      <w:hyperlink r:id="rId9" w:tooltip="Departamento de Santa Cruz (Bolívia)" w:history="1">
        <w:r w:rsidR="009324A8" w:rsidRPr="009D713A">
          <w:rPr>
            <w:rFonts w:ascii="Times New Roman" w:eastAsia="Times New Roman" w:hAnsi="Times New Roman" w:cs="Times New Roman"/>
            <w:kern w:val="0"/>
            <w:sz w:val="24"/>
            <w:szCs w:val="24"/>
            <w:lang w:eastAsia="pt-PT"/>
            <w14:ligatures w14:val="none"/>
          </w:rPr>
          <w:t>departamento de Santa Cruz</w:t>
        </w:r>
      </w:hyperlink>
      <w:r w:rsidR="009324A8" w:rsidRPr="009D713A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 , </w:t>
      </w:r>
      <w:hyperlink r:id="rId10" w:tooltip="Bolívia" w:history="1">
        <w:r w:rsidR="009324A8" w:rsidRPr="009D713A">
          <w:rPr>
            <w:rFonts w:ascii="Times New Roman" w:eastAsia="Times New Roman" w:hAnsi="Times New Roman" w:cs="Times New Roman"/>
            <w:kern w:val="0"/>
            <w:sz w:val="24"/>
            <w:szCs w:val="24"/>
            <w:lang w:eastAsia="pt-PT"/>
            <w14:ligatures w14:val="none"/>
          </w:rPr>
          <w:t>Bolívia</w:t>
        </w:r>
      </w:hyperlink>
      <w:r w:rsidR="009324A8" w:rsidRPr="009D713A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 . Minorias residem na cidade de </w:t>
      </w:r>
      <w:hyperlink r:id="rId11" w:tooltip="Santa Cruz de la Sierra" w:history="1">
        <w:r w:rsidR="009324A8" w:rsidRPr="009D713A">
          <w:rPr>
            <w:rFonts w:ascii="Times New Roman" w:eastAsia="Times New Roman" w:hAnsi="Times New Roman" w:cs="Times New Roman"/>
            <w:kern w:val="0"/>
            <w:sz w:val="24"/>
            <w:szCs w:val="24"/>
            <w:lang w:eastAsia="pt-PT"/>
            <w14:ligatures w14:val="none"/>
          </w:rPr>
          <w:t>Santa Cruz de la Sierra</w:t>
        </w:r>
      </w:hyperlink>
      <w:r w:rsidR="009324A8" w:rsidRPr="009D713A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 , no </w:t>
      </w:r>
      <w:hyperlink r:id="rId12" w:tooltip="Departamento Beni" w:history="1">
        <w:r w:rsidR="009324A8" w:rsidRPr="009D713A">
          <w:rPr>
            <w:rFonts w:ascii="Times New Roman" w:eastAsia="Times New Roman" w:hAnsi="Times New Roman" w:cs="Times New Roman"/>
            <w:kern w:val="0"/>
            <w:sz w:val="24"/>
            <w:szCs w:val="24"/>
            <w:lang w:eastAsia="pt-PT"/>
            <w14:ligatures w14:val="none"/>
          </w:rPr>
          <w:t>departamento de Beni</w:t>
        </w:r>
      </w:hyperlink>
      <w:r w:rsidR="009324A8" w:rsidRPr="009D713A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 , Bolívia, e também no estado de </w:t>
      </w:r>
      <w:hyperlink r:id="rId13" w:tooltip="Mato Grosso" w:history="1">
        <w:r w:rsidR="009324A8" w:rsidRPr="009D713A">
          <w:rPr>
            <w:rFonts w:ascii="Times New Roman" w:eastAsia="Times New Roman" w:hAnsi="Times New Roman" w:cs="Times New Roman"/>
            <w:kern w:val="0"/>
            <w:sz w:val="24"/>
            <w:szCs w:val="24"/>
            <w:lang w:eastAsia="pt-PT"/>
            <w14:ligatures w14:val="none"/>
          </w:rPr>
          <w:t>Mato Grosso</w:t>
        </w:r>
      </w:hyperlink>
      <w:r w:rsidR="009324A8" w:rsidRPr="009D713A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 , </w:t>
      </w:r>
      <w:hyperlink r:id="rId14" w:tooltip="Brasil" w:history="1">
        <w:r w:rsidR="009324A8" w:rsidRPr="009D713A">
          <w:rPr>
            <w:rFonts w:ascii="Times New Roman" w:eastAsia="Times New Roman" w:hAnsi="Times New Roman" w:cs="Times New Roman"/>
            <w:kern w:val="0"/>
            <w:sz w:val="24"/>
            <w:szCs w:val="24"/>
            <w:lang w:eastAsia="pt-PT"/>
            <w14:ligatures w14:val="none"/>
          </w:rPr>
          <w:t>Brasil</w:t>
        </w:r>
      </w:hyperlink>
      <w:r w:rsidR="009324A8" w:rsidRPr="009D713A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 . Aproximadamente vinte mil falam a língua </w:t>
      </w:r>
      <w:hyperlink r:id="rId15" w:tooltip="Língua Chiquitano" w:history="1">
        <w:r w:rsidR="009324A8" w:rsidRPr="009D713A">
          <w:rPr>
            <w:rFonts w:ascii="Times New Roman" w:eastAsia="Times New Roman" w:hAnsi="Times New Roman" w:cs="Times New Roman"/>
            <w:kern w:val="0"/>
            <w:sz w:val="24"/>
            <w:szCs w:val="24"/>
            <w:lang w:eastAsia="pt-PT"/>
            <w14:ligatures w14:val="none"/>
          </w:rPr>
          <w:t>Chiquitano</w:t>
        </w:r>
      </w:hyperlink>
      <w:r w:rsidR="00C01C9E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. </w:t>
      </w:r>
      <w:r w:rsidR="00711552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As lendas deste povo são famosas</w:t>
      </w:r>
      <w:r w:rsidR="0066324E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. </w:t>
      </w:r>
      <w:r w:rsidR="009324A8" w:rsidRPr="00997E19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O povo Chiquitano considera a lua uma divindade que influencia suas colheitas; </w:t>
      </w:r>
      <w:r w:rsidR="00A41879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o </w:t>
      </w:r>
      <w:r w:rsidR="009324A8" w:rsidRPr="00997E19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seu desaparecimento colocaria em risco </w:t>
      </w:r>
      <w:r w:rsidR="003E20B3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a sua</w:t>
      </w:r>
      <w:r w:rsidR="009324A8" w:rsidRPr="00997E19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</w:t>
      </w:r>
      <w:r w:rsidR="003E20B3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alimentação</w:t>
      </w:r>
      <w:r w:rsidR="009324A8" w:rsidRPr="00997E19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.</w:t>
      </w:r>
      <w:r w:rsidR="00000C1A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A</w:t>
      </w:r>
      <w:r w:rsidR="009324A8" w:rsidRPr="00997E19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 Pama Kuara significa "lua brilhante" em Besiro. Essa palavra pode se referir à lua cheia ou aos eclipses lunares. </w:t>
      </w:r>
      <w:r w:rsidR="009324A8" w:rsidRPr="009324A8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Para o povo Chiquitano, após a morte do corpo, a Alma Sombra viaja para um paraíso e depois retorna à terra para habitar outro corpo. No entanto, há momentos em que ela deseja retornar ao corpo morto, então permanece vagando pela terra. Nesses casos, a Alma Sombra é considerada um perigo para as pessoas, e a intervenção de um xamã é necessária para convencê-la a deixar a terra.</w:t>
      </w:r>
      <w:r w:rsidR="0066324E" w:rsidRPr="0066324E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</w:t>
      </w:r>
      <w:r w:rsidR="006F689C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Os povos Guarani e Kai</w:t>
      </w:r>
      <w:r w:rsidR="009828F3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owá</w:t>
      </w:r>
      <w:r w:rsidR="009B2A62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pt-PT"/>
          <w14:ligatures w14:val="none"/>
        </w:rPr>
        <w:t>, usa</w:t>
      </w:r>
      <w:r w:rsidR="007C03B3" w:rsidRPr="00C83275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pt-PT"/>
          <w14:ligatures w14:val="none"/>
        </w:rPr>
        <w:t xml:space="preserve"> linguagem que define identidade na comunicação</w:t>
      </w:r>
      <w:r w:rsidR="005B3D93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pt-PT"/>
          <w14:ligatures w14:val="none"/>
        </w:rPr>
        <w:t>, uma significância muito grande aos</w:t>
      </w:r>
      <w:r w:rsidR="007C03B3" w:rsidRPr="00C83275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pt-PT"/>
          <w14:ligatures w14:val="none"/>
        </w:rPr>
        <w:t xml:space="preserve"> ancestrais míticos comuns e </w:t>
      </w:r>
      <w:r w:rsidR="003B3C37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pt-PT"/>
          <w14:ligatures w14:val="none"/>
        </w:rPr>
        <w:t xml:space="preserve">um </w:t>
      </w:r>
      <w:r w:rsidR="007C03B3" w:rsidRPr="00C83275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pt-PT"/>
          <w14:ligatures w14:val="none"/>
        </w:rPr>
        <w:t>ser, estado de vida, condição, estar, costume, lei, hábito</w:t>
      </w:r>
      <w:r w:rsidR="001716C1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pt-PT"/>
          <w14:ligatures w14:val="none"/>
        </w:rPr>
        <w:t>, e</w:t>
      </w:r>
      <w:r w:rsidR="007C03B3" w:rsidRPr="00C83275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pt-PT"/>
          <w14:ligatures w14:val="none"/>
        </w:rPr>
        <w:t xml:space="preserve"> comportamento em sociedade, sustentado em arsenal mítico e ideológico. </w:t>
      </w:r>
      <w:r w:rsidR="001716C1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pt-PT"/>
          <w14:ligatures w14:val="none"/>
        </w:rPr>
        <w:t>E</w:t>
      </w:r>
      <w:r w:rsidR="007C03B3" w:rsidRPr="00C83275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pt-PT"/>
          <w14:ligatures w14:val="none"/>
        </w:rPr>
        <w:t>ntre os subgrupos </w:t>
      </w:r>
      <w:hyperlink r:id="rId16" w:tooltip="Povo:Guarani Ñandeva" w:history="1">
        <w:r w:rsidR="007C03B3" w:rsidRPr="00C83275">
          <w:rPr>
            <w:rFonts w:ascii="Times New Roman" w:eastAsia="Times New Roman" w:hAnsi="Times New Roman" w:cs="Times New Roman"/>
            <w:kern w:val="0"/>
            <w:sz w:val="24"/>
            <w:szCs w:val="24"/>
            <w:bdr w:val="none" w:sz="0" w:space="0" w:color="auto" w:frame="1"/>
            <w:lang w:eastAsia="pt-PT"/>
            <w14:ligatures w14:val="none"/>
          </w:rPr>
          <w:t>guarani-ñandeva</w:t>
        </w:r>
      </w:hyperlink>
      <w:r w:rsidR="007C03B3" w:rsidRPr="00C83275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pt-PT"/>
          <w14:ligatures w14:val="none"/>
        </w:rPr>
        <w:t>, guarani-kaiowa e </w:t>
      </w:r>
      <w:hyperlink r:id="rId17" w:tooltip="Povo:Guarani Mbya" w:history="1">
        <w:r w:rsidR="007C03B3" w:rsidRPr="00C83275">
          <w:rPr>
            <w:rFonts w:ascii="Times New Roman" w:eastAsia="Times New Roman" w:hAnsi="Times New Roman" w:cs="Times New Roman"/>
            <w:kern w:val="0"/>
            <w:sz w:val="24"/>
            <w:szCs w:val="24"/>
            <w:bdr w:val="none" w:sz="0" w:space="0" w:color="auto" w:frame="1"/>
            <w:lang w:eastAsia="pt-PT"/>
            <w14:ligatures w14:val="none"/>
          </w:rPr>
          <w:t>guarani-mbya</w:t>
        </w:r>
      </w:hyperlink>
      <w:r w:rsidR="007C03B3" w:rsidRPr="00C83275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pt-PT"/>
          <w14:ligatures w14:val="none"/>
        </w:rPr>
        <w:t xml:space="preserve"> existentes no Brasil, </w:t>
      </w:r>
      <w:r w:rsidR="00CA7A3F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pt-PT"/>
          <w14:ligatures w14:val="none"/>
        </w:rPr>
        <w:t xml:space="preserve">existem </w:t>
      </w:r>
      <w:r w:rsidR="007C03B3" w:rsidRPr="00C83275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pt-PT"/>
          <w14:ligatures w14:val="none"/>
        </w:rPr>
        <w:t xml:space="preserve">diferenças nas formas linguísticas, costumes, práticas rituais, organização política e social, orientação religiosa, assim como formas específicas de interpretar a realidade vivida e de interagir segundo as situações em sua história e em sua atualidade. </w:t>
      </w:r>
    </w:p>
    <w:p w14:paraId="4815CF85" w14:textId="77777777" w:rsidR="00932827" w:rsidRPr="00932827" w:rsidRDefault="00932827" w:rsidP="00763EF6">
      <w:pPr>
        <w:spacing w:after="0" w:line="276" w:lineRule="auto"/>
        <w:jc w:val="both"/>
        <w:textAlignment w:val="top"/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pt-PT"/>
          <w14:ligatures w14:val="none"/>
        </w:rPr>
      </w:pPr>
    </w:p>
    <w:p w14:paraId="5FBF0227" w14:textId="0F962552" w:rsidR="008501B1" w:rsidRPr="00932827" w:rsidRDefault="00CA7A3F" w:rsidP="00932827">
      <w:pPr>
        <w:spacing w:after="0" w:line="276" w:lineRule="auto"/>
        <w:jc w:val="both"/>
        <w:textAlignment w:val="top"/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pt-P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pt-PT"/>
          <w14:ligatures w14:val="none"/>
        </w:rPr>
        <w:t>É r</w:t>
      </w:r>
      <w:r w:rsidR="00932827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pt-PT"/>
          <w14:ligatures w14:val="none"/>
        </w:rPr>
        <w:t>eferido no comunicado do Cimi</w:t>
      </w:r>
      <w:r w:rsidR="00242BF1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pt-PT"/>
          <w14:ligatures w14:val="none"/>
        </w:rPr>
        <w:t>, u</w:t>
      </w:r>
      <w:r w:rsidR="008501B1" w:rsidRPr="00932827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pt-PT"/>
          <w14:ligatures w14:val="none"/>
        </w:rPr>
        <w:t xml:space="preserve">ma indígena do povo Pataxó Hã Hã Hãe </w:t>
      </w:r>
      <w:r w:rsidR="003C668D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pt-PT"/>
          <w14:ligatures w14:val="none"/>
        </w:rPr>
        <w:t xml:space="preserve"> que</w:t>
      </w:r>
      <w:r w:rsidR="008501B1" w:rsidRPr="00932827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pt-PT"/>
          <w14:ligatures w14:val="none"/>
        </w:rPr>
        <w:t xml:space="preserve"> </w:t>
      </w:r>
      <w:r w:rsidR="003C668D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pt-PT"/>
          <w14:ligatures w14:val="none"/>
        </w:rPr>
        <w:t>“</w:t>
      </w:r>
      <w:r w:rsidR="008501B1" w:rsidRPr="00932827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pt-PT"/>
          <w14:ligatures w14:val="none"/>
        </w:rPr>
        <w:t>foi assassinada e outras pessoas foram baleadas na Terra Indígena Caramuru-Catarina Paraguassu, localizada no sul da Bahia</w:t>
      </w:r>
      <w:r w:rsidR="00D551FE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pt-PT"/>
          <w14:ligatures w14:val="none"/>
        </w:rPr>
        <w:t xml:space="preserve"> </w:t>
      </w:r>
      <w:r w:rsidR="007A2406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pt-PT"/>
          <w14:ligatures w14:val="none"/>
        </w:rPr>
        <w:t>e</w:t>
      </w:r>
      <w:r w:rsidR="008501B1" w:rsidRPr="00932827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pt-PT"/>
          <w14:ligatures w14:val="none"/>
        </w:rPr>
        <w:t xml:space="preserve"> um ataque de fazendeiros do grupo autointitulado "Invasão Zero", na retomada da Fazenda Inhuma, no município de Potiraguá, em área reivindicada pelos Pataxó Hã Hã Hãe como de ocupação tradicional.</w:t>
      </w:r>
      <w:r w:rsidR="00D551FE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pt-PT"/>
          <w14:ligatures w14:val="none"/>
        </w:rPr>
        <w:t xml:space="preserve"> </w:t>
      </w:r>
      <w:r w:rsidR="008501B1" w:rsidRPr="00932827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pt-PT"/>
          <w14:ligatures w14:val="none"/>
        </w:rPr>
        <w:t>A vítima fatal foi Maria de Fátima Muniz, conhecida como Nega Pataxó, irmã do cacique Nailton Muniz. Ele também ficou ferido e passou por cirurgia. Uma mulher teve o braço quebrado. Além disso, duas pessoas foram espancadas e outras pessoas foram hospitalizadas, mas sem gravidade.</w:t>
      </w:r>
      <w:r w:rsidR="00C30D06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pt-PT"/>
          <w14:ligatures w14:val="none"/>
        </w:rPr>
        <w:t xml:space="preserve"> </w:t>
      </w:r>
      <w:r w:rsidR="008501B1" w:rsidRPr="00932827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pt-PT"/>
          <w14:ligatures w14:val="none"/>
        </w:rPr>
        <w:t>Nega Pataxó era liderança espiritual e professora com importante atuação junto à juventude e às mulheres indígenas e, com seu irmão, integrava redes de saberes tradicionais de Universidades brasileiras, sendo doutora em Educação por Notório Saber pela UFMG, e o cacique Nailton, doutor por Notório Saber em Comunicação Social pela mesma universidade.</w:t>
      </w:r>
      <w:r w:rsidR="00193B34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pt-PT"/>
          <w14:ligatures w14:val="none"/>
        </w:rPr>
        <w:t>”</w:t>
      </w:r>
    </w:p>
    <w:p w14:paraId="613DD9C3" w14:textId="77777777" w:rsidR="00B62FE2" w:rsidRPr="003F799B" w:rsidRDefault="00B62FE2" w:rsidP="00763EF6">
      <w:pPr>
        <w:spacing w:after="0" w:line="276" w:lineRule="auto"/>
        <w:jc w:val="both"/>
        <w:textAlignment w:val="top"/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</w:pPr>
    </w:p>
    <w:p w14:paraId="6E071BB7" w14:textId="49E8A0E3" w:rsidR="003F799B" w:rsidRPr="003F799B" w:rsidRDefault="003F799B" w:rsidP="00763EF6">
      <w:pPr>
        <w:spacing w:after="225" w:line="276" w:lineRule="auto"/>
        <w:jc w:val="both"/>
        <w:textAlignment w:val="top"/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</w:pPr>
      <w:r w:rsidRPr="003F799B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lastRenderedPageBreak/>
        <w:t>Os números nacionais dos homicídios não permitem afirmar que toda morte de indígena esteja relacionada à polícia. Os próprios relatórios mostram uma multiplicidade de causas, que vão de conflitos territoriais e ataques de invasores a feminicídios, violência sexual, disputas internas e crimes associados ao consumo de álcool. É justamente por isso que o cruzamento entre estatísticas oficiais e bancos de casos assume importância.</w:t>
      </w:r>
      <w:r w:rsidR="00D3027B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</w:t>
      </w:r>
      <w:r w:rsidRPr="003F799B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Na série do Cimi, a categoria específica de abuso de poder </w:t>
      </w:r>
      <w:r w:rsidR="00D3027B" w:rsidRPr="003F799B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registou</w:t>
      </w:r>
      <w:r w:rsidRPr="003F799B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14 casos em 2020, 33 em 2021, 29 em 2022, 15 em 2023, 19 em 2024 e 19 em 2025. Somados, são 129 ocorrências de abuso de poder em seis anos. A definição do Cimi abrange situações praticadas por agentes públicos, especialmente policiais, que utilizam a autoridade do cargo para intimidar, agredir ou violar direitos indígenas.</w:t>
      </w:r>
      <w:r w:rsidR="004251C8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</w:t>
      </w:r>
      <w:r w:rsidRPr="003F799B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O número não equivale a 129 mortes provocadas pela polícia. Trata-se de uma categoria mais ampla, que inclui agressões, intimidações e outras formas de abuso. O dado, porém, ajuda a demonstrar que os episódios letais descritos pelo CNDH não estão isolados de uma prática mais ampla de violência exercida por autoridades.</w:t>
      </w:r>
    </w:p>
    <w:p w14:paraId="3DA9D99E" w14:textId="44F38C62" w:rsidR="003F799B" w:rsidRPr="003F799B" w:rsidRDefault="003F799B" w:rsidP="00763EF6">
      <w:pPr>
        <w:spacing w:after="225" w:line="276" w:lineRule="auto"/>
        <w:jc w:val="both"/>
        <w:textAlignment w:val="top"/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</w:pPr>
      <w:r w:rsidRPr="003F799B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Essa conclusão encontra respaldo também na análise qualitativa do Cimi. </w:t>
      </w:r>
      <w:r w:rsidR="00AB6005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“</w:t>
      </w:r>
      <w:r w:rsidRPr="003F799B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Em 2023, por exemplo, o relatório afirmou ter </w:t>
      </w:r>
      <w:r w:rsidR="00763EF6" w:rsidRPr="00763EF6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registado</w:t>
      </w:r>
      <w:r w:rsidRPr="003F799B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situações em que forças policiais atuavam como escolta de proprietários rurais em áreas de conflito com indígenas, além de despejos ilegais, ataques a acampamentos e prisões consideradas arbitrárias. Em 2024, o Cimi voltou a destacar casos em que polici</w:t>
      </w:r>
      <w:r w:rsidR="005A099E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as</w:t>
      </w:r>
      <w:r w:rsidRPr="003F799B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teriam atuado para intimidar ou expulsar indígenas de áreas reivindicadas.</w:t>
      </w:r>
      <w:r w:rsidR="00AB6005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”</w:t>
      </w:r>
    </w:p>
    <w:p w14:paraId="4C585499" w14:textId="3C8135D6" w:rsidR="003F799B" w:rsidRDefault="004251C8">
      <w:r w:rsidRPr="004251C8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Joaquim Armindo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– Doutor em Ecologia e Saúde Ambiental e Diácono da Diocese do Porto – Portugal.</w:t>
      </w:r>
    </w:p>
    <w:sectPr w:rsidR="003F799B" w:rsidSect="00954042">
      <w:pgSz w:w="11906" w:h="16838" w:code="9"/>
      <w:pgMar w:top="426" w:right="284" w:bottom="510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99B"/>
    <w:rsid w:val="00000C1A"/>
    <w:rsid w:val="00053492"/>
    <w:rsid w:val="00121103"/>
    <w:rsid w:val="001245D4"/>
    <w:rsid w:val="001716C1"/>
    <w:rsid w:val="001805B4"/>
    <w:rsid w:val="00193B34"/>
    <w:rsid w:val="001E4613"/>
    <w:rsid w:val="00202B23"/>
    <w:rsid w:val="00242BF1"/>
    <w:rsid w:val="002978E1"/>
    <w:rsid w:val="002A45A8"/>
    <w:rsid w:val="00310126"/>
    <w:rsid w:val="0035301A"/>
    <w:rsid w:val="0035399E"/>
    <w:rsid w:val="0036476B"/>
    <w:rsid w:val="003B3C37"/>
    <w:rsid w:val="003B7153"/>
    <w:rsid w:val="003C668D"/>
    <w:rsid w:val="003E20B3"/>
    <w:rsid w:val="003F693C"/>
    <w:rsid w:val="003F799B"/>
    <w:rsid w:val="004022A7"/>
    <w:rsid w:val="00413AE8"/>
    <w:rsid w:val="004251C8"/>
    <w:rsid w:val="004622D6"/>
    <w:rsid w:val="004666A5"/>
    <w:rsid w:val="0047295B"/>
    <w:rsid w:val="004B2A59"/>
    <w:rsid w:val="004F6C1D"/>
    <w:rsid w:val="00540096"/>
    <w:rsid w:val="00540664"/>
    <w:rsid w:val="005A099E"/>
    <w:rsid w:val="005B3D93"/>
    <w:rsid w:val="005C2D2D"/>
    <w:rsid w:val="00633A4A"/>
    <w:rsid w:val="0066324E"/>
    <w:rsid w:val="00685F59"/>
    <w:rsid w:val="006B4676"/>
    <w:rsid w:val="006D4A2A"/>
    <w:rsid w:val="006F689C"/>
    <w:rsid w:val="00711552"/>
    <w:rsid w:val="00731B56"/>
    <w:rsid w:val="00763EF6"/>
    <w:rsid w:val="007A2406"/>
    <w:rsid w:val="007C03B3"/>
    <w:rsid w:val="007C61EB"/>
    <w:rsid w:val="007E17E5"/>
    <w:rsid w:val="00803EA7"/>
    <w:rsid w:val="008201C5"/>
    <w:rsid w:val="00840ACE"/>
    <w:rsid w:val="008501B1"/>
    <w:rsid w:val="00881D97"/>
    <w:rsid w:val="00882A7B"/>
    <w:rsid w:val="008F2579"/>
    <w:rsid w:val="00911075"/>
    <w:rsid w:val="009324A8"/>
    <w:rsid w:val="00932827"/>
    <w:rsid w:val="0093668B"/>
    <w:rsid w:val="00954042"/>
    <w:rsid w:val="009770BC"/>
    <w:rsid w:val="00981750"/>
    <w:rsid w:val="009828F3"/>
    <w:rsid w:val="00997E19"/>
    <w:rsid w:val="009B02AA"/>
    <w:rsid w:val="009B2A62"/>
    <w:rsid w:val="009D1D5D"/>
    <w:rsid w:val="009D713A"/>
    <w:rsid w:val="00A34E50"/>
    <w:rsid w:val="00A35605"/>
    <w:rsid w:val="00A41879"/>
    <w:rsid w:val="00A6242A"/>
    <w:rsid w:val="00A758A1"/>
    <w:rsid w:val="00A77166"/>
    <w:rsid w:val="00A941D6"/>
    <w:rsid w:val="00A97D5D"/>
    <w:rsid w:val="00AB6005"/>
    <w:rsid w:val="00AC6C1A"/>
    <w:rsid w:val="00B12A38"/>
    <w:rsid w:val="00B23EDF"/>
    <w:rsid w:val="00B62FE2"/>
    <w:rsid w:val="00B66C97"/>
    <w:rsid w:val="00B76E7C"/>
    <w:rsid w:val="00BC0082"/>
    <w:rsid w:val="00BF0E0D"/>
    <w:rsid w:val="00C01C9E"/>
    <w:rsid w:val="00C17B7E"/>
    <w:rsid w:val="00C30D06"/>
    <w:rsid w:val="00C4009C"/>
    <w:rsid w:val="00C75C05"/>
    <w:rsid w:val="00C83275"/>
    <w:rsid w:val="00CA7A3F"/>
    <w:rsid w:val="00CB144A"/>
    <w:rsid w:val="00CE1879"/>
    <w:rsid w:val="00CE3BFA"/>
    <w:rsid w:val="00D3027B"/>
    <w:rsid w:val="00D551FE"/>
    <w:rsid w:val="00D60917"/>
    <w:rsid w:val="00D64D96"/>
    <w:rsid w:val="00DD2357"/>
    <w:rsid w:val="00DD3B4D"/>
    <w:rsid w:val="00EF4ECF"/>
    <w:rsid w:val="00F46BA1"/>
    <w:rsid w:val="00F60BA5"/>
    <w:rsid w:val="00F9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A54AD"/>
  <w15:chartTrackingRefBased/>
  <w15:docId w15:val="{464FC6EF-3368-409F-AE57-F102A10FF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F79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F79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F79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F79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F79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F79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F79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F79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F79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F79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F79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F79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F799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F799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F799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F799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F799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F799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F79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F79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F79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F79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F79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F799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F799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F799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F79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F799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F799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60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  <w:style w:type="character" w:styleId="Hipervnculo">
    <w:name w:val="Hyperlink"/>
    <w:basedOn w:val="Fuentedeprrafopredeter"/>
    <w:uiPriority w:val="99"/>
    <w:semiHidden/>
    <w:unhideWhenUsed/>
    <w:rsid w:val="00D609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wikipedia.org/wiki/Llanos_de_Chiquitos" TargetMode="External"/><Relationship Id="rId13" Type="http://schemas.openxmlformats.org/officeDocument/2006/relationships/hyperlink" Target="https://es.wikipedia.org/wiki/Mato_Grosso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s.wikipedia.org/wiki/Amerindio" TargetMode="External"/><Relationship Id="rId12" Type="http://schemas.openxmlformats.org/officeDocument/2006/relationships/hyperlink" Target="https://es.wikipedia.org/wiki/Departamento_del_Beni" TargetMode="External"/><Relationship Id="rId17" Type="http://schemas.openxmlformats.org/officeDocument/2006/relationships/hyperlink" Target="https://pib.socioambiental.org/pt/Povo:Guarani_Mbya" TargetMode="External"/><Relationship Id="rId2" Type="http://schemas.openxmlformats.org/officeDocument/2006/relationships/styles" Target="styles.xml"/><Relationship Id="rId16" Type="http://schemas.openxmlformats.org/officeDocument/2006/relationships/hyperlink" Target="https://pib.socioambiental.org/pt/Povo:Guarani_%C3%91andev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cimi.org.br/wp-content/uploads/2026/08/relatorio-violencia-povos-indigenas-2025-cimi.pdf" TargetMode="External"/><Relationship Id="rId11" Type="http://schemas.openxmlformats.org/officeDocument/2006/relationships/hyperlink" Target="https://es.wikipedia.org/wiki/Santa_Cruz_de_la_Sierra" TargetMode="External"/><Relationship Id="rId5" Type="http://schemas.openxmlformats.org/officeDocument/2006/relationships/hyperlink" Target="https://ns-dtp-prd-df.s3-df-govcloud.dataprev.gov.br/gcc-decidim/gcc-decidim/0o7lykkh5hd855fu66i3873twg22?response-content-disposition=inline%3B%20filename%3D%22RelatorioViolenciaContraPovosIndigenas_20a26.pdf%22%3B%20filename%2A%3DUTF-8%27%27RelatorioViolenciaContraPovosIndigenas_20a26.pdf&amp;response-content-type=application%2Fpdf&amp;X-Amz-Algorithm=AWS4-HMAC-SHA256&amp;X-Amz-Credential=user_dec_prd_df%2F20260827%2Fus-east-1%2Fs3%2Faws4_request&amp;X-Amz-Date=20260827T200259Z&amp;X-Amz-Expires=300&amp;X-Amz-SignedHeaders=host&amp;X-Amz-Signature=50671fe87118219b259e0158066a360bdcf83f29512ba917a01d11094ebb8c4c" TargetMode="External"/><Relationship Id="rId15" Type="http://schemas.openxmlformats.org/officeDocument/2006/relationships/hyperlink" Target="https://es.wikipedia.org/wiki/Idioma_chiquitano" TargetMode="External"/><Relationship Id="rId10" Type="http://schemas.openxmlformats.org/officeDocument/2006/relationships/hyperlink" Target="https://es.wikipedia.org/wiki/Bolivia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es.wikipedia.org/wiki/Departamento_de_Santa_Cruz_(Bolivia)" TargetMode="External"/><Relationship Id="rId14" Type="http://schemas.openxmlformats.org/officeDocument/2006/relationships/hyperlink" Target="https://es.wikipedia.org/wiki/Brasil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3C6D8-0085-409C-B277-91BBF3065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1241</Words>
  <Characters>6828</Characters>
  <Application>Microsoft Office Word</Application>
  <DocSecurity>0</DocSecurity>
  <Lines>56</Lines>
  <Paragraphs>16</Paragraphs>
  <ScaleCrop>false</ScaleCrop>
  <Company/>
  <LinksUpToDate>false</LinksUpToDate>
  <CharactersWithSpaces>8053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Joaquim Armindo</dc:creator>
  <cp:keywords/>
  <dc:description/>
  <cp:lastModifiedBy>Rosario Hermano</cp:lastModifiedBy>
  <cp:revision>2</cp:revision>
  <dcterms:created xsi:type="dcterms:W3CDTF">2026-09-14T12:27:00Z</dcterms:created>
  <dcterms:modified xsi:type="dcterms:W3CDTF">2026-09-14T12:27:00Z</dcterms:modified>
</cp:coreProperties>
</file>