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D284C" w14:textId="77777777" w:rsidR="00EC54B4" w:rsidRPr="00EC54B4" w:rsidRDefault="00EC54B4" w:rsidP="00EC54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b/>
          <w:bCs/>
          <w:i/>
          <w:iCs/>
          <w:color w:val="000000"/>
          <w:kern w:val="0"/>
          <w:sz w:val="36"/>
          <w:szCs w:val="36"/>
          <w:lang w:val="es-ES_tradnl" w:eastAsia="es-UY"/>
          <w14:ligatures w14:val="none"/>
        </w:rPr>
        <w:t>Las deudas, ayer y hoy</w:t>
      </w:r>
    </w:p>
    <w:p w14:paraId="0B9FCF31" w14:textId="77777777" w:rsidR="00EC54B4" w:rsidRPr="00EC54B4" w:rsidRDefault="00EC54B4" w:rsidP="00EC54B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s-ES_tradnl" w:eastAsia="es-UY"/>
          <w14:ligatures w14:val="none"/>
        </w:rPr>
        <w:t>Eduardo de la Serna</w:t>
      </w:r>
    </w:p>
    <w:p w14:paraId="0CDC4DA4" w14:textId="77777777" w:rsidR="00EC54B4" w:rsidRPr="00EC54B4" w:rsidRDefault="00EC54B4" w:rsidP="00EC54B4">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7A9B40F3" w14:textId="77777777" w:rsidR="00EC54B4" w:rsidRPr="00EC54B4" w:rsidRDefault="00EC54B4" w:rsidP="00EC54B4">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noProof/>
          <w:color w:val="1155CC"/>
          <w:kern w:val="0"/>
          <w:sz w:val="27"/>
          <w:szCs w:val="27"/>
          <w:lang w:eastAsia="es-UY"/>
          <w14:ligatures w14:val="none"/>
        </w:rPr>
        <w:drawing>
          <wp:inline distT="0" distB="0" distL="0" distR="0" wp14:anchorId="196A8E69" wp14:editId="27E60C37">
            <wp:extent cx="2076450" cy="3810000"/>
            <wp:effectExtent l="0" t="0" r="0" b="0"/>
            <wp:docPr id="1" name="Imagen 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76450" cy="3810000"/>
                    </a:xfrm>
                    <a:prstGeom prst="rect">
                      <a:avLst/>
                    </a:prstGeom>
                    <a:noFill/>
                    <a:ln>
                      <a:noFill/>
                    </a:ln>
                  </pic:spPr>
                </pic:pic>
              </a:graphicData>
            </a:graphic>
          </wp:inline>
        </w:drawing>
      </w:r>
    </w:p>
    <w:p w14:paraId="3117A935" w14:textId="77777777" w:rsidR="00EC54B4" w:rsidRPr="00EC54B4" w:rsidRDefault="00EC54B4" w:rsidP="00EC54B4">
      <w:pPr>
        <w:shd w:val="clear" w:color="auto" w:fill="FFFFFF"/>
        <w:spacing w:after="0" w:line="240" w:lineRule="auto"/>
        <w:rPr>
          <w:rFonts w:ascii="Arial" w:eastAsia="Times New Roman" w:hAnsi="Arial" w:cs="Arial"/>
          <w:color w:val="222222"/>
          <w:kern w:val="0"/>
          <w:lang w:eastAsia="es-UY"/>
          <w14:ligatures w14:val="none"/>
        </w:rPr>
      </w:pPr>
      <w:r w:rsidRPr="00EC54B4">
        <w:rPr>
          <w:rFonts w:ascii="Arial" w:eastAsia="Times New Roman" w:hAnsi="Arial" w:cs="Arial"/>
          <w:color w:val="000000"/>
          <w:kern w:val="0"/>
          <w:sz w:val="27"/>
          <w:szCs w:val="27"/>
          <w:lang w:eastAsia="es-UY"/>
          <w14:ligatures w14:val="none"/>
        </w:rPr>
        <w:br/>
      </w:r>
      <w:r w:rsidRPr="00EC54B4">
        <w:rPr>
          <w:rFonts w:ascii="Arial" w:eastAsia="Times New Roman" w:hAnsi="Arial" w:cs="Arial"/>
          <w:color w:val="000000"/>
          <w:kern w:val="0"/>
          <w:sz w:val="27"/>
          <w:szCs w:val="27"/>
          <w:lang w:eastAsia="es-UY"/>
          <w14:ligatures w14:val="none"/>
        </w:rPr>
        <w:br/>
      </w:r>
    </w:p>
    <w:p w14:paraId="73C324B3"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s-ES_tradnl" w:eastAsia="es-UY"/>
          <w14:ligatures w14:val="none"/>
        </w:rPr>
        <w:t>Contraer deudas es algo habitual en la historia humana. Y que esto es, en ocasiones, algo grave o hasta dramático, no es menos frecuente. Y, como es fácil de comprender, el dramatismo viene dado por las consecuencias de esta situación.</w:t>
      </w:r>
    </w:p>
    <w:p w14:paraId="2063EE0D"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4B0287D"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s-ES_tradnl" w:eastAsia="es-UY"/>
          <w14:ligatures w14:val="none"/>
        </w:rPr>
        <w:t>Sin pretender ser exhaustivo, pero sí ilustrativo, presento algunas notas bíblicas que pueden permitirnos vislumbrar caminos o salidas.</w:t>
      </w:r>
    </w:p>
    <w:p w14:paraId="650E0CFD"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152DFC"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s-ES_tradnl" w:eastAsia="es-UY"/>
          <w14:ligatures w14:val="none"/>
        </w:rPr>
        <w:t xml:space="preserve">En Israel, el criterio de base es que se trata de un “pueblo de hermanos”, hijos todos de “Abraham, Isaac y Jacob”, y, por tanto, estará alentado o vedado todo aquello que no implique esta relación. La tierra, tema medular en un pueblo campesino, es, en realidad, de Dios, que la ha dado en una suerte de “concesión” a una familia / clan… Por eso la tierra no puede ser vendida ni expropiada (obviamente, cuando Israel pierde su libertad y es vasallo de babilonios, persas, griegos o romanos, esta legislación pierde vigencia). Sin embargo, puede ocurrir que por mala cosecha, sequía, plagas, negligencia u otros motivos, alguna familia deba pedir prestado para la siguiente cosecha; y, obviamente, esa deuda se debe pagar; mientras tanto, el acreedor ha obtenido una </w:t>
      </w:r>
      <w:r w:rsidRPr="00EC54B4">
        <w:rPr>
          <w:rFonts w:ascii="Arial" w:eastAsia="Times New Roman" w:hAnsi="Arial" w:cs="Arial"/>
          <w:color w:val="000000"/>
          <w:kern w:val="0"/>
          <w:sz w:val="27"/>
          <w:szCs w:val="27"/>
          <w:lang w:val="es-ES_tradnl" w:eastAsia="es-UY"/>
          <w14:ligatures w14:val="none"/>
        </w:rPr>
        <w:lastRenderedPageBreak/>
        <w:t>“prenda” del deudor a fin de garantizar su pago. Sin embargo, esta prenda no puede poner en riesgo la vida del pobre. Por </w:t>
      </w:r>
      <w:r w:rsidRPr="00EC54B4">
        <w:rPr>
          <w:rFonts w:ascii="Arial" w:eastAsia="Times New Roman" w:hAnsi="Arial" w:cs="Arial"/>
          <w:color w:val="000000"/>
          <w:kern w:val="0"/>
          <w:sz w:val="27"/>
          <w:szCs w:val="27"/>
          <w:lang w:eastAsia="es-UY"/>
          <w14:ligatures w14:val="none"/>
        </w:rPr>
        <w:t>ejemplo,</w:t>
      </w:r>
    </w:p>
    <w:p w14:paraId="329201DA"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5DD1DA" w14:textId="77777777" w:rsidR="00EC54B4" w:rsidRPr="00EC54B4" w:rsidRDefault="00EC54B4" w:rsidP="00EC54B4">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i/>
          <w:iCs/>
          <w:color w:val="000000"/>
          <w:kern w:val="0"/>
          <w:sz w:val="27"/>
          <w:szCs w:val="27"/>
          <w:lang w:eastAsia="es-UY"/>
          <w14:ligatures w14:val="none"/>
        </w:rPr>
        <w:t>Si tomas en prenda el manto de tu prójimo, se lo devolverás al ponerse el sol, porque con él se abriga; es el vestido de su cuerpo. ¿Sobre qué va a dormir, si no? Clamará a mí, y yo le oiré, porque soy misericordioso </w:t>
      </w:r>
      <w:r w:rsidRPr="00EC54B4">
        <w:rPr>
          <w:rFonts w:ascii="Arial" w:eastAsia="Times New Roman" w:hAnsi="Arial" w:cs="Arial"/>
          <w:color w:val="000000"/>
          <w:kern w:val="0"/>
          <w:sz w:val="27"/>
          <w:szCs w:val="27"/>
          <w:lang w:eastAsia="es-UY"/>
          <w14:ligatures w14:val="none"/>
        </w:rPr>
        <w:t>(Éxodo 22,25-26; ver Deuteronomio 24,17).</w:t>
      </w:r>
    </w:p>
    <w:p w14:paraId="784860DF" w14:textId="77777777" w:rsidR="00EC54B4" w:rsidRPr="00EC54B4" w:rsidRDefault="00EC54B4" w:rsidP="00EC54B4">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0BB9528F"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Tampoco</w:t>
      </w:r>
    </w:p>
    <w:p w14:paraId="5FA1020D"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D89F37" w14:textId="77777777" w:rsidR="00EC54B4" w:rsidRPr="00EC54B4" w:rsidRDefault="00EC54B4" w:rsidP="00EC54B4">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i/>
          <w:iCs/>
          <w:color w:val="000000"/>
          <w:kern w:val="0"/>
          <w:sz w:val="27"/>
          <w:szCs w:val="27"/>
          <w:lang w:eastAsia="es-UY"/>
          <w14:ligatures w14:val="none"/>
        </w:rPr>
        <w:t>tomarás en prenda las dos piedras de un molino, ni siquiera la piedra de moler, porque sería tomar en prenda una vida.</w:t>
      </w:r>
      <w:r w:rsidRPr="00EC54B4">
        <w:rPr>
          <w:rFonts w:ascii="Arial" w:eastAsia="Times New Roman" w:hAnsi="Arial" w:cs="Arial"/>
          <w:color w:val="000000"/>
          <w:kern w:val="0"/>
          <w:sz w:val="27"/>
          <w:szCs w:val="27"/>
          <w:lang w:eastAsia="es-UY"/>
          <w14:ligatures w14:val="none"/>
        </w:rPr>
        <w:t> (Deuteronomio</w:t>
      </w:r>
      <w:r w:rsidRPr="00EC54B4">
        <w:rPr>
          <w:rFonts w:ascii="Arial" w:eastAsia="Times New Roman" w:hAnsi="Arial" w:cs="Arial"/>
          <w:color w:val="000000"/>
          <w:kern w:val="0"/>
          <w:sz w:val="27"/>
          <w:szCs w:val="27"/>
          <w:lang w:val="en-US" w:eastAsia="es-UY"/>
          <w14:ligatures w14:val="none"/>
        </w:rPr>
        <w:t> 24,6)</w:t>
      </w:r>
    </w:p>
    <w:p w14:paraId="1760C970"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n-US" w:eastAsia="es-UY"/>
          <w14:ligatures w14:val="none"/>
        </w:rPr>
        <w:t>I</w:t>
      </w:r>
      <w:r w:rsidRPr="00EC54B4">
        <w:rPr>
          <w:rFonts w:ascii="Arial" w:eastAsia="Times New Roman" w:hAnsi="Arial" w:cs="Arial"/>
          <w:color w:val="000000"/>
          <w:kern w:val="0"/>
          <w:sz w:val="27"/>
          <w:szCs w:val="27"/>
          <w:lang w:eastAsia="es-UY"/>
          <w14:ligatures w14:val="none"/>
        </w:rPr>
        <w:t>ncluso se critica duramente a quienes toman en prenda “el asno del huérfano” o “el buey de la viuda” (Job 24,3) o incluso los “hijos del pobre” (Job 24,9; ver Neh 5,2), e, incluso, al acreedor que se abusa de la deuda (Ezequiel 18,7.12) y no devuelve la prenda explotando al débil, o incluso exigiendo prendas excesivas por una deuda pequeña (Miqueas 2,10).</w:t>
      </w:r>
    </w:p>
    <w:p w14:paraId="771C99F6"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F4B6F20"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Como se ve, ciertamente uno es el criterio y otra, muy distinta, es la praxis.</w:t>
      </w:r>
    </w:p>
    <w:p w14:paraId="2BF2E2BD"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FF12469"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Pero aun en los casos en los que el endeudamiento es justo, hay una serie de criterios que deben ser tenidos en cuenta en Israel:</w:t>
      </w:r>
    </w:p>
    <w:p w14:paraId="010E8905" w14:textId="77777777" w:rsidR="00EC54B4" w:rsidRPr="00EC54B4" w:rsidRDefault="00EC54B4" w:rsidP="00EC54B4">
      <w:pPr>
        <w:numPr>
          <w:ilvl w:val="0"/>
          <w:numId w:val="1"/>
        </w:numPr>
        <w:shd w:val="clear" w:color="auto" w:fill="FFFFFF"/>
        <w:spacing w:before="100" w:beforeAutospacing="1" w:after="270" w:line="240" w:lineRule="auto"/>
        <w:ind w:left="945"/>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      Cuando la prenda es una persona (a la cual no pude tratárselo como a un esclavo sino como a un huésped o un jornalero) o la tierra, en realidad se debe considerar como un “arriendo”. Si por una deuda “X” se debe empeñar la tierra, esta deuda se considera saldada según las cosechas producidas y, así, vuelve a su “legítimo propietario”. Se puede decir que no se da la tierra en prenda sino una determinada cantidad de cosechas. Del mismo modo, cuando se ha debido entregar una persona (hijos, por ejemplo), la deuda se considera saldada según el pago que hubiera merecido (un jornal, año a año; Levítico 25,50) por esos tiempos de trabajo.</w:t>
      </w:r>
    </w:p>
    <w:p w14:paraId="25AB3320" w14:textId="77777777" w:rsidR="00EC54B4" w:rsidRPr="00EC54B4" w:rsidRDefault="00EC54B4" w:rsidP="00EC54B4">
      <w:pPr>
        <w:numPr>
          <w:ilvl w:val="0"/>
          <w:numId w:val="1"/>
        </w:numPr>
        <w:shd w:val="clear" w:color="auto" w:fill="FFFFFF"/>
        <w:spacing w:before="100" w:beforeAutospacing="1" w:after="100" w:afterAutospacing="1" w:line="240" w:lineRule="auto"/>
        <w:ind w:left="945"/>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val="en-US" w:eastAsia="es-UY"/>
          <w14:ligatures w14:val="none"/>
        </w:rPr>
        <w:t>.       </w:t>
      </w:r>
      <w:r w:rsidRPr="00EC54B4">
        <w:rPr>
          <w:rFonts w:ascii="Arial" w:eastAsia="Times New Roman" w:hAnsi="Arial" w:cs="Arial"/>
          <w:color w:val="000000"/>
          <w:kern w:val="0"/>
          <w:sz w:val="27"/>
          <w:szCs w:val="27"/>
          <w:lang w:eastAsia="es-UY"/>
          <w14:ligatures w14:val="none"/>
        </w:rPr>
        <w:t>Puede ocurrir que uno que ha debido dar su persona, familia o tierra en prenda tenga algún pariente en condiciones de hacerse cargo de la deuda; en ese caso, este “¡debe!” hacerlo, e, incluso, la tierra recuperada es del “propietario” anterior, ¡no de quién la pagó! Es llamado el “rescatador” (en hebreo, el </w:t>
      </w:r>
      <w:r w:rsidRPr="00EC54B4">
        <w:rPr>
          <w:rFonts w:ascii="Arial" w:eastAsia="Times New Roman" w:hAnsi="Arial" w:cs="Arial"/>
          <w:i/>
          <w:iCs/>
          <w:color w:val="000000"/>
          <w:kern w:val="0"/>
          <w:sz w:val="27"/>
          <w:szCs w:val="27"/>
          <w:lang w:eastAsia="es-UY"/>
          <w14:ligatures w14:val="none"/>
        </w:rPr>
        <w:t>go’el</w:t>
      </w:r>
      <w:r w:rsidRPr="00EC54B4">
        <w:rPr>
          <w:rFonts w:ascii="Arial" w:eastAsia="Times New Roman" w:hAnsi="Arial" w:cs="Arial"/>
          <w:color w:val="000000"/>
          <w:kern w:val="0"/>
          <w:sz w:val="27"/>
          <w:szCs w:val="27"/>
          <w:lang w:eastAsia="es-UY"/>
          <w14:ligatures w14:val="none"/>
        </w:rPr>
        <w:t>). Y, si no tuviera un familiar en condiciones de hacerlo, Dios mismo es </w:t>
      </w:r>
      <w:r w:rsidRPr="00EC54B4">
        <w:rPr>
          <w:rFonts w:ascii="Arial" w:eastAsia="Times New Roman" w:hAnsi="Arial" w:cs="Arial"/>
          <w:i/>
          <w:iCs/>
          <w:color w:val="000000"/>
          <w:kern w:val="0"/>
          <w:sz w:val="27"/>
          <w:szCs w:val="27"/>
          <w:lang w:eastAsia="es-UY"/>
          <w14:ligatures w14:val="none"/>
        </w:rPr>
        <w:t>go’el</w:t>
      </w:r>
      <w:r w:rsidRPr="00EC54B4">
        <w:rPr>
          <w:rFonts w:ascii="Arial" w:eastAsia="Times New Roman" w:hAnsi="Arial" w:cs="Arial"/>
          <w:color w:val="000000"/>
          <w:kern w:val="0"/>
          <w:sz w:val="27"/>
          <w:szCs w:val="27"/>
          <w:lang w:eastAsia="es-UY"/>
          <w14:ligatures w14:val="none"/>
        </w:rPr>
        <w:t xml:space="preserve"> del pobre. Cada 7 años, o cada 49, según el caso y el tiempo, todo debe volver a ser como </w:t>
      </w:r>
      <w:r w:rsidRPr="00EC54B4">
        <w:rPr>
          <w:rFonts w:ascii="Arial" w:eastAsia="Times New Roman" w:hAnsi="Arial" w:cs="Arial"/>
          <w:color w:val="000000"/>
          <w:kern w:val="0"/>
          <w:sz w:val="27"/>
          <w:szCs w:val="27"/>
          <w:lang w:eastAsia="es-UY"/>
          <w14:ligatures w14:val="none"/>
        </w:rPr>
        <w:lastRenderedPageBreak/>
        <w:t>estaba en los comienzos. Y, hay que notarlo, no se trata de 7 años desde contraída la deuda, sino cada 7 años ya establecidos, con lo que es posible que se acepte a una persona en prenda y al año siguiente se lo deba liberar (y, además, se lo debe hacer “a manos llenas”, para que no reincida en la pobreza por no tener “conqué”)</w:t>
      </w:r>
    </w:p>
    <w:p w14:paraId="33D50FD8" w14:textId="77777777" w:rsidR="00EC54B4" w:rsidRPr="00EC54B4" w:rsidRDefault="00EC54B4" w:rsidP="00EC54B4">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i/>
          <w:iCs/>
          <w:color w:val="000000"/>
          <w:kern w:val="0"/>
          <w:sz w:val="27"/>
          <w:szCs w:val="27"/>
          <w:lang w:eastAsia="es-UY"/>
          <w14:ligatures w14:val="none"/>
        </w:rPr>
        <w:t>Si se empobrece tu hermano y vende algo de su propiedad, su goel más cercano vendrá y rescatará lo vendido por su hermano. Si alguno no tiene goel, adquiera por sí mismo recursos suficientes para su rescate; calcule los años pasados desde la venta y devuelva al comprador la cantidad del tiempo que falta; así volverá a su propiedad. Pero si no halla lo suficiente para recuperarla, lo vendido quedará en poder del comprador hasta el año jubilar, y en el jubileo quedará libre; y el vendedor volverá a su posesión.</w:t>
      </w:r>
      <w:r w:rsidRPr="00EC54B4">
        <w:rPr>
          <w:rFonts w:ascii="Arial" w:eastAsia="Times New Roman" w:hAnsi="Arial" w:cs="Arial"/>
          <w:color w:val="000000"/>
          <w:kern w:val="0"/>
          <w:sz w:val="27"/>
          <w:szCs w:val="27"/>
          <w:lang w:eastAsia="es-UY"/>
          <w14:ligatures w14:val="none"/>
        </w:rPr>
        <w:t> (Levítico 25,25-28)</w:t>
      </w:r>
    </w:p>
    <w:p w14:paraId="0FCD9FCF"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i/>
          <w:iCs/>
          <w:color w:val="000000"/>
          <w:kern w:val="0"/>
          <w:sz w:val="36"/>
          <w:szCs w:val="36"/>
          <w:lang w:eastAsia="es-UY"/>
          <w14:ligatures w14:val="none"/>
        </w:rPr>
        <w:t>Si tu hermano hebreo, hombre o mujer, se vende a ti, te servirá durante seis años y al séptimo le dejarás libre. Al dejarle libre, no le mandarás con las manos vacías; le harás algún presente de tu ganado menor, de tu era y de tu lagar; le darás según como te haya bendecido Yahveh tu Dios</w:t>
      </w:r>
      <w:r w:rsidRPr="00EC54B4">
        <w:rPr>
          <w:rFonts w:ascii="Arial" w:eastAsia="Times New Roman" w:hAnsi="Arial" w:cs="Arial"/>
          <w:color w:val="000000"/>
          <w:kern w:val="0"/>
          <w:sz w:val="36"/>
          <w:szCs w:val="36"/>
          <w:lang w:eastAsia="es-UY"/>
          <w14:ligatures w14:val="none"/>
        </w:rPr>
        <w:t> (Deuteronomio 15,12-14).</w:t>
      </w:r>
    </w:p>
    <w:p w14:paraId="5E788B39" w14:textId="77777777" w:rsidR="00EC54B4" w:rsidRPr="00EC54B4" w:rsidRDefault="00EC54B4" w:rsidP="00EC54B4">
      <w:pPr>
        <w:shd w:val="clear" w:color="auto" w:fill="FFFFFF"/>
        <w:spacing w:after="0" w:line="240" w:lineRule="auto"/>
        <w:ind w:left="360"/>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 </w:t>
      </w:r>
    </w:p>
    <w:p w14:paraId="5181E2AF"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En tiempos de Jesús, la situación era muy diferente, ciertamente, ya que el imperio romano imponía su propia ley. Un judío no podía tener a otro judío como esclavo, pero nada impedía que los romanos lo tuvieran, o que compraran (o expropiaran) tierras. Los impuestos romanos eran exorbitantes, y los campesinos (la inmensa mayoría de la población) empezaba a acumular deudas. Esto llevaba a un incremento de las mismas con lo que los antiguos propietarios debían ceder las tierras y terminaban trabajando en ellas como esclavos. En la República Romana, la ley Poetelia Papiria (s. IV a.C.) prohibió la esclavitud por deudas de los ciudadanos romanos, pero esto no aplicaba necesariamente a los no romanos, además, que no en todos los tiempos y lugares fue respetada…</w:t>
      </w:r>
    </w:p>
    <w:p w14:paraId="7EE234FA"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717601E"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A modo de ejemplo, cuando en el año 66 d.C. se produce el levantamiento contra Roma en Jerusalén (que finalizará con la guerra, y la destrucción de la ciudad en el año 70 d.C.), a fin de conseguir el apoyo de los campesinos</w:t>
      </w:r>
    </w:p>
    <w:p w14:paraId="66CF3E21"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78F7305" w14:textId="77777777" w:rsidR="00EC54B4" w:rsidRPr="00EC54B4" w:rsidRDefault="00EC54B4" w:rsidP="00EC54B4">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i/>
          <w:iCs/>
          <w:color w:val="000000"/>
          <w:kern w:val="0"/>
          <w:sz w:val="27"/>
          <w:szCs w:val="27"/>
          <w:lang w:eastAsia="es-UY"/>
          <w14:ligatures w14:val="none"/>
        </w:rPr>
        <w:t xml:space="preserve">Inferiores en número y empuje, los soldados del rey retrocedieron y evacuaron la ciudad alta. Irrumpieron en ella los vencedores y prendieron fuego a la casa del sumo sacerdote Ananías y los </w:t>
      </w:r>
      <w:r w:rsidRPr="00EC54B4">
        <w:rPr>
          <w:rFonts w:ascii="Arial" w:eastAsia="Times New Roman" w:hAnsi="Arial" w:cs="Arial"/>
          <w:i/>
          <w:iCs/>
          <w:color w:val="000000"/>
          <w:kern w:val="0"/>
          <w:sz w:val="27"/>
          <w:szCs w:val="27"/>
          <w:lang w:eastAsia="es-UY"/>
          <w14:ligatures w14:val="none"/>
        </w:rPr>
        <w:lastRenderedPageBreak/>
        <w:t>palacios de Agripa y Berenice. Luego llevaron el fuego hasta los archivos públicos, dándose prisa en destruir los contratos de los préstamos, impidiendo la cobranza de las deudas, con el objeto de incorporar a sus filas a la multitud de deudores y lanzar contra los ricos a los pobres, seguros de la impunidad. Habiendo huido los guardianes, pegaron fuego a los edificios</w:t>
      </w:r>
      <w:r w:rsidRPr="00EC54B4">
        <w:rPr>
          <w:rFonts w:ascii="Arial" w:eastAsia="Times New Roman" w:hAnsi="Arial" w:cs="Arial"/>
          <w:color w:val="000000"/>
          <w:kern w:val="0"/>
          <w:sz w:val="27"/>
          <w:szCs w:val="27"/>
          <w:lang w:eastAsia="es-UY"/>
          <w14:ligatures w14:val="none"/>
        </w:rPr>
        <w:t> (Flavio Josefo, La Guerra de los Judíos II, 426-427).</w:t>
      </w:r>
    </w:p>
    <w:p w14:paraId="153C6A66" w14:textId="77777777" w:rsidR="00EC54B4" w:rsidRPr="00EC54B4" w:rsidRDefault="00EC54B4" w:rsidP="00EC54B4">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p>
    <w:p w14:paraId="49CA8DE4"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No hace falta detenerse a señalar la frecuencia en que el tema de las “deudas” se encuentra en los textos de Jesús. Se trata, ciertamente, de deudas económicas (Mateo 18,24-34; 23,16.18; Lucas 7,41; 16,5-7) y son incluidas, nada menos, que en la oración que caracteriza a los discípulos (Mateo 6,12; Lucas 11,4). El perdón de las deudas de los hermanos es, o debiera ser, una característica constitutiva, de los seguidores de Jesús.</w:t>
      </w:r>
    </w:p>
    <w:p w14:paraId="7AB23E90"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317193E"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El mundo judeo-cristiano, entonces, no niega las deudas, pero las relativiza. La vida, la relación mutua como hermanos, está en primer lugar y por encima de todo, aunque eso significara pérdida económica. Una sociedad, un gobierno que se autopercibe “judeo-cristiano”, no puede sostener que se trata de “relaciones entre privados”, que no se debe intervenir, y que se debe priorizar el mercado. Debe procurar, por todos los medios, que se priorice la vida de los y las pobres, a menos que el Dios del que habla se asemeje más a Saturno, la divinidad romana que comía a sus propios hijos. El Dios de la Biblia, en cambio, es el que prioriza y celebra la vida empezando por la vida de las víctimas… es decir, de las y los hermanos.</w:t>
      </w:r>
    </w:p>
    <w:p w14:paraId="48302DF9" w14:textId="77777777" w:rsidR="00EC54B4" w:rsidRPr="00EC54B4" w:rsidRDefault="00EC54B4" w:rsidP="00EC54B4">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B608A1C" w14:textId="77777777" w:rsidR="00EC54B4" w:rsidRPr="00EC54B4" w:rsidRDefault="00EC54B4" w:rsidP="00EC54B4">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r w:rsidRPr="00EC54B4">
        <w:rPr>
          <w:rFonts w:ascii="Arial" w:eastAsia="Times New Roman" w:hAnsi="Arial" w:cs="Arial"/>
          <w:color w:val="000000"/>
          <w:kern w:val="0"/>
          <w:sz w:val="27"/>
          <w:szCs w:val="27"/>
          <w:lang w:eastAsia="es-UY"/>
          <w14:ligatures w14:val="none"/>
        </w:rPr>
        <w:t>Imagen de Francisco de Goya, Saturno devorando a su hijo, tomada de </w:t>
      </w:r>
      <w:hyperlink r:id="rId7" w:tgtFrame="_blank" w:history="1">
        <w:r w:rsidRPr="00EC54B4">
          <w:rPr>
            <w:rFonts w:ascii="Arial" w:eastAsia="Times New Roman" w:hAnsi="Arial" w:cs="Arial"/>
            <w:color w:val="1155CC"/>
            <w:kern w:val="0"/>
            <w:sz w:val="27"/>
            <w:szCs w:val="27"/>
            <w:u w:val="single"/>
            <w:lang w:eastAsia="es-UY"/>
            <w14:ligatures w14:val="none"/>
          </w:rPr>
          <w:t>https://es.wikipedia.org/wiki/Saturno_devorando_a_su_hijo</w:t>
        </w:r>
      </w:hyperlink>
    </w:p>
    <w:p w14:paraId="419F6083" w14:textId="77777777" w:rsidR="00EC54B4" w:rsidRPr="00EC54B4" w:rsidRDefault="00EC54B4" w:rsidP="00EC54B4">
      <w:pPr>
        <w:shd w:val="clear" w:color="auto" w:fill="FFFFFF"/>
        <w:spacing w:after="0" w:line="240" w:lineRule="auto"/>
        <w:rPr>
          <w:rFonts w:ascii="Arial" w:eastAsia="Times New Roman" w:hAnsi="Arial" w:cs="Arial"/>
          <w:color w:val="222222"/>
          <w:kern w:val="0"/>
          <w:lang w:eastAsia="es-UY"/>
          <w14:ligatures w14:val="none"/>
        </w:rPr>
      </w:pPr>
    </w:p>
    <w:p w14:paraId="38709D5F" w14:textId="1A4663AC" w:rsidR="00EC54B4" w:rsidRDefault="00EC54B4" w:rsidP="00EC54B4">
      <w:r w:rsidRPr="00EC54B4">
        <w:rPr>
          <w:rFonts w:ascii="Arial" w:eastAsia="Times New Roman" w:hAnsi="Arial" w:cs="Arial"/>
          <w:color w:val="888888"/>
          <w:kern w:val="0"/>
          <w:shd w:val="clear" w:color="auto" w:fill="FFFFFF"/>
          <w:lang w:eastAsia="es-UY"/>
          <w14:ligatures w14:val="none"/>
        </w:rPr>
        <w:t>--</w:t>
      </w:r>
    </w:p>
    <w:sectPr w:rsidR="00EC54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700D7"/>
    <w:multiLevelType w:val="multilevel"/>
    <w:tmpl w:val="B860B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8253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4B4"/>
    <w:rsid w:val="002B2641"/>
    <w:rsid w:val="00EC54B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7BCCA"/>
  <w15:chartTrackingRefBased/>
  <w15:docId w15:val="{1CE7F483-3727-442F-8F9D-87A7C9D36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5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5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54B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54B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54B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54B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54B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54B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54B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54B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54B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54B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54B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54B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54B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54B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54B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54B4"/>
    <w:rPr>
      <w:rFonts w:eastAsiaTheme="majorEastAsia" w:cstheme="majorBidi"/>
      <w:color w:val="272727" w:themeColor="text1" w:themeTint="D8"/>
    </w:rPr>
  </w:style>
  <w:style w:type="paragraph" w:styleId="Ttulo">
    <w:name w:val="Title"/>
    <w:basedOn w:val="Normal"/>
    <w:next w:val="Normal"/>
    <w:link w:val="TtuloCar"/>
    <w:uiPriority w:val="10"/>
    <w:qFormat/>
    <w:rsid w:val="00EC54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54B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54B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54B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54B4"/>
    <w:pPr>
      <w:spacing w:before="160"/>
      <w:jc w:val="center"/>
    </w:pPr>
    <w:rPr>
      <w:i/>
      <w:iCs/>
      <w:color w:val="404040" w:themeColor="text1" w:themeTint="BF"/>
    </w:rPr>
  </w:style>
  <w:style w:type="character" w:customStyle="1" w:styleId="CitaCar">
    <w:name w:val="Cita Car"/>
    <w:basedOn w:val="Fuentedeprrafopredeter"/>
    <w:link w:val="Cita"/>
    <w:uiPriority w:val="29"/>
    <w:rsid w:val="00EC54B4"/>
    <w:rPr>
      <w:i/>
      <w:iCs/>
      <w:color w:val="404040" w:themeColor="text1" w:themeTint="BF"/>
    </w:rPr>
  </w:style>
  <w:style w:type="paragraph" w:styleId="Prrafodelista">
    <w:name w:val="List Paragraph"/>
    <w:basedOn w:val="Normal"/>
    <w:uiPriority w:val="34"/>
    <w:qFormat/>
    <w:rsid w:val="00EC54B4"/>
    <w:pPr>
      <w:ind w:left="720"/>
      <w:contextualSpacing/>
    </w:pPr>
  </w:style>
  <w:style w:type="character" w:styleId="nfasisintenso">
    <w:name w:val="Intense Emphasis"/>
    <w:basedOn w:val="Fuentedeprrafopredeter"/>
    <w:uiPriority w:val="21"/>
    <w:qFormat/>
    <w:rsid w:val="00EC54B4"/>
    <w:rPr>
      <w:i/>
      <w:iCs/>
      <w:color w:val="0F4761" w:themeColor="accent1" w:themeShade="BF"/>
    </w:rPr>
  </w:style>
  <w:style w:type="paragraph" w:styleId="Citadestacada">
    <w:name w:val="Intense Quote"/>
    <w:basedOn w:val="Normal"/>
    <w:next w:val="Normal"/>
    <w:link w:val="CitadestacadaCar"/>
    <w:uiPriority w:val="30"/>
    <w:qFormat/>
    <w:rsid w:val="00EC5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54B4"/>
    <w:rPr>
      <w:i/>
      <w:iCs/>
      <w:color w:val="0F4761" w:themeColor="accent1" w:themeShade="BF"/>
    </w:rPr>
  </w:style>
  <w:style w:type="character" w:styleId="Referenciaintensa">
    <w:name w:val="Intense Reference"/>
    <w:basedOn w:val="Fuentedeprrafopredeter"/>
    <w:uiPriority w:val="32"/>
    <w:qFormat/>
    <w:rsid w:val="00EC54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s.wikipedia.org/wiki/Saturno_devorando_a_su_hij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blogger.googleusercontent.com/img/a/AVvXsEhSkQL2JZkwZdT-iIOq97RpsUApPWiNoqkoYGW05OaJvrQP4OlZE4VU44zhFwPHrsiLzuF-V5P5ihS-QRPAyFidH3U9UJQaVMtXziH-ltZVp88EnKDi3ul54VSxBDBs-OwZhiX3cL-wS2d-eC3bCCTasTkUDAGdRxryMx6ob6kp29-ZM4gQ4MIvCzCLdPQ"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1170</Words>
  <Characters>6441</Characters>
  <Application>Microsoft Office Word</Application>
  <DocSecurity>0</DocSecurity>
  <Lines>53</Lines>
  <Paragraphs>15</Paragraphs>
  <ScaleCrop>false</ScaleCrop>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2026-09-08T13:07:00Z</dcterms:created>
  <dcterms:modified xsi:type="dcterms:W3CDTF">2026-09-08T13:07:00Z</dcterms:modified>
</cp:coreProperties>
</file>