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4C565" w14:textId="77777777" w:rsidR="00AE13F3" w:rsidRPr="00AE13F3" w:rsidRDefault="00AE13F3" w:rsidP="00AE13F3">
      <w:pPr>
        <w:shd w:val="clear" w:color="auto" w:fill="FFFFFF"/>
        <w:spacing w:after="0" w:line="240" w:lineRule="auto"/>
        <w:jc w:val="both"/>
        <w:outlineLvl w:val="0"/>
        <w:rPr>
          <w:rFonts w:ascii="Arial" w:eastAsia="Times New Roman" w:hAnsi="Arial" w:cs="Arial"/>
          <w:b/>
          <w:bCs/>
          <w:color w:val="222222"/>
          <w:kern w:val="36"/>
          <w:sz w:val="48"/>
          <w:szCs w:val="48"/>
          <w:lang w:eastAsia="es-UY"/>
          <w14:ligatures w14:val="none"/>
        </w:rPr>
      </w:pPr>
      <w:r w:rsidRPr="00AE13F3">
        <w:rPr>
          <w:rFonts w:ascii="Arial" w:eastAsia="Times New Roman" w:hAnsi="Arial" w:cs="Arial"/>
          <w:b/>
          <w:bCs/>
          <w:color w:val="1F1F1F"/>
          <w:kern w:val="36"/>
          <w:sz w:val="46"/>
          <w:szCs w:val="46"/>
          <w:lang w:eastAsia="es-UY"/>
          <w14:ligatures w14:val="none"/>
        </w:rPr>
        <w:t>El Vaticano invertirá 100 millones en energía solar para su autosuficiencia energética</w:t>
      </w:r>
    </w:p>
    <w:p w14:paraId="76857CF8" w14:textId="77777777" w:rsidR="00AE13F3" w:rsidRPr="00AE13F3" w:rsidRDefault="00AE13F3" w:rsidP="00AE13F3">
      <w:pPr>
        <w:shd w:val="clear" w:color="auto" w:fill="FFFFFF"/>
        <w:spacing w:after="0" w:line="240" w:lineRule="auto"/>
        <w:jc w:val="both"/>
        <w:rPr>
          <w:rFonts w:ascii="Arial" w:eastAsia="Times New Roman" w:hAnsi="Arial" w:cs="Arial"/>
          <w:color w:val="222222"/>
          <w:kern w:val="0"/>
          <w:lang w:eastAsia="es-UY"/>
          <w14:ligatures w14:val="none"/>
        </w:rPr>
      </w:pPr>
      <w:r w:rsidRPr="00AE13F3">
        <w:rPr>
          <w:rFonts w:ascii="Arial" w:eastAsia="Times New Roman" w:hAnsi="Arial" w:cs="Arial"/>
          <w:color w:val="1F1F1F"/>
          <w:kern w:val="0"/>
          <w:sz w:val="22"/>
          <w:szCs w:val="22"/>
          <w:lang w:eastAsia="es-UY"/>
          <w14:ligatures w14:val="none"/>
        </w:rPr>
        <w:t xml:space="preserve">El Vaticano levantará una </w:t>
      </w:r>
      <w:r w:rsidRPr="00AE13F3">
        <w:rPr>
          <w:rFonts w:ascii="Arial" w:eastAsia="Times New Roman" w:hAnsi="Arial" w:cs="Arial"/>
          <w:b/>
          <w:bCs/>
          <w:color w:val="1F1F1F"/>
          <w:kern w:val="0"/>
          <w:sz w:val="22"/>
          <w:szCs w:val="22"/>
          <w:lang w:eastAsia="es-UY"/>
          <w14:ligatures w14:val="none"/>
        </w:rPr>
        <w:t xml:space="preserve">gigantesca </w:t>
      </w:r>
      <w:hyperlink r:id="rId5" w:tgtFrame="_blank" w:history="1">
        <w:r w:rsidRPr="00AE13F3">
          <w:rPr>
            <w:rFonts w:ascii="Arial" w:eastAsia="Times New Roman" w:hAnsi="Arial" w:cs="Arial"/>
            <w:b/>
            <w:bCs/>
            <w:color w:val="1155CC"/>
            <w:kern w:val="0"/>
            <w:sz w:val="22"/>
            <w:szCs w:val="22"/>
            <w:u w:val="single"/>
            <w:lang w:eastAsia="es-UY"/>
            <w14:ligatures w14:val="none"/>
          </w:rPr>
          <w:t xml:space="preserve">planta </w:t>
        </w:r>
      </w:hyperlink>
      <w:hyperlink r:id="rId6" w:tgtFrame="_blank" w:history="1">
        <w:r w:rsidRPr="00AE13F3">
          <w:rPr>
            <w:rFonts w:ascii="Arial" w:eastAsia="Times New Roman" w:hAnsi="Arial" w:cs="Arial"/>
            <w:b/>
            <w:bCs/>
            <w:color w:val="1155CC"/>
            <w:kern w:val="0"/>
            <w:sz w:val="22"/>
            <w:szCs w:val="22"/>
            <w:u w:val="single"/>
            <w:lang w:eastAsia="es-UY"/>
            <w14:ligatures w14:val="none"/>
          </w:rPr>
          <w:t>agrivoltaica</w:t>
        </w:r>
      </w:hyperlink>
      <w:r w:rsidRPr="00AE13F3">
        <w:rPr>
          <w:rFonts w:ascii="Arial" w:eastAsia="Times New Roman" w:hAnsi="Arial" w:cs="Arial"/>
          <w:b/>
          <w:bCs/>
          <w:color w:val="1F1F1F"/>
          <w:kern w:val="0"/>
          <w:sz w:val="22"/>
          <w:szCs w:val="22"/>
          <w:lang w:eastAsia="es-UY"/>
          <w14:ligatures w14:val="none"/>
        </w:rPr>
        <w:t xml:space="preserve"> valorada en 100 millones de euros</w:t>
      </w:r>
      <w:r w:rsidRPr="00AE13F3">
        <w:rPr>
          <w:rFonts w:ascii="Arial" w:eastAsia="Times New Roman" w:hAnsi="Arial" w:cs="Arial"/>
          <w:color w:val="1F1F1F"/>
          <w:kern w:val="0"/>
          <w:sz w:val="22"/>
          <w:szCs w:val="22"/>
          <w:lang w:eastAsia="es-UY"/>
          <w14:ligatures w14:val="none"/>
        </w:rPr>
        <w:t xml:space="preserve"> para cubrir la totalidad de sus necesidades eléctricas y </w:t>
      </w:r>
      <w:r w:rsidRPr="00AE13F3">
        <w:rPr>
          <w:rFonts w:ascii="Arial" w:eastAsia="Times New Roman" w:hAnsi="Arial" w:cs="Arial"/>
          <w:b/>
          <w:bCs/>
          <w:color w:val="1F1F1F"/>
          <w:kern w:val="0"/>
          <w:sz w:val="22"/>
          <w:szCs w:val="22"/>
          <w:lang w:eastAsia="es-UY"/>
          <w14:ligatures w14:val="none"/>
        </w:rPr>
        <w:t>reducir su dependencia del suministro exterior</w:t>
      </w:r>
      <w:r w:rsidRPr="00AE13F3">
        <w:rPr>
          <w:rFonts w:ascii="Arial" w:eastAsia="Times New Roman" w:hAnsi="Arial" w:cs="Arial"/>
          <w:color w:val="1F1F1F"/>
          <w:kern w:val="0"/>
          <w:sz w:val="22"/>
          <w:szCs w:val="22"/>
          <w:lang w:eastAsia="es-UY"/>
          <w14:ligatures w14:val="none"/>
        </w:rPr>
        <w:t xml:space="preserve">. Ubicada en la finca de Santa Maria di Galeria, a las afueras de Roma, la instalación </w:t>
      </w:r>
      <w:r w:rsidRPr="00AE13F3">
        <w:rPr>
          <w:rFonts w:ascii="Arial" w:eastAsia="Times New Roman" w:hAnsi="Arial" w:cs="Arial"/>
          <w:b/>
          <w:bCs/>
          <w:color w:val="1F1F1F"/>
          <w:kern w:val="0"/>
          <w:sz w:val="22"/>
          <w:szCs w:val="22"/>
          <w:lang w:eastAsia="es-UY"/>
          <w14:ligatures w14:val="none"/>
        </w:rPr>
        <w:t>alcanzará entre 80 y 90 megavatios de potencia</w:t>
      </w:r>
      <w:r w:rsidRPr="00AE13F3">
        <w:rPr>
          <w:rFonts w:ascii="Arial" w:eastAsia="Times New Roman" w:hAnsi="Arial" w:cs="Arial"/>
          <w:color w:val="1F1F1F"/>
          <w:kern w:val="0"/>
          <w:sz w:val="22"/>
          <w:szCs w:val="22"/>
          <w:lang w:eastAsia="es-UY"/>
          <w14:ligatures w14:val="none"/>
        </w:rPr>
        <w:t xml:space="preserve">. Este despliegue renovable no solo marcará un hito tecnológico en la transición de la Santa Sede, sino que transformará radicalmente el perfil de consumo de la Ciudad del Vaticano mediante un </w:t>
      </w:r>
      <w:r w:rsidRPr="00AE13F3">
        <w:rPr>
          <w:rFonts w:ascii="Arial" w:eastAsia="Times New Roman" w:hAnsi="Arial" w:cs="Arial"/>
          <w:b/>
          <w:bCs/>
          <w:color w:val="1F1F1F"/>
          <w:kern w:val="0"/>
          <w:sz w:val="22"/>
          <w:szCs w:val="22"/>
          <w:lang w:eastAsia="es-UY"/>
          <w14:ligatures w14:val="none"/>
        </w:rPr>
        <w:t>modelo sostenible de autoconsumo territorial</w:t>
      </w:r>
      <w:r w:rsidRPr="00AE13F3">
        <w:rPr>
          <w:rFonts w:ascii="Arial" w:eastAsia="Times New Roman" w:hAnsi="Arial" w:cs="Arial"/>
          <w:color w:val="1F1F1F"/>
          <w:kern w:val="0"/>
          <w:sz w:val="22"/>
          <w:szCs w:val="22"/>
          <w:lang w:eastAsia="es-UY"/>
          <w14:ligatures w14:val="none"/>
        </w:rPr>
        <w:t>.</w:t>
      </w:r>
    </w:p>
    <w:p w14:paraId="7A1828A8" w14:textId="77777777" w:rsidR="00AE13F3" w:rsidRPr="00AE13F3" w:rsidRDefault="00AE13F3" w:rsidP="00AE13F3">
      <w:pPr>
        <w:spacing w:after="0" w:line="240" w:lineRule="auto"/>
        <w:rPr>
          <w:rFonts w:ascii="Times New Roman" w:eastAsia="Times New Roman" w:hAnsi="Times New Roman" w:cs="Times New Roman"/>
          <w:kern w:val="0"/>
          <w:lang w:eastAsia="es-UY"/>
          <w14:ligatures w14:val="none"/>
        </w:rPr>
      </w:pPr>
      <w:r w:rsidRPr="00AE13F3">
        <w:rPr>
          <w:rFonts w:ascii="Arial" w:eastAsia="Times New Roman" w:hAnsi="Arial" w:cs="Arial"/>
          <w:color w:val="222222"/>
          <w:kern w:val="0"/>
          <w:lang w:eastAsia="es-UY"/>
          <w14:ligatures w14:val="none"/>
        </w:rPr>
        <w:br/>
      </w:r>
    </w:p>
    <w:p w14:paraId="0BDCAAE6" w14:textId="77777777" w:rsidR="00AE13F3" w:rsidRPr="00AE13F3" w:rsidRDefault="00AE13F3" w:rsidP="00AE13F3">
      <w:pPr>
        <w:shd w:val="clear" w:color="auto" w:fill="FFFFFF"/>
        <w:spacing w:after="0" w:line="240" w:lineRule="auto"/>
        <w:jc w:val="both"/>
        <w:outlineLvl w:val="1"/>
        <w:rPr>
          <w:rFonts w:ascii="Arial" w:eastAsia="Times New Roman" w:hAnsi="Arial" w:cs="Arial"/>
          <w:b/>
          <w:bCs/>
          <w:color w:val="222222"/>
          <w:kern w:val="0"/>
          <w:sz w:val="36"/>
          <w:szCs w:val="36"/>
          <w:lang w:eastAsia="es-UY"/>
          <w14:ligatures w14:val="none"/>
        </w:rPr>
      </w:pPr>
      <w:r w:rsidRPr="00AE13F3">
        <w:rPr>
          <w:rFonts w:ascii="Arial" w:eastAsia="Times New Roman" w:hAnsi="Arial" w:cs="Arial"/>
          <w:b/>
          <w:bCs/>
          <w:color w:val="1F1F1F"/>
          <w:kern w:val="0"/>
          <w:sz w:val="34"/>
          <w:szCs w:val="34"/>
          <w:lang w:eastAsia="es-UY"/>
          <w14:ligatures w14:val="none"/>
        </w:rPr>
        <w:t>Infraestructura agrivoltaica y despliegue técnico en Santa Maria di Galeria</w:t>
      </w:r>
    </w:p>
    <w:p w14:paraId="2B94E264" w14:textId="77777777" w:rsidR="00AE13F3" w:rsidRPr="00AE13F3" w:rsidRDefault="00AE13F3" w:rsidP="00AE13F3">
      <w:pPr>
        <w:shd w:val="clear" w:color="auto" w:fill="FFFFFF"/>
        <w:spacing w:after="0" w:line="240" w:lineRule="auto"/>
        <w:jc w:val="both"/>
        <w:rPr>
          <w:rFonts w:ascii="Arial" w:eastAsia="Times New Roman" w:hAnsi="Arial" w:cs="Arial"/>
          <w:color w:val="222222"/>
          <w:kern w:val="0"/>
          <w:lang w:eastAsia="es-UY"/>
          <w14:ligatures w14:val="none"/>
        </w:rPr>
      </w:pPr>
      <w:r w:rsidRPr="00AE13F3">
        <w:rPr>
          <w:rFonts w:ascii="Arial" w:eastAsia="Times New Roman" w:hAnsi="Arial" w:cs="Arial"/>
          <w:color w:val="1F1F1F"/>
          <w:kern w:val="0"/>
          <w:sz w:val="22"/>
          <w:szCs w:val="22"/>
          <w:lang w:eastAsia="es-UY"/>
          <w14:ligatures w14:val="none"/>
        </w:rPr>
        <w:t xml:space="preserve">El proyecto técnico contempla la </w:t>
      </w:r>
      <w:r w:rsidRPr="00AE13F3">
        <w:rPr>
          <w:rFonts w:ascii="Arial" w:eastAsia="Times New Roman" w:hAnsi="Arial" w:cs="Arial"/>
          <w:b/>
          <w:bCs/>
          <w:color w:val="1F1F1F"/>
          <w:kern w:val="0"/>
          <w:sz w:val="22"/>
          <w:szCs w:val="22"/>
          <w:lang w:eastAsia="es-UY"/>
          <w14:ligatures w14:val="none"/>
        </w:rPr>
        <w:t>colocación de paneles solares elevados y móviles en aproximadamente 200 hectáreas</w:t>
      </w:r>
      <w:r w:rsidRPr="00AE13F3">
        <w:rPr>
          <w:rFonts w:ascii="Arial" w:eastAsia="Times New Roman" w:hAnsi="Arial" w:cs="Arial"/>
          <w:color w:val="1F1F1F"/>
          <w:kern w:val="0"/>
          <w:sz w:val="22"/>
          <w:szCs w:val="22"/>
          <w:lang w:eastAsia="es-UY"/>
          <w14:ligatures w14:val="none"/>
        </w:rPr>
        <w:t xml:space="preserve"> de la finca. Esta disposición agrivoltaica permitirá preservar las actividades agrícolas del terreno, optimizando la gestión del suelo y </w:t>
      </w:r>
      <w:r w:rsidRPr="00AE13F3">
        <w:rPr>
          <w:rFonts w:ascii="Arial" w:eastAsia="Times New Roman" w:hAnsi="Arial" w:cs="Arial"/>
          <w:b/>
          <w:bCs/>
          <w:color w:val="1F1F1F"/>
          <w:kern w:val="0"/>
          <w:sz w:val="22"/>
          <w:szCs w:val="22"/>
          <w:lang w:eastAsia="es-UY"/>
          <w14:ligatures w14:val="none"/>
        </w:rPr>
        <w:t>mitigando la evaporación del agua</w:t>
      </w:r>
      <w:r w:rsidRPr="00AE13F3">
        <w:rPr>
          <w:rFonts w:ascii="Arial" w:eastAsia="Times New Roman" w:hAnsi="Arial" w:cs="Arial"/>
          <w:color w:val="1F1F1F"/>
          <w:kern w:val="0"/>
          <w:sz w:val="22"/>
          <w:szCs w:val="22"/>
          <w:lang w:eastAsia="es-UY"/>
          <w14:ligatures w14:val="none"/>
        </w:rPr>
        <w:t>. La combinación de tecnología fotovoltaica y cultivo directo situará al recinto entre los más avanzados de Italia.</w:t>
      </w:r>
    </w:p>
    <w:p w14:paraId="09BDEFF2" w14:textId="77777777" w:rsidR="00AE13F3" w:rsidRPr="00AE13F3" w:rsidRDefault="00AE13F3" w:rsidP="00AE13F3">
      <w:pPr>
        <w:spacing w:after="0" w:line="240" w:lineRule="auto"/>
        <w:rPr>
          <w:rFonts w:ascii="Times New Roman" w:eastAsia="Times New Roman" w:hAnsi="Times New Roman" w:cs="Times New Roman"/>
          <w:kern w:val="0"/>
          <w:lang w:eastAsia="es-UY"/>
          <w14:ligatures w14:val="none"/>
        </w:rPr>
      </w:pPr>
      <w:r w:rsidRPr="00AE13F3">
        <w:rPr>
          <w:rFonts w:ascii="Arial" w:eastAsia="Times New Roman" w:hAnsi="Arial" w:cs="Arial"/>
          <w:color w:val="222222"/>
          <w:kern w:val="0"/>
          <w:lang w:eastAsia="es-UY"/>
          <w14:ligatures w14:val="none"/>
        </w:rPr>
        <w:br/>
      </w:r>
    </w:p>
    <w:p w14:paraId="56AAD3AE" w14:textId="77777777" w:rsidR="00AE13F3" w:rsidRPr="00AE13F3" w:rsidRDefault="00AE13F3" w:rsidP="00AE13F3">
      <w:pPr>
        <w:shd w:val="clear" w:color="auto" w:fill="FFFFFF"/>
        <w:spacing w:after="0" w:line="240" w:lineRule="auto"/>
        <w:jc w:val="both"/>
        <w:rPr>
          <w:rFonts w:ascii="Arial" w:eastAsia="Times New Roman" w:hAnsi="Arial" w:cs="Arial"/>
          <w:color w:val="222222"/>
          <w:kern w:val="0"/>
          <w:lang w:eastAsia="es-UY"/>
          <w14:ligatures w14:val="none"/>
        </w:rPr>
      </w:pPr>
      <w:r w:rsidRPr="00AE13F3">
        <w:rPr>
          <w:rFonts w:ascii="Arial" w:eastAsia="Times New Roman" w:hAnsi="Arial" w:cs="Arial"/>
          <w:color w:val="1F1F1F"/>
          <w:kern w:val="0"/>
          <w:sz w:val="22"/>
          <w:szCs w:val="22"/>
          <w:lang w:eastAsia="es-UY"/>
          <w14:ligatures w14:val="none"/>
        </w:rPr>
        <w:t xml:space="preserve">La planificación de las obras contempla un </w:t>
      </w:r>
      <w:r w:rsidRPr="00AE13F3">
        <w:rPr>
          <w:rFonts w:ascii="Arial" w:eastAsia="Times New Roman" w:hAnsi="Arial" w:cs="Arial"/>
          <w:b/>
          <w:bCs/>
          <w:color w:val="1F1F1F"/>
          <w:kern w:val="0"/>
          <w:sz w:val="22"/>
          <w:szCs w:val="22"/>
          <w:lang w:eastAsia="es-UY"/>
          <w14:ligatures w14:val="none"/>
        </w:rPr>
        <w:t>plazo de ejecución estimado de entre 18 y 24 meses</w:t>
      </w:r>
      <w:r w:rsidRPr="00AE13F3">
        <w:rPr>
          <w:rFonts w:ascii="Arial" w:eastAsia="Times New Roman" w:hAnsi="Arial" w:cs="Arial"/>
          <w:color w:val="1F1F1F"/>
          <w:kern w:val="0"/>
          <w:sz w:val="22"/>
          <w:szCs w:val="22"/>
          <w:lang w:eastAsia="es-UY"/>
          <w14:ligatures w14:val="none"/>
        </w:rPr>
        <w:t xml:space="preserve">. La </w:t>
      </w:r>
      <w:r w:rsidRPr="00AE13F3">
        <w:rPr>
          <w:rFonts w:ascii="Arial" w:eastAsia="Times New Roman" w:hAnsi="Arial" w:cs="Arial"/>
          <w:b/>
          <w:bCs/>
          <w:color w:val="1F1F1F"/>
          <w:kern w:val="0"/>
          <w:sz w:val="22"/>
          <w:szCs w:val="22"/>
          <w:lang w:eastAsia="es-UY"/>
          <w14:ligatures w14:val="none"/>
        </w:rPr>
        <w:t>licitación de los contratos principales comenzará en las próximas semanas</w:t>
      </w:r>
      <w:r w:rsidRPr="00AE13F3">
        <w:rPr>
          <w:rFonts w:ascii="Arial" w:eastAsia="Times New Roman" w:hAnsi="Arial" w:cs="Arial"/>
          <w:color w:val="1F1F1F"/>
          <w:kern w:val="0"/>
          <w:sz w:val="22"/>
          <w:szCs w:val="22"/>
          <w:lang w:eastAsia="es-UY"/>
          <w14:ligatures w14:val="none"/>
        </w:rPr>
        <w:t>, lo que activará la fase de construcción de esta granja solar sin alterar el ecosistema natural de la propiedad, reduciendo al máximo la</w:t>
      </w:r>
      <w:hyperlink r:id="rId7" w:tgtFrame="_blank" w:history="1">
        <w:r w:rsidRPr="00AE13F3">
          <w:rPr>
            <w:rFonts w:ascii="Arial" w:eastAsia="Times New Roman" w:hAnsi="Arial" w:cs="Arial"/>
            <w:color w:val="1F1F1F"/>
            <w:kern w:val="0"/>
            <w:sz w:val="22"/>
            <w:szCs w:val="22"/>
            <w:lang w:eastAsia="es-UY"/>
            <w14:ligatures w14:val="none"/>
          </w:rPr>
          <w:t xml:space="preserve"> </w:t>
        </w:r>
        <w:r w:rsidRPr="00AE13F3">
          <w:rPr>
            <w:rFonts w:ascii="Arial" w:eastAsia="Times New Roman" w:hAnsi="Arial" w:cs="Arial"/>
            <w:color w:val="000000"/>
            <w:kern w:val="0"/>
            <w:sz w:val="22"/>
            <w:szCs w:val="22"/>
            <w:u w:val="single"/>
            <w:lang w:eastAsia="es-UY"/>
            <w14:ligatures w14:val="none"/>
          </w:rPr>
          <w:t>huella de carbono</w:t>
        </w:r>
      </w:hyperlink>
      <w:r w:rsidRPr="00AE13F3">
        <w:rPr>
          <w:rFonts w:ascii="Arial" w:eastAsia="Times New Roman" w:hAnsi="Arial" w:cs="Arial"/>
          <w:color w:val="1F1F1F"/>
          <w:kern w:val="0"/>
          <w:sz w:val="22"/>
          <w:szCs w:val="22"/>
          <w:lang w:eastAsia="es-UY"/>
          <w14:ligatures w14:val="none"/>
        </w:rPr>
        <w:t xml:space="preserve"> de la Santa Sede.</w:t>
      </w:r>
    </w:p>
    <w:p w14:paraId="72879FF6" w14:textId="77777777" w:rsidR="00AE13F3" w:rsidRPr="00AE13F3" w:rsidRDefault="00AE13F3" w:rsidP="00AE13F3">
      <w:pPr>
        <w:spacing w:after="0" w:line="240" w:lineRule="auto"/>
        <w:rPr>
          <w:rFonts w:ascii="Times New Roman" w:eastAsia="Times New Roman" w:hAnsi="Times New Roman" w:cs="Times New Roman"/>
          <w:kern w:val="0"/>
          <w:lang w:eastAsia="es-UY"/>
          <w14:ligatures w14:val="none"/>
        </w:rPr>
      </w:pPr>
      <w:r w:rsidRPr="00AE13F3">
        <w:rPr>
          <w:rFonts w:ascii="Arial" w:eastAsia="Times New Roman" w:hAnsi="Arial" w:cs="Arial"/>
          <w:color w:val="222222"/>
          <w:kern w:val="0"/>
          <w:lang w:eastAsia="es-UY"/>
          <w14:ligatures w14:val="none"/>
        </w:rPr>
        <w:br/>
      </w:r>
    </w:p>
    <w:p w14:paraId="581093D5" w14:textId="77777777" w:rsidR="00AE13F3" w:rsidRPr="00AE13F3" w:rsidRDefault="00AE13F3" w:rsidP="00AE13F3">
      <w:pPr>
        <w:shd w:val="clear" w:color="auto" w:fill="FFFFFF"/>
        <w:spacing w:after="0" w:line="240" w:lineRule="auto"/>
        <w:jc w:val="both"/>
        <w:outlineLvl w:val="1"/>
        <w:rPr>
          <w:rFonts w:ascii="Arial" w:eastAsia="Times New Roman" w:hAnsi="Arial" w:cs="Arial"/>
          <w:b/>
          <w:bCs/>
          <w:color w:val="222222"/>
          <w:kern w:val="0"/>
          <w:sz w:val="36"/>
          <w:szCs w:val="36"/>
          <w:lang w:eastAsia="es-UY"/>
          <w14:ligatures w14:val="none"/>
        </w:rPr>
      </w:pPr>
      <w:r w:rsidRPr="00AE13F3">
        <w:rPr>
          <w:rFonts w:ascii="Arial" w:eastAsia="Times New Roman" w:hAnsi="Arial" w:cs="Arial"/>
          <w:b/>
          <w:bCs/>
          <w:color w:val="1F1F1F"/>
          <w:kern w:val="0"/>
          <w:sz w:val="34"/>
          <w:szCs w:val="34"/>
          <w:lang w:eastAsia="es-UY"/>
          <w14:ligatures w14:val="none"/>
        </w:rPr>
        <w:t>Cobertura del consumo de electricidad y alcance institucional</w:t>
      </w:r>
    </w:p>
    <w:p w14:paraId="0F0428C6" w14:textId="77777777" w:rsidR="00AE13F3" w:rsidRPr="00AE13F3" w:rsidRDefault="00AE13F3" w:rsidP="00AE13F3">
      <w:pPr>
        <w:numPr>
          <w:ilvl w:val="0"/>
          <w:numId w:val="1"/>
        </w:numPr>
        <w:spacing w:after="0" w:line="240" w:lineRule="auto"/>
        <w:ind w:left="945"/>
        <w:jc w:val="both"/>
        <w:textAlignment w:val="baseline"/>
        <w:rPr>
          <w:rFonts w:ascii="Arial" w:eastAsia="Times New Roman" w:hAnsi="Arial" w:cs="Arial"/>
          <w:color w:val="1F1F1F"/>
          <w:kern w:val="0"/>
          <w:sz w:val="22"/>
          <w:szCs w:val="22"/>
          <w:lang w:eastAsia="es-UY"/>
          <w14:ligatures w14:val="none"/>
        </w:rPr>
      </w:pPr>
      <w:r w:rsidRPr="00AE13F3">
        <w:rPr>
          <w:rFonts w:ascii="Arial" w:eastAsia="Times New Roman" w:hAnsi="Arial" w:cs="Arial"/>
          <w:b/>
          <w:bCs/>
          <w:color w:val="1F1F1F"/>
          <w:kern w:val="0"/>
          <w:sz w:val="22"/>
          <w:szCs w:val="22"/>
          <w:lang w:eastAsia="es-UY"/>
          <w14:ligatures w14:val="none"/>
        </w:rPr>
        <w:t>Distribución a sedes e instituciones clave:</w:t>
      </w:r>
      <w:r w:rsidRPr="00AE13F3">
        <w:rPr>
          <w:rFonts w:ascii="Arial" w:eastAsia="Times New Roman" w:hAnsi="Arial" w:cs="Arial"/>
          <w:color w:val="1F1F1F"/>
          <w:kern w:val="0"/>
          <w:sz w:val="22"/>
          <w:szCs w:val="22"/>
          <w:lang w:eastAsia="es-UY"/>
          <w14:ligatures w14:val="none"/>
        </w:rPr>
        <w:t xml:space="preserve"> La energía generada por esta infraestructura cubrirá las demandas energéticas del </w:t>
      </w:r>
      <w:r w:rsidRPr="00AE13F3">
        <w:rPr>
          <w:rFonts w:ascii="Arial" w:eastAsia="Times New Roman" w:hAnsi="Arial" w:cs="Arial"/>
          <w:b/>
          <w:bCs/>
          <w:color w:val="1F1F1F"/>
          <w:kern w:val="0"/>
          <w:sz w:val="22"/>
          <w:szCs w:val="22"/>
          <w:lang w:eastAsia="es-UY"/>
          <w14:ligatures w14:val="none"/>
        </w:rPr>
        <w:t>centro de transmisiones de Radio Vaticano y del conjunto de la Ciudad del Vaticano</w:t>
      </w:r>
      <w:r w:rsidRPr="00AE13F3">
        <w:rPr>
          <w:rFonts w:ascii="Arial" w:eastAsia="Times New Roman" w:hAnsi="Arial" w:cs="Arial"/>
          <w:color w:val="1F1F1F"/>
          <w:kern w:val="0"/>
          <w:sz w:val="22"/>
          <w:szCs w:val="22"/>
          <w:lang w:eastAsia="es-UY"/>
          <w14:ligatures w14:val="none"/>
        </w:rPr>
        <w:t xml:space="preserve">, abasteciendo también a instalaciones vinculadas a la Santa Sede como el </w:t>
      </w:r>
      <w:r w:rsidRPr="00AE13F3">
        <w:rPr>
          <w:rFonts w:ascii="Arial" w:eastAsia="Times New Roman" w:hAnsi="Arial" w:cs="Arial"/>
          <w:b/>
          <w:bCs/>
          <w:color w:val="1F1F1F"/>
          <w:kern w:val="0"/>
          <w:sz w:val="22"/>
          <w:szCs w:val="22"/>
          <w:lang w:eastAsia="es-UY"/>
          <w14:ligatures w14:val="none"/>
        </w:rPr>
        <w:t>hospital pediátrico Bambino Gesù</w:t>
      </w:r>
      <w:r w:rsidRPr="00AE13F3">
        <w:rPr>
          <w:rFonts w:ascii="Arial" w:eastAsia="Times New Roman" w:hAnsi="Arial" w:cs="Arial"/>
          <w:color w:val="1F1F1F"/>
          <w:kern w:val="0"/>
          <w:sz w:val="22"/>
          <w:szCs w:val="22"/>
          <w:lang w:eastAsia="es-UY"/>
          <w14:ligatures w14:val="none"/>
        </w:rPr>
        <w:t xml:space="preserve"> para garantizar suministro limpio a servicios esenciales y optimizar los</w:t>
      </w:r>
      <w:hyperlink r:id="rId8" w:tgtFrame="_blank" w:history="1">
        <w:r w:rsidRPr="00AE13F3">
          <w:rPr>
            <w:rFonts w:ascii="Arial" w:eastAsia="Times New Roman" w:hAnsi="Arial" w:cs="Arial"/>
            <w:color w:val="1F1F1F"/>
            <w:kern w:val="0"/>
            <w:sz w:val="22"/>
            <w:szCs w:val="22"/>
            <w:lang w:eastAsia="es-UY"/>
            <w14:ligatures w14:val="none"/>
          </w:rPr>
          <w:t xml:space="preserve"> </w:t>
        </w:r>
        <w:r w:rsidRPr="00AE13F3">
          <w:rPr>
            <w:rFonts w:ascii="Arial" w:eastAsia="Times New Roman" w:hAnsi="Arial" w:cs="Arial"/>
            <w:color w:val="000000"/>
            <w:kern w:val="0"/>
            <w:sz w:val="22"/>
            <w:szCs w:val="22"/>
            <w:u w:val="single"/>
            <w:lang w:eastAsia="es-UY"/>
            <w14:ligatures w14:val="none"/>
          </w:rPr>
          <w:t>megavatios que consume</w:t>
        </w:r>
      </w:hyperlink>
      <w:r w:rsidRPr="00AE13F3">
        <w:rPr>
          <w:rFonts w:ascii="Arial" w:eastAsia="Times New Roman" w:hAnsi="Arial" w:cs="Arial"/>
          <w:color w:val="1F1F1F"/>
          <w:kern w:val="0"/>
          <w:sz w:val="22"/>
          <w:szCs w:val="22"/>
          <w:lang w:eastAsia="es-UY"/>
          <w14:ligatures w14:val="none"/>
        </w:rPr>
        <w:t xml:space="preserve"> el complejo.</w:t>
      </w:r>
    </w:p>
    <w:p w14:paraId="2D9CF7F7" w14:textId="77777777" w:rsidR="00AE13F3" w:rsidRPr="00AE13F3" w:rsidRDefault="00AE13F3" w:rsidP="00AE13F3">
      <w:pPr>
        <w:spacing w:after="0" w:line="240" w:lineRule="auto"/>
        <w:rPr>
          <w:rFonts w:ascii="Times New Roman" w:eastAsia="Times New Roman" w:hAnsi="Times New Roman" w:cs="Times New Roman"/>
          <w:kern w:val="0"/>
          <w:lang w:eastAsia="es-UY"/>
          <w14:ligatures w14:val="none"/>
        </w:rPr>
      </w:pPr>
      <w:r w:rsidRPr="00AE13F3">
        <w:rPr>
          <w:rFonts w:ascii="Arial" w:eastAsia="Times New Roman" w:hAnsi="Arial" w:cs="Arial"/>
          <w:color w:val="222222"/>
          <w:kern w:val="0"/>
          <w:lang w:eastAsia="es-UY"/>
          <w14:ligatures w14:val="none"/>
        </w:rPr>
        <w:br/>
      </w:r>
    </w:p>
    <w:p w14:paraId="79E195DE" w14:textId="77777777" w:rsidR="00AE13F3" w:rsidRPr="00AE13F3" w:rsidRDefault="00AE13F3" w:rsidP="00AE13F3">
      <w:pPr>
        <w:numPr>
          <w:ilvl w:val="0"/>
          <w:numId w:val="2"/>
        </w:numPr>
        <w:spacing w:after="0" w:line="240" w:lineRule="auto"/>
        <w:ind w:left="945"/>
        <w:jc w:val="both"/>
        <w:textAlignment w:val="baseline"/>
        <w:rPr>
          <w:rFonts w:ascii="Arial" w:eastAsia="Times New Roman" w:hAnsi="Arial" w:cs="Arial"/>
          <w:color w:val="1F1F1F"/>
          <w:kern w:val="0"/>
          <w:sz w:val="22"/>
          <w:szCs w:val="22"/>
          <w:lang w:eastAsia="es-UY"/>
          <w14:ligatures w14:val="none"/>
        </w:rPr>
      </w:pPr>
      <w:r w:rsidRPr="00AE13F3">
        <w:rPr>
          <w:rFonts w:ascii="Arial" w:eastAsia="Times New Roman" w:hAnsi="Arial" w:cs="Arial"/>
          <w:b/>
          <w:bCs/>
          <w:color w:val="1F1F1F"/>
          <w:kern w:val="0"/>
          <w:sz w:val="22"/>
          <w:szCs w:val="22"/>
          <w:lang w:eastAsia="es-UY"/>
          <w14:ligatures w14:val="none"/>
        </w:rPr>
        <w:t>Integración y vertido a la red italiana:</w:t>
      </w:r>
      <w:r w:rsidRPr="00AE13F3">
        <w:rPr>
          <w:rFonts w:ascii="Arial" w:eastAsia="Times New Roman" w:hAnsi="Arial" w:cs="Arial"/>
          <w:color w:val="1F1F1F"/>
          <w:kern w:val="0"/>
          <w:sz w:val="22"/>
          <w:szCs w:val="22"/>
          <w:lang w:eastAsia="es-UY"/>
          <w14:ligatures w14:val="none"/>
        </w:rPr>
        <w:t xml:space="preserve"> En el supuesto de registrarse excedentes de producción, la </w:t>
      </w:r>
      <w:r w:rsidRPr="00AE13F3">
        <w:rPr>
          <w:rFonts w:ascii="Arial" w:eastAsia="Times New Roman" w:hAnsi="Arial" w:cs="Arial"/>
          <w:b/>
          <w:bCs/>
          <w:color w:val="1F1F1F"/>
          <w:kern w:val="0"/>
          <w:sz w:val="22"/>
          <w:szCs w:val="22"/>
          <w:lang w:eastAsia="es-UY"/>
          <w14:ligatures w14:val="none"/>
        </w:rPr>
        <w:t>electricidad sobrante se volcará a la red nacional italiana</w:t>
      </w:r>
      <w:r w:rsidRPr="00AE13F3">
        <w:rPr>
          <w:rFonts w:ascii="Arial" w:eastAsia="Times New Roman" w:hAnsi="Arial" w:cs="Arial"/>
          <w:color w:val="1F1F1F"/>
          <w:kern w:val="0"/>
          <w:sz w:val="22"/>
          <w:szCs w:val="22"/>
          <w:lang w:eastAsia="es-UY"/>
          <w14:ligatures w14:val="none"/>
        </w:rPr>
        <w:t xml:space="preserve">, lo que reinforced la </w:t>
      </w:r>
      <w:r w:rsidRPr="00AE13F3">
        <w:rPr>
          <w:rFonts w:ascii="Arial" w:eastAsia="Times New Roman" w:hAnsi="Arial" w:cs="Arial"/>
          <w:b/>
          <w:bCs/>
          <w:color w:val="1F1F1F"/>
          <w:kern w:val="0"/>
          <w:sz w:val="22"/>
          <w:szCs w:val="22"/>
          <w:lang w:eastAsia="es-UY"/>
          <w14:ligatures w14:val="none"/>
        </w:rPr>
        <w:t>estabilidad del sistema energético local</w:t>
      </w:r>
      <w:r w:rsidRPr="00AE13F3">
        <w:rPr>
          <w:rFonts w:ascii="Arial" w:eastAsia="Times New Roman" w:hAnsi="Arial" w:cs="Arial"/>
          <w:color w:val="1F1F1F"/>
          <w:kern w:val="0"/>
          <w:sz w:val="22"/>
          <w:szCs w:val="22"/>
          <w:lang w:eastAsia="es-UY"/>
          <w14:ligatures w14:val="none"/>
        </w:rPr>
        <w:t xml:space="preserve"> y consolidará la viabilidad de la inversión económica realizada.</w:t>
      </w:r>
    </w:p>
    <w:p w14:paraId="5E3F6F5D" w14:textId="77777777" w:rsidR="00AE13F3" w:rsidRPr="00AE13F3" w:rsidRDefault="00AE13F3" w:rsidP="00AE13F3">
      <w:pPr>
        <w:spacing w:after="0" w:line="240" w:lineRule="auto"/>
        <w:rPr>
          <w:rFonts w:ascii="Times New Roman" w:eastAsia="Times New Roman" w:hAnsi="Times New Roman" w:cs="Times New Roman"/>
          <w:kern w:val="0"/>
          <w:lang w:eastAsia="es-UY"/>
          <w14:ligatures w14:val="none"/>
        </w:rPr>
      </w:pPr>
      <w:r w:rsidRPr="00AE13F3">
        <w:rPr>
          <w:rFonts w:ascii="Arial" w:eastAsia="Times New Roman" w:hAnsi="Arial" w:cs="Arial"/>
          <w:color w:val="222222"/>
          <w:kern w:val="0"/>
          <w:lang w:eastAsia="es-UY"/>
          <w14:ligatures w14:val="none"/>
        </w:rPr>
        <w:br/>
      </w:r>
    </w:p>
    <w:p w14:paraId="42A03D98" w14:textId="77777777" w:rsidR="00AE13F3" w:rsidRPr="00AE13F3" w:rsidRDefault="00AE13F3" w:rsidP="00AE13F3">
      <w:pPr>
        <w:shd w:val="clear" w:color="auto" w:fill="FFFFFF"/>
        <w:spacing w:after="0" w:line="240" w:lineRule="auto"/>
        <w:jc w:val="both"/>
        <w:outlineLvl w:val="1"/>
        <w:rPr>
          <w:rFonts w:ascii="Arial" w:eastAsia="Times New Roman" w:hAnsi="Arial" w:cs="Arial"/>
          <w:b/>
          <w:bCs/>
          <w:color w:val="222222"/>
          <w:kern w:val="0"/>
          <w:sz w:val="36"/>
          <w:szCs w:val="36"/>
          <w:lang w:eastAsia="es-UY"/>
          <w14:ligatures w14:val="none"/>
        </w:rPr>
      </w:pPr>
      <w:r w:rsidRPr="00AE13F3">
        <w:rPr>
          <w:rFonts w:ascii="Arial" w:eastAsia="Times New Roman" w:hAnsi="Arial" w:cs="Arial"/>
          <w:b/>
          <w:bCs/>
          <w:color w:val="1F1F1F"/>
          <w:kern w:val="0"/>
          <w:sz w:val="34"/>
          <w:szCs w:val="34"/>
          <w:lang w:eastAsia="es-UY"/>
          <w14:ligatures w14:val="none"/>
        </w:rPr>
        <w:t>Evolución estratégica del modelo energético y marco institucional</w:t>
      </w:r>
    </w:p>
    <w:p w14:paraId="1867BEE5" w14:textId="77777777" w:rsidR="00AE13F3" w:rsidRPr="00AE13F3" w:rsidRDefault="00AE13F3" w:rsidP="00AE13F3">
      <w:pPr>
        <w:shd w:val="clear" w:color="auto" w:fill="FFFFFF"/>
        <w:spacing w:after="0" w:line="240" w:lineRule="auto"/>
        <w:jc w:val="both"/>
        <w:rPr>
          <w:rFonts w:ascii="Arial" w:eastAsia="Times New Roman" w:hAnsi="Arial" w:cs="Arial"/>
          <w:color w:val="222222"/>
          <w:kern w:val="0"/>
          <w:lang w:eastAsia="es-UY"/>
          <w14:ligatures w14:val="none"/>
        </w:rPr>
      </w:pPr>
      <w:r w:rsidRPr="00AE13F3">
        <w:rPr>
          <w:rFonts w:ascii="Arial" w:eastAsia="Times New Roman" w:hAnsi="Arial" w:cs="Arial"/>
          <w:color w:val="1F1F1F"/>
          <w:kern w:val="0"/>
          <w:sz w:val="22"/>
          <w:szCs w:val="22"/>
          <w:lang w:eastAsia="es-UY"/>
          <w14:ligatures w14:val="none"/>
        </w:rPr>
        <w:lastRenderedPageBreak/>
        <w:t xml:space="preserve">El origen de la iniciativa se sitúa en las </w:t>
      </w:r>
      <w:r w:rsidRPr="00AE13F3">
        <w:rPr>
          <w:rFonts w:ascii="Arial" w:eastAsia="Times New Roman" w:hAnsi="Arial" w:cs="Arial"/>
          <w:b/>
          <w:bCs/>
          <w:color w:val="1F1F1F"/>
          <w:kern w:val="0"/>
          <w:sz w:val="22"/>
          <w:szCs w:val="22"/>
          <w:lang w:eastAsia="es-UY"/>
          <w14:ligatures w14:val="none"/>
        </w:rPr>
        <w:t>directrices fijadas por el papa Francisco en 2024</w:t>
      </w:r>
      <w:r w:rsidRPr="00AE13F3">
        <w:rPr>
          <w:rFonts w:ascii="Arial" w:eastAsia="Times New Roman" w:hAnsi="Arial" w:cs="Arial"/>
          <w:color w:val="1F1F1F"/>
          <w:kern w:val="0"/>
          <w:sz w:val="22"/>
          <w:szCs w:val="22"/>
          <w:lang w:eastAsia="es-UY"/>
          <w14:ligatures w14:val="none"/>
        </w:rPr>
        <w:t xml:space="preserve">, continuadas posteriormente por León XIV con la creación de la Fundación Fratello Sole. La </w:t>
      </w:r>
      <w:r w:rsidRPr="00AE13F3">
        <w:rPr>
          <w:rFonts w:ascii="Arial" w:eastAsia="Times New Roman" w:hAnsi="Arial" w:cs="Arial"/>
          <w:b/>
          <w:bCs/>
          <w:color w:val="1F1F1F"/>
          <w:kern w:val="0"/>
          <w:sz w:val="22"/>
          <w:szCs w:val="22"/>
          <w:lang w:eastAsia="es-UY"/>
          <w14:ligatures w14:val="none"/>
        </w:rPr>
        <w:t>consolidación del marco jurídico entre Italia y la Santa Sede</w:t>
      </w:r>
      <w:r w:rsidRPr="00AE13F3">
        <w:rPr>
          <w:rFonts w:ascii="Arial" w:eastAsia="Times New Roman" w:hAnsi="Arial" w:cs="Arial"/>
          <w:color w:val="1F1F1F"/>
          <w:kern w:val="0"/>
          <w:sz w:val="22"/>
          <w:szCs w:val="22"/>
          <w:lang w:eastAsia="es-UY"/>
          <w14:ligatures w14:val="none"/>
        </w:rPr>
        <w:t xml:space="preserve"> en mayo de 2026 proporcionó la seguridad legal requerida para el desarrollo de la obra.</w:t>
      </w:r>
    </w:p>
    <w:p w14:paraId="5F132664" w14:textId="77777777" w:rsidR="00AE13F3" w:rsidRPr="00AE13F3" w:rsidRDefault="00AE13F3" w:rsidP="00AE13F3">
      <w:pPr>
        <w:spacing w:after="0" w:line="240" w:lineRule="auto"/>
        <w:rPr>
          <w:rFonts w:ascii="Times New Roman" w:eastAsia="Times New Roman" w:hAnsi="Times New Roman" w:cs="Times New Roman"/>
          <w:kern w:val="0"/>
          <w:lang w:eastAsia="es-UY"/>
          <w14:ligatures w14:val="none"/>
        </w:rPr>
      </w:pPr>
      <w:r w:rsidRPr="00AE13F3">
        <w:rPr>
          <w:rFonts w:ascii="Arial" w:eastAsia="Times New Roman" w:hAnsi="Arial" w:cs="Arial"/>
          <w:color w:val="222222"/>
          <w:kern w:val="0"/>
          <w:lang w:eastAsia="es-UY"/>
          <w14:ligatures w14:val="none"/>
        </w:rPr>
        <w:br/>
      </w:r>
    </w:p>
    <w:p w14:paraId="7CB4A3F0" w14:textId="77777777" w:rsidR="00AE13F3" w:rsidRPr="00AE13F3" w:rsidRDefault="00AE13F3" w:rsidP="00AE13F3">
      <w:pPr>
        <w:shd w:val="clear" w:color="auto" w:fill="FFFFFF"/>
        <w:spacing w:after="0" w:line="240" w:lineRule="auto"/>
        <w:jc w:val="both"/>
        <w:rPr>
          <w:rFonts w:ascii="Arial" w:eastAsia="Times New Roman" w:hAnsi="Arial" w:cs="Arial"/>
          <w:color w:val="222222"/>
          <w:kern w:val="0"/>
          <w:lang w:eastAsia="es-UY"/>
          <w14:ligatures w14:val="none"/>
        </w:rPr>
      </w:pPr>
      <w:r w:rsidRPr="00AE13F3">
        <w:rPr>
          <w:rFonts w:ascii="Arial" w:eastAsia="Times New Roman" w:hAnsi="Arial" w:cs="Arial"/>
          <w:color w:val="1F1F1F"/>
          <w:kern w:val="0"/>
          <w:sz w:val="22"/>
          <w:szCs w:val="22"/>
          <w:lang w:eastAsia="es-UY"/>
          <w14:ligatures w14:val="none"/>
        </w:rPr>
        <w:t xml:space="preserve">Asimismo, la </w:t>
      </w:r>
      <w:r w:rsidRPr="00AE13F3">
        <w:rPr>
          <w:rFonts w:ascii="Arial" w:eastAsia="Times New Roman" w:hAnsi="Arial" w:cs="Arial"/>
          <w:b/>
          <w:bCs/>
          <w:color w:val="1F1F1F"/>
          <w:kern w:val="0"/>
          <w:sz w:val="22"/>
          <w:szCs w:val="22"/>
          <w:lang w:eastAsia="es-UY"/>
          <w14:ligatures w14:val="none"/>
        </w:rPr>
        <w:t>colaboración formalizada con la compañía energética ACEA</w:t>
      </w:r>
      <w:r w:rsidRPr="00AE13F3">
        <w:rPr>
          <w:rFonts w:ascii="Arial" w:eastAsia="Times New Roman" w:hAnsi="Arial" w:cs="Arial"/>
          <w:color w:val="1F1F1F"/>
          <w:kern w:val="0"/>
          <w:sz w:val="22"/>
          <w:szCs w:val="22"/>
          <w:lang w:eastAsia="es-UY"/>
          <w14:ligatures w14:val="none"/>
        </w:rPr>
        <w:t xml:space="preserve"> permitirá coordinar la gestión de infraestructuras y la protección del suelo. Esta actuación prolonga una trayectoria iniciada en 2008 con la instalación de paneles en el Aula Pablo VI, promoviendo una</w:t>
      </w:r>
      <w:hyperlink r:id="rId9" w:tgtFrame="_blank" w:history="1">
        <w:r w:rsidRPr="00AE13F3">
          <w:rPr>
            <w:rFonts w:ascii="Arial" w:eastAsia="Times New Roman" w:hAnsi="Arial" w:cs="Arial"/>
            <w:color w:val="1F1F1F"/>
            <w:kern w:val="0"/>
            <w:sz w:val="22"/>
            <w:szCs w:val="22"/>
            <w:lang w:eastAsia="es-UY"/>
            <w14:ligatures w14:val="none"/>
          </w:rPr>
          <w:t xml:space="preserve"> </w:t>
        </w:r>
        <w:r w:rsidRPr="00AE13F3">
          <w:rPr>
            <w:rFonts w:ascii="Arial" w:eastAsia="Times New Roman" w:hAnsi="Arial" w:cs="Arial"/>
            <w:color w:val="000000"/>
            <w:kern w:val="0"/>
            <w:sz w:val="22"/>
            <w:szCs w:val="22"/>
            <w:u w:val="single"/>
            <w:lang w:eastAsia="es-UY"/>
            <w14:ligatures w14:val="none"/>
          </w:rPr>
          <w:t>gestión de servicios</w:t>
        </w:r>
      </w:hyperlink>
      <w:r w:rsidRPr="00AE13F3">
        <w:rPr>
          <w:rFonts w:ascii="Arial" w:eastAsia="Times New Roman" w:hAnsi="Arial" w:cs="Arial"/>
          <w:color w:val="1F1F1F"/>
          <w:kern w:val="0"/>
          <w:sz w:val="22"/>
          <w:szCs w:val="22"/>
          <w:lang w:eastAsia="es-UY"/>
          <w14:ligatures w14:val="none"/>
        </w:rPr>
        <w:t xml:space="preserve"> eficiente para ajustar la</w:t>
      </w:r>
      <w:hyperlink r:id="rId10" w:tgtFrame="_blank" w:history="1">
        <w:r w:rsidRPr="00AE13F3">
          <w:rPr>
            <w:rFonts w:ascii="Arial" w:eastAsia="Times New Roman" w:hAnsi="Arial" w:cs="Arial"/>
            <w:color w:val="1F1F1F"/>
            <w:kern w:val="0"/>
            <w:sz w:val="22"/>
            <w:szCs w:val="22"/>
            <w:lang w:eastAsia="es-UY"/>
            <w14:ligatures w14:val="none"/>
          </w:rPr>
          <w:t xml:space="preserve"> </w:t>
        </w:r>
        <w:r w:rsidRPr="00AE13F3">
          <w:rPr>
            <w:rFonts w:ascii="Arial" w:eastAsia="Times New Roman" w:hAnsi="Arial" w:cs="Arial"/>
            <w:color w:val="000000"/>
            <w:kern w:val="0"/>
            <w:sz w:val="22"/>
            <w:szCs w:val="22"/>
            <w:u w:val="single"/>
            <w:lang w:eastAsia="es-UY"/>
            <w14:ligatures w14:val="none"/>
          </w:rPr>
          <w:t>tarifa de luz</w:t>
        </w:r>
      </w:hyperlink>
      <w:r w:rsidRPr="00AE13F3">
        <w:rPr>
          <w:rFonts w:ascii="Arial" w:eastAsia="Times New Roman" w:hAnsi="Arial" w:cs="Arial"/>
          <w:color w:val="1F1F1F"/>
          <w:kern w:val="0"/>
          <w:sz w:val="22"/>
          <w:szCs w:val="22"/>
          <w:lang w:eastAsia="es-UY"/>
          <w14:ligatures w14:val="none"/>
        </w:rPr>
        <w:t xml:space="preserve"> y afianzando un </w:t>
      </w:r>
      <w:r w:rsidRPr="00AE13F3">
        <w:rPr>
          <w:rFonts w:ascii="Arial" w:eastAsia="Times New Roman" w:hAnsi="Arial" w:cs="Arial"/>
          <w:b/>
          <w:bCs/>
          <w:color w:val="1F1F1F"/>
          <w:kern w:val="0"/>
          <w:sz w:val="22"/>
          <w:szCs w:val="22"/>
          <w:lang w:eastAsia="es-UY"/>
          <w14:ligatures w14:val="none"/>
        </w:rPr>
        <w:t>modelo de soberanía energética a gran escala</w:t>
      </w:r>
      <w:r w:rsidRPr="00AE13F3">
        <w:rPr>
          <w:rFonts w:ascii="Arial" w:eastAsia="Times New Roman" w:hAnsi="Arial" w:cs="Arial"/>
          <w:color w:val="1F1F1F"/>
          <w:kern w:val="0"/>
          <w:sz w:val="22"/>
          <w:szCs w:val="22"/>
          <w:lang w:eastAsia="es-UY"/>
          <w14:ligatures w14:val="none"/>
        </w:rPr>
        <w:t>.</w:t>
      </w:r>
    </w:p>
    <w:p w14:paraId="390237AF" w14:textId="77777777" w:rsidR="00AE13F3" w:rsidRPr="00AE13F3" w:rsidRDefault="00AE13F3" w:rsidP="00AE13F3">
      <w:pPr>
        <w:spacing w:after="0" w:line="240" w:lineRule="auto"/>
        <w:rPr>
          <w:rFonts w:ascii="Times New Roman" w:eastAsia="Times New Roman" w:hAnsi="Times New Roman" w:cs="Times New Roman"/>
          <w:kern w:val="0"/>
          <w:lang w:eastAsia="es-UY"/>
          <w14:ligatures w14:val="none"/>
        </w:rPr>
      </w:pPr>
      <w:r w:rsidRPr="00AE13F3">
        <w:rPr>
          <w:rFonts w:ascii="Arial" w:eastAsia="Times New Roman" w:hAnsi="Arial" w:cs="Arial"/>
          <w:color w:val="222222"/>
          <w:kern w:val="0"/>
          <w:lang w:eastAsia="es-UY"/>
          <w14:ligatures w14:val="none"/>
        </w:rPr>
        <w:br/>
      </w:r>
    </w:p>
    <w:p w14:paraId="251EF40A" w14:textId="77777777" w:rsidR="00AE13F3" w:rsidRPr="00AE13F3" w:rsidRDefault="00AE13F3" w:rsidP="00AE13F3">
      <w:pPr>
        <w:shd w:val="clear" w:color="auto" w:fill="FFFFFF"/>
        <w:spacing w:after="0" w:line="240" w:lineRule="auto"/>
        <w:jc w:val="both"/>
        <w:rPr>
          <w:rFonts w:ascii="Arial" w:eastAsia="Times New Roman" w:hAnsi="Arial" w:cs="Arial"/>
          <w:color w:val="222222"/>
          <w:kern w:val="0"/>
          <w:lang w:eastAsia="es-UY"/>
          <w14:ligatures w14:val="none"/>
        </w:rPr>
      </w:pPr>
      <w:r w:rsidRPr="00AE13F3">
        <w:rPr>
          <w:rFonts w:ascii="Arial" w:eastAsia="Times New Roman" w:hAnsi="Arial" w:cs="Arial"/>
          <w:color w:val="1F1F1F"/>
          <w:kern w:val="0"/>
          <w:sz w:val="22"/>
          <w:szCs w:val="22"/>
          <w:lang w:eastAsia="es-UY"/>
          <w14:ligatures w14:val="none"/>
        </w:rPr>
        <w:t xml:space="preserve">Fuente: </w:t>
      </w:r>
      <w:hyperlink r:id="rId11" w:tgtFrame="_blank" w:history="1">
        <w:r w:rsidRPr="00AE13F3">
          <w:rPr>
            <w:rFonts w:ascii="Arial" w:eastAsia="Times New Roman" w:hAnsi="Arial" w:cs="Arial"/>
            <w:color w:val="1155CC"/>
            <w:kern w:val="0"/>
            <w:sz w:val="22"/>
            <w:szCs w:val="22"/>
            <w:u w:val="single"/>
            <w:lang w:eastAsia="es-UY"/>
            <w14:ligatures w14:val="none"/>
          </w:rPr>
          <w:t>papernest.es</w:t>
        </w:r>
      </w:hyperlink>
    </w:p>
    <w:p w14:paraId="2F84F7B4" w14:textId="77777777" w:rsidR="00AE13F3" w:rsidRPr="00AE13F3" w:rsidRDefault="00AE13F3" w:rsidP="00AE13F3">
      <w:pPr>
        <w:shd w:val="clear" w:color="auto" w:fill="FFFFFF"/>
        <w:spacing w:after="0" w:line="240" w:lineRule="auto"/>
        <w:jc w:val="both"/>
        <w:rPr>
          <w:rFonts w:ascii="Arial" w:eastAsia="Times New Roman" w:hAnsi="Arial" w:cs="Arial"/>
          <w:color w:val="222222"/>
          <w:kern w:val="0"/>
          <w:lang w:eastAsia="es-UY"/>
          <w14:ligatures w14:val="none"/>
        </w:rPr>
      </w:pPr>
      <w:r w:rsidRPr="00AE13F3">
        <w:rPr>
          <w:rFonts w:ascii="Arial" w:eastAsia="Times New Roman" w:hAnsi="Arial" w:cs="Arial"/>
          <w:b/>
          <w:bCs/>
          <w:color w:val="000000"/>
          <w:kern w:val="0"/>
          <w:sz w:val="20"/>
          <w:szCs w:val="20"/>
          <w:lang w:eastAsia="es-UY"/>
          <w14:ligatures w14:val="none"/>
        </w:rPr>
        <w:br/>
      </w:r>
    </w:p>
    <w:p w14:paraId="1B1F8697" w14:textId="77777777" w:rsidR="00AE13F3" w:rsidRPr="00AE13F3" w:rsidRDefault="00AE13F3" w:rsidP="00AE13F3">
      <w:pPr>
        <w:shd w:val="clear" w:color="auto" w:fill="FFFFFF"/>
        <w:spacing w:after="0" w:line="240" w:lineRule="auto"/>
        <w:jc w:val="both"/>
        <w:rPr>
          <w:rFonts w:ascii="Arial" w:eastAsia="Times New Roman" w:hAnsi="Arial" w:cs="Arial"/>
          <w:color w:val="222222"/>
          <w:kern w:val="0"/>
          <w:lang w:eastAsia="es-UY"/>
          <w14:ligatures w14:val="none"/>
        </w:rPr>
      </w:pPr>
      <w:r w:rsidRPr="00AE13F3">
        <w:rPr>
          <w:rFonts w:ascii="Arial" w:eastAsia="Times New Roman" w:hAnsi="Arial" w:cs="Arial"/>
          <w:b/>
          <w:bCs/>
          <w:color w:val="000000"/>
          <w:kern w:val="0"/>
          <w:sz w:val="20"/>
          <w:szCs w:val="20"/>
          <w:lang w:eastAsia="es-UY"/>
          <w14:ligatures w14:val="none"/>
        </w:rPr>
        <w:t>&gt;&gt;&gt;&gt;&gt;&gt;&gt;&gt;&gt;&gt;&gt;&gt;&gt;&gt;FIN DEL TEXTO</w:t>
      </w:r>
    </w:p>
    <w:p w14:paraId="74121FD4" w14:textId="77777777" w:rsidR="00AE13F3" w:rsidRDefault="00AE13F3"/>
    <w:sectPr w:rsidR="00AE13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CB0483"/>
    <w:multiLevelType w:val="multilevel"/>
    <w:tmpl w:val="680E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E60723"/>
    <w:multiLevelType w:val="multilevel"/>
    <w:tmpl w:val="9B7A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0195550">
    <w:abstractNumId w:val="1"/>
  </w:num>
  <w:num w:numId="2" w16cid:durableId="785659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3F3"/>
    <w:rsid w:val="00A64B79"/>
    <w:rsid w:val="00AE13F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E3ED8"/>
  <w15:chartTrackingRefBased/>
  <w15:docId w15:val="{0D32ED64-6B62-4652-8F84-72D1662A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E1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E1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E13F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E13F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E13F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E13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E13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E13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E13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13F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E13F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E13F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E13F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E13F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E13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E13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E13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E13F3"/>
    <w:rPr>
      <w:rFonts w:eastAsiaTheme="majorEastAsia" w:cstheme="majorBidi"/>
      <w:color w:val="272727" w:themeColor="text1" w:themeTint="D8"/>
    </w:rPr>
  </w:style>
  <w:style w:type="paragraph" w:styleId="Ttulo">
    <w:name w:val="Title"/>
    <w:basedOn w:val="Normal"/>
    <w:next w:val="Normal"/>
    <w:link w:val="TtuloCar"/>
    <w:uiPriority w:val="10"/>
    <w:qFormat/>
    <w:rsid w:val="00AE13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E13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E13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E13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E13F3"/>
    <w:pPr>
      <w:spacing w:before="160"/>
      <w:jc w:val="center"/>
    </w:pPr>
    <w:rPr>
      <w:i/>
      <w:iCs/>
      <w:color w:val="404040" w:themeColor="text1" w:themeTint="BF"/>
    </w:rPr>
  </w:style>
  <w:style w:type="character" w:customStyle="1" w:styleId="CitaCar">
    <w:name w:val="Cita Car"/>
    <w:basedOn w:val="Fuentedeprrafopredeter"/>
    <w:link w:val="Cita"/>
    <w:uiPriority w:val="29"/>
    <w:rsid w:val="00AE13F3"/>
    <w:rPr>
      <w:i/>
      <w:iCs/>
      <w:color w:val="404040" w:themeColor="text1" w:themeTint="BF"/>
    </w:rPr>
  </w:style>
  <w:style w:type="paragraph" w:styleId="Prrafodelista">
    <w:name w:val="List Paragraph"/>
    <w:basedOn w:val="Normal"/>
    <w:uiPriority w:val="34"/>
    <w:qFormat/>
    <w:rsid w:val="00AE13F3"/>
    <w:pPr>
      <w:ind w:left="720"/>
      <w:contextualSpacing/>
    </w:pPr>
  </w:style>
  <w:style w:type="character" w:styleId="nfasisintenso">
    <w:name w:val="Intense Emphasis"/>
    <w:basedOn w:val="Fuentedeprrafopredeter"/>
    <w:uiPriority w:val="21"/>
    <w:qFormat/>
    <w:rsid w:val="00AE13F3"/>
    <w:rPr>
      <w:i/>
      <w:iCs/>
      <w:color w:val="0F4761" w:themeColor="accent1" w:themeShade="BF"/>
    </w:rPr>
  </w:style>
  <w:style w:type="paragraph" w:styleId="Citadestacada">
    <w:name w:val="Intense Quote"/>
    <w:basedOn w:val="Normal"/>
    <w:next w:val="Normal"/>
    <w:link w:val="CitadestacadaCar"/>
    <w:uiPriority w:val="30"/>
    <w:qFormat/>
    <w:rsid w:val="00AE1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E13F3"/>
    <w:rPr>
      <w:i/>
      <w:iCs/>
      <w:color w:val="0F4761" w:themeColor="accent1" w:themeShade="BF"/>
    </w:rPr>
  </w:style>
  <w:style w:type="character" w:styleId="Referenciaintensa">
    <w:name w:val="Intense Reference"/>
    <w:basedOn w:val="Fuentedeprrafopredeter"/>
    <w:uiPriority w:val="32"/>
    <w:qFormat/>
    <w:rsid w:val="00AE13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pernest.es/info/cuantos-megavatios-consume-una-cas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apernest.es/info/huella-carbon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pernest.es/info/placas-solares/" TargetMode="External"/><Relationship Id="rId11" Type="http://schemas.openxmlformats.org/officeDocument/2006/relationships/hyperlink" Target="http://papernest.es/" TargetMode="External"/><Relationship Id="rId5" Type="http://schemas.openxmlformats.org/officeDocument/2006/relationships/hyperlink" Target="https://www.papernest.es/info/placas-solares/" TargetMode="External"/><Relationship Id="rId10" Type="http://schemas.openxmlformats.org/officeDocument/2006/relationships/hyperlink" Target="https://www.papernest.es/tarifa-luz/" TargetMode="External"/><Relationship Id="rId4" Type="http://schemas.openxmlformats.org/officeDocument/2006/relationships/webSettings" Target="webSettings.xml"/><Relationship Id="rId9" Type="http://schemas.openxmlformats.org/officeDocument/2006/relationships/hyperlink" Target="https://www.papernest.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3036</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2026-09-08T13:07:00Z</dcterms:created>
  <dcterms:modified xsi:type="dcterms:W3CDTF">2026-09-08T13:07:00Z</dcterms:modified>
</cp:coreProperties>
</file>