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7E303" w14:textId="06831AA7" w:rsidR="00FA06F7" w:rsidRDefault="005606FD"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noProof/>
          <w:color w:val="333333"/>
          <w:kern w:val="0"/>
          <w:sz w:val="26"/>
          <w:szCs w:val="26"/>
          <w:lang w:eastAsia="es-UY"/>
          <w14:ligatures w14:val="none"/>
        </w:rPr>
        <w:drawing>
          <wp:inline distT="0" distB="0" distL="0" distR="0" wp14:anchorId="6EA22C37" wp14:editId="36847D2A">
            <wp:extent cx="5400040" cy="1520190"/>
            <wp:effectExtent l="0" t="0" r="0" b="3810"/>
            <wp:docPr id="11785061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06194" name=""/>
                    <pic:cNvPicPr/>
                  </pic:nvPicPr>
                  <pic:blipFill>
                    <a:blip r:embed="rId4"/>
                    <a:stretch>
                      <a:fillRect/>
                    </a:stretch>
                  </pic:blipFill>
                  <pic:spPr>
                    <a:xfrm>
                      <a:off x="0" y="0"/>
                      <a:ext cx="5400040" cy="1520190"/>
                    </a:xfrm>
                    <a:prstGeom prst="rect">
                      <a:avLst/>
                    </a:prstGeom>
                  </pic:spPr>
                </pic:pic>
              </a:graphicData>
            </a:graphic>
          </wp:inline>
        </w:drawing>
      </w:r>
    </w:p>
    <w:p w14:paraId="441A5007"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1760841E"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3FB27A63" w14:textId="407D061E" w:rsidR="00FA06F7" w:rsidRDefault="00000000" w:rsidP="00FA06F7">
      <w:pPr>
        <w:spacing w:after="0" w:line="240" w:lineRule="auto"/>
        <w:jc w:val="both"/>
        <w:rPr>
          <w:rFonts w:ascii="Arial" w:eastAsia="Times New Roman" w:hAnsi="Arial" w:cs="Arial"/>
          <w:color w:val="333333"/>
          <w:kern w:val="0"/>
          <w:sz w:val="26"/>
          <w:szCs w:val="26"/>
          <w:lang w:eastAsia="es-UY"/>
          <w14:ligatures w14:val="none"/>
        </w:rPr>
      </w:pPr>
      <w:hyperlink r:id="rId5" w:tgtFrame="_blank" w:history="1">
        <w:r w:rsidR="00FA06F7" w:rsidRPr="00FA06F7">
          <w:rPr>
            <w:rFonts w:ascii="Arial" w:eastAsia="Times New Roman" w:hAnsi="Arial" w:cs="Arial"/>
            <w:color w:val="FC6B01"/>
            <w:kern w:val="0"/>
            <w:sz w:val="26"/>
            <w:szCs w:val="26"/>
            <w:u w:val="single"/>
            <w:lang w:eastAsia="es-UY"/>
            <w14:ligatures w14:val="none"/>
          </w:rPr>
          <w:t>Andrea Grillo</w:t>
        </w:r>
      </w:hyperlink>
      <w:r w:rsidR="00FA06F7" w:rsidRPr="00FA06F7">
        <w:rPr>
          <w:rFonts w:ascii="Arial" w:eastAsia="Times New Roman" w:hAnsi="Arial" w:cs="Arial"/>
          <w:color w:val="333333"/>
          <w:kern w:val="0"/>
          <w:sz w:val="26"/>
          <w:szCs w:val="26"/>
          <w:lang w:eastAsia="es-UY"/>
          <w14:ligatures w14:val="none"/>
        </w:rPr>
        <w:t> reconstruye los orígenes de cuarenta años de relaciones entre  </w:t>
      </w:r>
      <w:r w:rsidR="00FA06F7" w:rsidRPr="00FA06F7">
        <w:rPr>
          <w:rFonts w:ascii="Arial" w:eastAsia="Times New Roman" w:hAnsi="Arial" w:cs="Arial"/>
          <w:b/>
          <w:bCs/>
          <w:color w:val="333333"/>
          <w:kern w:val="0"/>
          <w:sz w:val="26"/>
          <w:szCs w:val="26"/>
          <w:lang w:eastAsia="es-UY"/>
          <w14:ligatures w14:val="none"/>
        </w:rPr>
        <w:t>Roma</w:t>
      </w:r>
      <w:r w:rsidR="00FA06F7" w:rsidRPr="00FA06F7">
        <w:rPr>
          <w:rFonts w:ascii="Arial" w:eastAsia="Times New Roman" w:hAnsi="Arial" w:cs="Arial"/>
          <w:color w:val="333333"/>
          <w:kern w:val="0"/>
          <w:sz w:val="26"/>
          <w:szCs w:val="26"/>
          <w:lang w:eastAsia="es-UY"/>
          <w14:ligatures w14:val="none"/>
        </w:rPr>
        <w:t> y el  mundo </w:t>
      </w:r>
      <w:hyperlink r:id="rId6" w:tgtFrame="_blank" w:history="1">
        <w:r w:rsidR="00FA06F7" w:rsidRPr="00FA06F7">
          <w:rPr>
            <w:rFonts w:ascii="Arial" w:eastAsia="Times New Roman" w:hAnsi="Arial" w:cs="Arial"/>
            <w:color w:val="FC6B01"/>
            <w:kern w:val="0"/>
            <w:sz w:val="26"/>
            <w:szCs w:val="26"/>
            <w:u w:val="single"/>
            <w:lang w:eastAsia="es-UY"/>
            <w14:ligatures w14:val="none"/>
          </w:rPr>
          <w:t>lefebvriano</w:t>
        </w:r>
      </w:hyperlink>
      <w:r w:rsidR="00FA06F7" w:rsidRPr="00FA06F7">
        <w:rPr>
          <w:rFonts w:ascii="Arial" w:eastAsia="Times New Roman" w:hAnsi="Arial" w:cs="Arial"/>
          <w:color w:val="333333"/>
          <w:kern w:val="0"/>
          <w:sz w:val="26"/>
          <w:szCs w:val="26"/>
          <w:lang w:eastAsia="es-UY"/>
          <w14:ligatures w14:val="none"/>
        </w:rPr>
        <w:t> , desde 1988 hasta  </w:t>
      </w:r>
      <w:hyperlink r:id="rId7" w:tgtFrame="_blank" w:history="1">
        <w:r w:rsidR="00FA06F7" w:rsidRPr="00FA06F7">
          <w:rPr>
            <w:rFonts w:ascii="Arial" w:eastAsia="Times New Roman" w:hAnsi="Arial" w:cs="Arial"/>
            <w:i/>
            <w:iCs/>
            <w:color w:val="FC6B01"/>
            <w:kern w:val="0"/>
            <w:sz w:val="26"/>
            <w:szCs w:val="26"/>
            <w:u w:val="single"/>
            <w:lang w:eastAsia="es-UY"/>
            <w14:ligatures w14:val="none"/>
          </w:rPr>
          <w:t>Summorum Pontificum</w:t>
        </w:r>
      </w:hyperlink>
      <w:r w:rsidR="00FA06F7" w:rsidRPr="00FA06F7">
        <w:rPr>
          <w:rFonts w:ascii="Arial" w:eastAsia="Times New Roman" w:hAnsi="Arial" w:cs="Arial"/>
          <w:i/>
          <w:iCs/>
          <w:color w:val="333333"/>
          <w:kern w:val="0"/>
          <w:sz w:val="26"/>
          <w:szCs w:val="26"/>
          <w:lang w:eastAsia="es-UY"/>
          <w14:ligatures w14:val="none"/>
        </w:rPr>
        <w:t> </w:t>
      </w:r>
      <w:r w:rsidR="00FA06F7" w:rsidRPr="00FA06F7">
        <w:rPr>
          <w:rFonts w:ascii="Arial" w:eastAsia="Times New Roman" w:hAnsi="Arial" w:cs="Arial"/>
          <w:color w:val="333333"/>
          <w:kern w:val="0"/>
          <w:sz w:val="26"/>
          <w:szCs w:val="26"/>
          <w:lang w:eastAsia="es-UY"/>
          <w14:ligatures w14:val="none"/>
        </w:rPr>
        <w:t> y la actualidad, y señala el camino hacia un rito común, capaz de respetar las diferentes sensibilidades. «La </w:t>
      </w:r>
      <w:hyperlink r:id="rId8" w:tgtFrame="_blank" w:history="1">
        <w:r w:rsidR="00FA06F7" w:rsidRPr="00FA06F7">
          <w:rPr>
            <w:rFonts w:ascii="Arial" w:eastAsia="Times New Roman" w:hAnsi="Arial" w:cs="Arial"/>
            <w:color w:val="FC6B01"/>
            <w:kern w:val="0"/>
            <w:sz w:val="26"/>
            <w:szCs w:val="26"/>
            <w:u w:val="single"/>
            <w:lang w:eastAsia="es-UY"/>
            <w14:ligatures w14:val="none"/>
          </w:rPr>
          <w:t>Misa Tridentina</w:t>
        </w:r>
      </w:hyperlink>
      <w:r w:rsidR="00FA06F7" w:rsidRPr="00FA06F7">
        <w:rPr>
          <w:rFonts w:ascii="Arial" w:eastAsia="Times New Roman" w:hAnsi="Arial" w:cs="Arial"/>
          <w:color w:val="333333"/>
          <w:kern w:val="0"/>
          <w:sz w:val="26"/>
          <w:szCs w:val="26"/>
          <w:lang w:eastAsia="es-UY"/>
          <w14:ligatures w14:val="none"/>
        </w:rPr>
        <w:t> , reintroducida por </w:t>
      </w:r>
      <w:r w:rsidR="00FA06F7" w:rsidRPr="00FA06F7">
        <w:rPr>
          <w:rFonts w:ascii="Arial" w:eastAsia="Times New Roman" w:hAnsi="Arial" w:cs="Arial"/>
          <w:b/>
          <w:bCs/>
          <w:color w:val="333333"/>
          <w:kern w:val="0"/>
          <w:sz w:val="26"/>
          <w:szCs w:val="26"/>
          <w:lang w:eastAsia="es-UY"/>
          <w14:ligatures w14:val="none"/>
        </w:rPr>
        <w:t>Lefebvre</w:t>
      </w:r>
      <w:r w:rsidR="00FA06F7" w:rsidRPr="00FA06F7">
        <w:rPr>
          <w:rFonts w:ascii="Arial" w:eastAsia="Times New Roman" w:hAnsi="Arial" w:cs="Arial"/>
          <w:color w:val="333333"/>
          <w:kern w:val="0"/>
          <w:sz w:val="26"/>
          <w:szCs w:val="26"/>
          <w:lang w:eastAsia="es-UY"/>
          <w14:ligatures w14:val="none"/>
        </w:rPr>
        <w:t> para reemplazar el rito aprobado tras el </w:t>
      </w:r>
      <w:hyperlink r:id="rId9" w:tgtFrame="_blank" w:history="1">
        <w:r w:rsidR="00FA06F7" w:rsidRPr="00FA06F7">
          <w:rPr>
            <w:rFonts w:ascii="Arial" w:eastAsia="Times New Roman" w:hAnsi="Arial" w:cs="Arial"/>
            <w:color w:val="FC6B01"/>
            <w:kern w:val="0"/>
            <w:sz w:val="26"/>
            <w:szCs w:val="26"/>
            <w:u w:val="single"/>
            <w:lang w:eastAsia="es-UY"/>
            <w14:ligatures w14:val="none"/>
          </w:rPr>
          <w:t>Concilio Vaticano II</w:t>
        </w:r>
      </w:hyperlink>
      <w:r w:rsidR="00FA06F7" w:rsidRPr="00FA06F7">
        <w:rPr>
          <w:rFonts w:ascii="Arial" w:eastAsia="Times New Roman" w:hAnsi="Arial" w:cs="Arial"/>
          <w:color w:val="333333"/>
          <w:kern w:val="0"/>
          <w:sz w:val="26"/>
          <w:szCs w:val="26"/>
          <w:lang w:eastAsia="es-UY"/>
          <w14:ligatures w14:val="none"/>
        </w:rPr>
        <w:t> , siguiendo las recomendaciones del Concilio, fue un "acto de guerra" contra la </w:t>
      </w:r>
      <w:r w:rsidR="00FA06F7" w:rsidRPr="00FA06F7">
        <w:rPr>
          <w:rFonts w:ascii="Arial" w:eastAsia="Times New Roman" w:hAnsi="Arial" w:cs="Arial"/>
          <w:b/>
          <w:bCs/>
          <w:color w:val="333333"/>
          <w:kern w:val="0"/>
          <w:sz w:val="26"/>
          <w:szCs w:val="26"/>
          <w:lang w:eastAsia="es-UY"/>
          <w14:ligatures w14:val="none"/>
        </w:rPr>
        <w:t>Iglesia</w:t>
      </w:r>
      <w:r w:rsidR="00FA06F7" w:rsidRPr="00FA06F7">
        <w:rPr>
          <w:rFonts w:ascii="Arial" w:eastAsia="Times New Roman" w:hAnsi="Arial" w:cs="Arial"/>
          <w:color w:val="333333"/>
          <w:kern w:val="0"/>
          <w:sz w:val="26"/>
          <w:szCs w:val="26"/>
          <w:lang w:eastAsia="es-UY"/>
          <w14:ligatures w14:val="none"/>
        </w:rPr>
        <w:t> de </w:t>
      </w:r>
      <w:r w:rsidR="00FA06F7" w:rsidRPr="00FA06F7">
        <w:rPr>
          <w:rFonts w:ascii="Arial" w:eastAsia="Times New Roman" w:hAnsi="Arial" w:cs="Arial"/>
          <w:b/>
          <w:bCs/>
          <w:color w:val="333333"/>
          <w:kern w:val="0"/>
          <w:sz w:val="26"/>
          <w:szCs w:val="26"/>
          <w:lang w:eastAsia="es-UY"/>
          <w14:ligatures w14:val="none"/>
        </w:rPr>
        <w:t>Roma</w:t>
      </w:r>
      <w:r w:rsidR="00FA06F7" w:rsidRPr="00FA06F7">
        <w:rPr>
          <w:rFonts w:ascii="Arial" w:eastAsia="Times New Roman" w:hAnsi="Arial" w:cs="Arial"/>
          <w:color w:val="333333"/>
          <w:kern w:val="0"/>
          <w:sz w:val="26"/>
          <w:szCs w:val="26"/>
          <w:lang w:eastAsia="es-UY"/>
          <w14:ligatures w14:val="none"/>
        </w:rPr>
        <w:t> . Invertir la lógica y convertir a los culpables en víctimas no tiene sentido y solo alimenta los malentendidos», escribe el teólogo en un artículo publicado por </w:t>
      </w:r>
      <w:hyperlink r:id="rId10" w:tgtFrame="_blank" w:history="1">
        <w:r w:rsidR="00FA06F7" w:rsidRPr="00FA06F7">
          <w:rPr>
            <w:rFonts w:ascii="Arial" w:eastAsia="Times New Roman" w:hAnsi="Arial" w:cs="Arial"/>
            <w:color w:val="FC6B01"/>
            <w:kern w:val="0"/>
            <w:sz w:val="26"/>
            <w:szCs w:val="26"/>
            <w:u w:val="single"/>
            <w:lang w:eastAsia="es-UY"/>
            <w14:ligatures w14:val="none"/>
          </w:rPr>
          <w:t>Munera</w:t>
        </w:r>
      </w:hyperlink>
      <w:r w:rsidR="00FA06F7" w:rsidRPr="00FA06F7">
        <w:rPr>
          <w:rFonts w:ascii="Arial" w:eastAsia="Times New Roman" w:hAnsi="Arial" w:cs="Arial"/>
          <w:color w:val="333333"/>
          <w:kern w:val="0"/>
          <w:sz w:val="26"/>
          <w:szCs w:val="26"/>
          <w:lang w:eastAsia="es-UY"/>
          <w14:ligatures w14:val="none"/>
        </w:rPr>
        <w:t> el 2 de septiembre de 2026.</w:t>
      </w:r>
    </w:p>
    <w:p w14:paraId="187A6619"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1280A7D4"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3D0DFD02" w14:textId="77777777" w:rsidR="00FA06F7" w:rsidRPr="00FA06F7" w:rsidRDefault="00FA06F7" w:rsidP="00FA06F7">
      <w:pPr>
        <w:spacing w:after="0" w:line="240" w:lineRule="auto"/>
        <w:jc w:val="both"/>
        <w:outlineLvl w:val="1"/>
        <w:rPr>
          <w:rFonts w:ascii="Arial" w:eastAsia="Times New Roman" w:hAnsi="Arial" w:cs="Arial"/>
          <w:b/>
          <w:bCs/>
          <w:color w:val="333333"/>
          <w:kern w:val="0"/>
          <w:sz w:val="32"/>
          <w:szCs w:val="32"/>
          <w:lang w:eastAsia="es-UY"/>
          <w14:ligatures w14:val="none"/>
        </w:rPr>
      </w:pPr>
      <w:r w:rsidRPr="00FA06F7">
        <w:rPr>
          <w:rFonts w:ascii="Arial" w:eastAsia="Times New Roman" w:hAnsi="Arial" w:cs="Arial"/>
          <w:b/>
          <w:bCs/>
          <w:color w:val="333333"/>
          <w:kern w:val="0"/>
          <w:sz w:val="32"/>
          <w:szCs w:val="32"/>
          <w:lang w:eastAsia="es-UY"/>
          <w14:ligatures w14:val="none"/>
        </w:rPr>
        <w:t>Aquí está el artículo.</w:t>
      </w:r>
    </w:p>
    <w:p w14:paraId="30AD1BB4" w14:textId="77777777" w:rsidR="00FA06F7" w:rsidRPr="00FA06F7" w:rsidRDefault="00FA06F7" w:rsidP="00FA06F7">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CB015C9"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En una entrevista muy reciente, </w:t>
      </w:r>
      <w:hyperlink r:id="rId11" w:tgtFrame="_blank" w:history="1">
        <w:r w:rsidRPr="00FA06F7">
          <w:rPr>
            <w:rFonts w:ascii="Arial" w:eastAsia="Times New Roman" w:hAnsi="Arial" w:cs="Arial"/>
            <w:color w:val="FC6B01"/>
            <w:kern w:val="0"/>
            <w:sz w:val="26"/>
            <w:szCs w:val="26"/>
            <w:u w:val="single"/>
            <w:lang w:eastAsia="es-UY"/>
            <w14:ligatures w14:val="none"/>
          </w:rPr>
          <w:t>el cardenal Sarah</w:t>
        </w:r>
      </w:hyperlink>
      <w:r w:rsidRPr="00FA06F7">
        <w:rPr>
          <w:rFonts w:ascii="Arial" w:eastAsia="Times New Roman" w:hAnsi="Arial" w:cs="Arial"/>
          <w:color w:val="333333"/>
          <w:kern w:val="0"/>
          <w:sz w:val="26"/>
          <w:szCs w:val="26"/>
          <w:lang w:eastAsia="es-UY"/>
          <w14:ligatures w14:val="none"/>
        </w:rPr>
        <w:t> reitera su nostalgia por el </w:t>
      </w:r>
      <w:hyperlink r:id="rId12" w:tgtFrame="_blank" w:history="1">
        <w:r w:rsidRPr="00FA06F7">
          <w:rPr>
            <w:rFonts w:ascii="Arial" w:eastAsia="Times New Roman" w:hAnsi="Arial" w:cs="Arial"/>
            <w:color w:val="FC6B01"/>
            <w:kern w:val="0"/>
            <w:sz w:val="26"/>
            <w:szCs w:val="26"/>
            <w:u w:val="single"/>
            <w:lang w:eastAsia="es-UY"/>
            <w14:ligatures w14:val="none"/>
          </w:rPr>
          <w:t>Concilio de Trento</w:t>
        </w:r>
      </w:hyperlink>
      <w:r w:rsidRPr="00FA06F7">
        <w:rPr>
          <w:rFonts w:ascii="Arial" w:eastAsia="Times New Roman" w:hAnsi="Arial" w:cs="Arial"/>
          <w:color w:val="333333"/>
          <w:kern w:val="0"/>
          <w:sz w:val="26"/>
          <w:szCs w:val="26"/>
          <w:lang w:eastAsia="es-UY"/>
          <w14:ligatures w14:val="none"/>
        </w:rPr>
        <w:t> . Y dice algunas cosas realmente sorprendentes, subvirtiendo la realidad, como lo ha hecho durante muchos años. Aquí están las cuatro declaraciones principales, que cito textualmente:</w:t>
      </w:r>
    </w:p>
    <w:p w14:paraId="5A410D48"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6A40949C"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a) Es erróneo declarar la guerra a la </w:t>
      </w:r>
      <w:hyperlink r:id="rId13" w:tgtFrame="_blank" w:history="1">
        <w:r w:rsidRPr="00FA06F7">
          <w:rPr>
            <w:rFonts w:ascii="Arial" w:eastAsia="Times New Roman" w:hAnsi="Arial" w:cs="Arial"/>
            <w:color w:val="FC6B01"/>
            <w:kern w:val="0"/>
            <w:sz w:val="26"/>
            <w:szCs w:val="26"/>
            <w:u w:val="single"/>
            <w:lang w:eastAsia="es-UY"/>
            <w14:ligatures w14:val="none"/>
          </w:rPr>
          <w:t>Misa Tridentina</w:t>
        </w:r>
      </w:hyperlink>
      <w:r w:rsidRPr="00FA06F7">
        <w:rPr>
          <w:rFonts w:ascii="Arial" w:eastAsia="Times New Roman" w:hAnsi="Arial" w:cs="Arial"/>
          <w:color w:val="333333"/>
          <w:kern w:val="0"/>
          <w:sz w:val="26"/>
          <w:szCs w:val="26"/>
          <w:lang w:eastAsia="es-UY"/>
          <w14:ligatures w14:val="none"/>
        </w:rPr>
        <w:t> .</w:t>
      </w:r>
    </w:p>
    <w:p w14:paraId="4A9227A5"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"Como </w:t>
      </w:r>
      <w:r w:rsidRPr="00FA06F7">
        <w:rPr>
          <w:rFonts w:ascii="Arial" w:eastAsia="Times New Roman" w:hAnsi="Arial" w:cs="Arial"/>
          <w:b/>
          <w:bCs/>
          <w:color w:val="333333"/>
          <w:kern w:val="0"/>
          <w:sz w:val="26"/>
          <w:szCs w:val="26"/>
          <w:lang w:eastAsia="es-UY"/>
          <w14:ligatures w14:val="none"/>
        </w:rPr>
        <w:t>Iglesia</w:t>
      </w:r>
      <w:r w:rsidRPr="00FA06F7">
        <w:rPr>
          <w:rFonts w:ascii="Arial" w:eastAsia="Times New Roman" w:hAnsi="Arial" w:cs="Arial"/>
          <w:color w:val="333333"/>
          <w:kern w:val="0"/>
          <w:sz w:val="26"/>
          <w:szCs w:val="26"/>
          <w:lang w:eastAsia="es-UY"/>
          <w14:ligatures w14:val="none"/>
        </w:rPr>
        <w:t> , no podemos declarar la guerra a quienes asisten a misa con devoción simplemente porque prefieren una forma a otra: esa es una actitud miope y puramente ideológica, y por lo tanto, ni pastoral ni cristiana."</w:t>
      </w:r>
    </w:p>
    <w:p w14:paraId="0F78C857"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6407D243"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b) Admiración por la gran intuición del </w:t>
      </w:r>
      <w:hyperlink r:id="rId14" w:tgtFrame="_blank" w:history="1">
        <w:r w:rsidRPr="00FA06F7">
          <w:rPr>
            <w:rFonts w:ascii="Arial" w:eastAsia="Times New Roman" w:hAnsi="Arial" w:cs="Arial"/>
            <w:color w:val="FC6B01"/>
            <w:kern w:val="0"/>
            <w:sz w:val="26"/>
            <w:szCs w:val="26"/>
            <w:u w:val="single"/>
            <w:lang w:eastAsia="es-UY"/>
            <w14:ligatures w14:val="none"/>
          </w:rPr>
          <w:t>Papa Benedicto XVI</w:t>
        </w:r>
      </w:hyperlink>
      <w:r w:rsidRPr="00FA06F7">
        <w:rPr>
          <w:rFonts w:ascii="Arial" w:eastAsia="Times New Roman" w:hAnsi="Arial" w:cs="Arial"/>
          <w:color w:val="333333"/>
          <w:kern w:val="0"/>
          <w:sz w:val="26"/>
          <w:szCs w:val="26"/>
          <w:lang w:eastAsia="es-UY"/>
          <w14:ligatures w14:val="none"/>
        </w:rPr>
        <w:t> .</w:t>
      </w:r>
    </w:p>
    <w:p w14:paraId="1B1A2EB5"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“Entre los efectos de la </w:t>
      </w:r>
      <w:hyperlink r:id="rId15" w:tgtFrame="_blank" w:history="1">
        <w:r w:rsidRPr="00FA06F7">
          <w:rPr>
            <w:rFonts w:ascii="Arial" w:eastAsia="Times New Roman" w:hAnsi="Arial" w:cs="Arial"/>
            <w:color w:val="FC6B01"/>
            <w:kern w:val="0"/>
            <w:sz w:val="26"/>
            <w:szCs w:val="26"/>
            <w:u w:val="single"/>
            <w:lang w:eastAsia="es-UY"/>
            <w14:ligatures w14:val="none"/>
          </w:rPr>
          <w:t>liberalización de la forma extraordinaria</w:t>
        </w:r>
      </w:hyperlink>
      <w:r w:rsidRPr="00FA06F7">
        <w:rPr>
          <w:rFonts w:ascii="Arial" w:eastAsia="Times New Roman" w:hAnsi="Arial" w:cs="Arial"/>
          <w:color w:val="333333"/>
          <w:kern w:val="0"/>
          <w:sz w:val="26"/>
          <w:szCs w:val="26"/>
          <w:lang w:eastAsia="es-UY"/>
          <w14:ligatures w14:val="none"/>
        </w:rPr>
        <w:t> (es decir, la </w:t>
      </w:r>
      <w:r w:rsidRPr="00FA06F7">
        <w:rPr>
          <w:rFonts w:ascii="Arial" w:eastAsia="Times New Roman" w:hAnsi="Arial" w:cs="Arial"/>
          <w:b/>
          <w:bCs/>
          <w:color w:val="333333"/>
          <w:kern w:val="0"/>
          <w:sz w:val="26"/>
          <w:szCs w:val="26"/>
          <w:lang w:eastAsia="es-UY"/>
          <w14:ligatures w14:val="none"/>
        </w:rPr>
        <w:t>Misa Tridentina</w:t>
      </w:r>
      <w:r w:rsidRPr="00FA06F7">
        <w:rPr>
          <w:rFonts w:ascii="Arial" w:eastAsia="Times New Roman" w:hAnsi="Arial" w:cs="Arial"/>
          <w:color w:val="333333"/>
          <w:kern w:val="0"/>
          <w:sz w:val="26"/>
          <w:szCs w:val="26"/>
          <w:lang w:eastAsia="es-UY"/>
          <w14:ligatures w14:val="none"/>
        </w:rPr>
        <w:t> del Papa </w:t>
      </w:r>
      <w:r w:rsidRPr="00FA06F7">
        <w:rPr>
          <w:rFonts w:ascii="Arial" w:eastAsia="Times New Roman" w:hAnsi="Arial" w:cs="Arial"/>
          <w:b/>
          <w:bCs/>
          <w:color w:val="333333"/>
          <w:kern w:val="0"/>
          <w:sz w:val="26"/>
          <w:szCs w:val="26"/>
          <w:lang w:eastAsia="es-UY"/>
          <w14:ligatures w14:val="none"/>
        </w:rPr>
        <w:t>Benedicto XVI</w:t>
      </w:r>
      <w:r w:rsidRPr="00FA06F7">
        <w:rPr>
          <w:rFonts w:ascii="Arial" w:eastAsia="Times New Roman" w:hAnsi="Arial" w:cs="Arial"/>
          <w:color w:val="333333"/>
          <w:kern w:val="0"/>
          <w:sz w:val="26"/>
          <w:szCs w:val="26"/>
          <w:lang w:eastAsia="es-UY"/>
          <w14:ligatures w14:val="none"/>
        </w:rPr>
        <w:t> ) hubo una influencia positiva, incluso diría que una corrección, de posibles abusos en la celebración de la forma ordinaria.”</w:t>
      </w:r>
    </w:p>
    <w:p w14:paraId="51A0C985"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567E8B7A"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c) Informe sobre la humillación sufrida por el Papa </w:t>
      </w:r>
      <w:hyperlink r:id="rId16" w:tgtFrame="_blank" w:history="1">
        <w:r w:rsidRPr="00FA06F7">
          <w:rPr>
            <w:rFonts w:ascii="Arial" w:eastAsia="Times New Roman" w:hAnsi="Arial" w:cs="Arial"/>
            <w:color w:val="FC6B01"/>
            <w:kern w:val="0"/>
            <w:sz w:val="26"/>
            <w:szCs w:val="26"/>
            <w:u w:val="single"/>
            <w:lang w:eastAsia="es-UY"/>
            <w14:ligatures w14:val="none"/>
          </w:rPr>
          <w:t>Benedicto XVI</w:t>
        </w:r>
      </w:hyperlink>
      <w:r w:rsidRPr="00FA06F7">
        <w:rPr>
          <w:rFonts w:ascii="Arial" w:eastAsia="Times New Roman" w:hAnsi="Arial" w:cs="Arial"/>
          <w:color w:val="333333"/>
          <w:kern w:val="0"/>
          <w:sz w:val="26"/>
          <w:szCs w:val="26"/>
          <w:lang w:eastAsia="es-UY"/>
          <w14:ligatures w14:val="none"/>
        </w:rPr>
        <w:t> .</w:t>
      </w:r>
    </w:p>
    <w:p w14:paraId="4FB9AA3A"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Benedicto </w:t>
      </w:r>
      <w:r w:rsidRPr="00FA06F7">
        <w:rPr>
          <w:rFonts w:ascii="Arial" w:eastAsia="Times New Roman" w:hAnsi="Arial" w:cs="Arial"/>
          <w:b/>
          <w:bCs/>
          <w:color w:val="333333"/>
          <w:kern w:val="0"/>
          <w:sz w:val="26"/>
          <w:szCs w:val="26"/>
          <w:lang w:eastAsia="es-UY"/>
          <w14:ligatures w14:val="none"/>
        </w:rPr>
        <w:t>XVI</w:t>
      </w:r>
      <w:r w:rsidRPr="00FA06F7">
        <w:rPr>
          <w:rFonts w:ascii="Arial" w:eastAsia="Times New Roman" w:hAnsi="Arial" w:cs="Arial"/>
          <w:color w:val="333333"/>
          <w:kern w:val="0"/>
          <w:sz w:val="26"/>
          <w:szCs w:val="26"/>
          <w:lang w:eastAsia="es-UY"/>
          <w14:ligatures w14:val="none"/>
        </w:rPr>
        <w:t> pretendía permitir la más amplia difusión posible del </w:t>
      </w:r>
      <w:hyperlink r:id="rId17" w:tgtFrame="_blank" w:history="1">
        <w:r w:rsidRPr="00FA06F7">
          <w:rPr>
            <w:rFonts w:ascii="Arial" w:eastAsia="Times New Roman" w:hAnsi="Arial" w:cs="Arial"/>
            <w:color w:val="FC6B01"/>
            <w:kern w:val="0"/>
            <w:sz w:val="26"/>
            <w:szCs w:val="26"/>
            <w:u w:val="single"/>
            <w:lang w:eastAsia="es-UY"/>
            <w14:ligatures w14:val="none"/>
          </w:rPr>
          <w:t>rito tridentino</w:t>
        </w:r>
      </w:hyperlink>
      <w:r w:rsidRPr="00FA06F7">
        <w:rPr>
          <w:rFonts w:ascii="Arial" w:eastAsia="Times New Roman" w:hAnsi="Arial" w:cs="Arial"/>
          <w:color w:val="333333"/>
          <w:kern w:val="0"/>
          <w:sz w:val="26"/>
          <w:szCs w:val="26"/>
          <w:lang w:eastAsia="es-UY"/>
          <w14:ligatures w14:val="none"/>
        </w:rPr>
        <w:t> , para que el pueblo de </w:t>
      </w:r>
      <w:r w:rsidRPr="00FA06F7">
        <w:rPr>
          <w:rFonts w:ascii="Arial" w:eastAsia="Times New Roman" w:hAnsi="Arial" w:cs="Arial"/>
          <w:b/>
          <w:bCs/>
          <w:color w:val="333333"/>
          <w:kern w:val="0"/>
          <w:sz w:val="26"/>
          <w:szCs w:val="26"/>
          <w:lang w:eastAsia="es-UY"/>
          <w14:ligatures w14:val="none"/>
        </w:rPr>
        <w:t>Dios</w:t>
      </w:r>
      <w:r w:rsidRPr="00FA06F7">
        <w:rPr>
          <w:rFonts w:ascii="Arial" w:eastAsia="Times New Roman" w:hAnsi="Arial" w:cs="Arial"/>
          <w:color w:val="333333"/>
          <w:kern w:val="0"/>
          <w:sz w:val="26"/>
          <w:szCs w:val="26"/>
          <w:lang w:eastAsia="es-UY"/>
          <w14:ligatures w14:val="none"/>
        </w:rPr>
        <w:t> pudiera decidir por sí mismo, a lo largo de décadas, qué forma de vivir la fe le resultaba más apropiada. Todo esto fue anulado por  </w:t>
      </w:r>
      <w:r w:rsidRPr="00FA06F7">
        <w:rPr>
          <w:rFonts w:ascii="Arial" w:eastAsia="Times New Roman" w:hAnsi="Arial" w:cs="Arial"/>
          <w:b/>
          <w:bCs/>
          <w:color w:val="333333"/>
          <w:kern w:val="0"/>
          <w:sz w:val="26"/>
          <w:szCs w:val="26"/>
          <w:lang w:eastAsia="es-UY"/>
          <w14:ligatures w14:val="none"/>
        </w:rPr>
        <w:t>Traditionis </w:t>
      </w:r>
      <w:hyperlink r:id="rId18" w:tgtFrame="_blank" w:history="1">
        <w:r w:rsidRPr="00FA06F7">
          <w:rPr>
            <w:rFonts w:ascii="Arial" w:eastAsia="Times New Roman" w:hAnsi="Arial" w:cs="Arial"/>
            <w:i/>
            <w:iCs/>
            <w:color w:val="FC6B01"/>
            <w:kern w:val="0"/>
            <w:sz w:val="26"/>
            <w:szCs w:val="26"/>
            <w:u w:val="single"/>
            <w:lang w:eastAsia="es-UY"/>
            <w14:ligatures w14:val="none"/>
          </w:rPr>
          <w:t>Custodes</w:t>
        </w:r>
      </w:hyperlink>
      <w:r w:rsidRPr="00FA06F7">
        <w:rPr>
          <w:rFonts w:ascii="Arial" w:eastAsia="Times New Roman" w:hAnsi="Arial" w:cs="Arial"/>
          <w:color w:val="333333"/>
          <w:kern w:val="0"/>
          <w:sz w:val="26"/>
          <w:szCs w:val="26"/>
          <w:lang w:eastAsia="es-UY"/>
          <w14:ligatures w14:val="none"/>
        </w:rPr>
        <w:t xml:space="preserve"> , mientras el Papa Emérito </w:t>
      </w:r>
      <w:r w:rsidRPr="00FA06F7">
        <w:rPr>
          <w:rFonts w:ascii="Arial" w:eastAsia="Times New Roman" w:hAnsi="Arial" w:cs="Arial"/>
          <w:color w:val="333333"/>
          <w:kern w:val="0"/>
          <w:sz w:val="26"/>
          <w:szCs w:val="26"/>
          <w:lang w:eastAsia="es-UY"/>
          <w14:ligatures w14:val="none"/>
        </w:rPr>
        <w:lastRenderedPageBreak/>
        <w:t>aún vivía. No me pareció una decisión sabia ni respetuosa. Pero </w:t>
      </w:r>
      <w:r w:rsidRPr="00FA06F7">
        <w:rPr>
          <w:rFonts w:ascii="Arial" w:eastAsia="Times New Roman" w:hAnsi="Arial" w:cs="Arial"/>
          <w:b/>
          <w:bCs/>
          <w:color w:val="333333"/>
          <w:kern w:val="0"/>
          <w:sz w:val="26"/>
          <w:szCs w:val="26"/>
          <w:lang w:eastAsia="es-UY"/>
          <w14:ligatures w14:val="none"/>
        </w:rPr>
        <w:t>Benedicto</w:t>
      </w:r>
      <w:r w:rsidRPr="00FA06F7">
        <w:rPr>
          <w:rFonts w:ascii="Arial" w:eastAsia="Times New Roman" w:hAnsi="Arial" w:cs="Arial"/>
          <w:color w:val="333333"/>
          <w:kern w:val="0"/>
          <w:sz w:val="26"/>
          <w:szCs w:val="26"/>
          <w:lang w:eastAsia="es-UY"/>
          <w14:ligatures w14:val="none"/>
        </w:rPr>
        <w:t> , un hombre tan manso como un cordero, se dejó humillar y, así, en silencio y oración, ofreció su sufrimiento a Dios para identificarse mejor con el dolor de </w:t>
      </w:r>
      <w:r w:rsidRPr="00FA06F7">
        <w:rPr>
          <w:rFonts w:ascii="Arial" w:eastAsia="Times New Roman" w:hAnsi="Arial" w:cs="Arial"/>
          <w:b/>
          <w:bCs/>
          <w:color w:val="333333"/>
          <w:kern w:val="0"/>
          <w:sz w:val="26"/>
          <w:szCs w:val="26"/>
          <w:lang w:eastAsia="es-UY"/>
          <w14:ligatures w14:val="none"/>
        </w:rPr>
        <w:t>Cristo</w:t>
      </w:r>
      <w:r w:rsidRPr="00FA06F7">
        <w:rPr>
          <w:rFonts w:ascii="Arial" w:eastAsia="Times New Roman" w:hAnsi="Arial" w:cs="Arial"/>
          <w:color w:val="333333"/>
          <w:kern w:val="0"/>
          <w:sz w:val="26"/>
          <w:szCs w:val="26"/>
          <w:lang w:eastAsia="es-UY"/>
          <w14:ligatures w14:val="none"/>
        </w:rPr>
        <w:t> por su Iglesia y purificarla.</w:t>
      </w:r>
    </w:p>
    <w:p w14:paraId="18BB2D45"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20C443EC"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d) Reafirmación de la regla de oro.</w:t>
      </w:r>
    </w:p>
    <w:p w14:paraId="23FDA36C"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624043A9" w14:textId="1D133FCB"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79087389"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246E67D6" w14:textId="10A3DAAA"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"El acceso a prácticas rituales reconocidas y existentes desde hace siglos nunca podrá ser limitado artificialmente por decretos."</w:t>
      </w:r>
    </w:p>
    <w:p w14:paraId="3A9251F0"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Me gustaría refutar, una por una, estas cuatro afirmaciones.</w:t>
      </w:r>
    </w:p>
    <w:p w14:paraId="10AF292F"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1A5E2BD2"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La </w:t>
      </w:r>
      <w:hyperlink r:id="rId19" w:tgtFrame="_blank" w:history="1">
        <w:r w:rsidRPr="00FA06F7">
          <w:rPr>
            <w:rFonts w:ascii="Arial" w:eastAsia="Times New Roman" w:hAnsi="Arial" w:cs="Arial"/>
            <w:color w:val="FC6B01"/>
            <w:kern w:val="0"/>
            <w:sz w:val="26"/>
            <w:szCs w:val="26"/>
            <w:u w:val="single"/>
            <w:lang w:eastAsia="es-UY"/>
            <w14:ligatures w14:val="none"/>
          </w:rPr>
          <w:t>Misa Tridentina</w:t>
        </w:r>
      </w:hyperlink>
      <w:r w:rsidRPr="00FA06F7">
        <w:rPr>
          <w:rFonts w:ascii="Arial" w:eastAsia="Times New Roman" w:hAnsi="Arial" w:cs="Arial"/>
          <w:color w:val="333333"/>
          <w:kern w:val="0"/>
          <w:sz w:val="26"/>
          <w:szCs w:val="26"/>
          <w:lang w:eastAsia="es-UY"/>
          <w14:ligatures w14:val="none"/>
        </w:rPr>
        <w:t> , reintroducida por </w:t>
      </w:r>
      <w:r w:rsidRPr="00FA06F7">
        <w:rPr>
          <w:rFonts w:ascii="Arial" w:eastAsia="Times New Roman" w:hAnsi="Arial" w:cs="Arial"/>
          <w:b/>
          <w:bCs/>
          <w:color w:val="333333"/>
          <w:kern w:val="0"/>
          <w:sz w:val="26"/>
          <w:szCs w:val="26"/>
          <w:lang w:eastAsia="es-UY"/>
          <w14:ligatures w14:val="none"/>
        </w:rPr>
        <w:t>Lefebvre</w:t>
      </w:r>
      <w:r w:rsidRPr="00FA06F7">
        <w:rPr>
          <w:rFonts w:ascii="Arial" w:eastAsia="Times New Roman" w:hAnsi="Arial" w:cs="Arial"/>
          <w:color w:val="333333"/>
          <w:kern w:val="0"/>
          <w:sz w:val="26"/>
          <w:szCs w:val="26"/>
          <w:lang w:eastAsia="es-UY"/>
          <w14:ligatures w14:val="none"/>
        </w:rPr>
        <w:t> para reemplazar el rito aprobado tras el </w:t>
      </w:r>
      <w:hyperlink r:id="rId20" w:tgtFrame="_blank" w:history="1">
        <w:r w:rsidRPr="00FA06F7">
          <w:rPr>
            <w:rFonts w:ascii="Arial" w:eastAsia="Times New Roman" w:hAnsi="Arial" w:cs="Arial"/>
            <w:color w:val="FC6B01"/>
            <w:kern w:val="0"/>
            <w:sz w:val="26"/>
            <w:szCs w:val="26"/>
            <w:u w:val="single"/>
            <w:lang w:eastAsia="es-UY"/>
            <w14:ligatures w14:val="none"/>
          </w:rPr>
          <w:t>Concilio Vaticano II</w:t>
        </w:r>
      </w:hyperlink>
      <w:r w:rsidRPr="00FA06F7">
        <w:rPr>
          <w:rFonts w:ascii="Arial" w:eastAsia="Times New Roman" w:hAnsi="Arial" w:cs="Arial"/>
          <w:color w:val="333333"/>
          <w:kern w:val="0"/>
          <w:sz w:val="26"/>
          <w:szCs w:val="26"/>
          <w:lang w:eastAsia="es-UY"/>
          <w14:ligatures w14:val="none"/>
        </w:rPr>
        <w:t> , siguiendo sus recomendaciones, fue un «acto de guerra» contra la </w:t>
      </w:r>
      <w:r w:rsidRPr="00FA06F7">
        <w:rPr>
          <w:rFonts w:ascii="Arial" w:eastAsia="Times New Roman" w:hAnsi="Arial" w:cs="Arial"/>
          <w:b/>
          <w:bCs/>
          <w:color w:val="333333"/>
          <w:kern w:val="0"/>
          <w:sz w:val="26"/>
          <w:szCs w:val="26"/>
          <w:lang w:eastAsia="es-UY"/>
          <w14:ligatures w14:val="none"/>
        </w:rPr>
        <w:t>Iglesia</w:t>
      </w:r>
      <w:r w:rsidRPr="00FA06F7">
        <w:rPr>
          <w:rFonts w:ascii="Arial" w:eastAsia="Times New Roman" w:hAnsi="Arial" w:cs="Arial"/>
          <w:color w:val="333333"/>
          <w:kern w:val="0"/>
          <w:sz w:val="26"/>
          <w:szCs w:val="26"/>
          <w:lang w:eastAsia="es-UY"/>
          <w14:ligatures w14:val="none"/>
        </w:rPr>
        <w:t> de </w:t>
      </w:r>
      <w:r w:rsidRPr="00FA06F7">
        <w:rPr>
          <w:rFonts w:ascii="Arial" w:eastAsia="Times New Roman" w:hAnsi="Arial" w:cs="Arial"/>
          <w:b/>
          <w:bCs/>
          <w:color w:val="333333"/>
          <w:kern w:val="0"/>
          <w:sz w:val="26"/>
          <w:szCs w:val="26"/>
          <w:lang w:eastAsia="es-UY"/>
          <w14:ligatures w14:val="none"/>
        </w:rPr>
        <w:t>Roma</w:t>
      </w:r>
      <w:r w:rsidRPr="00FA06F7">
        <w:rPr>
          <w:rFonts w:ascii="Arial" w:eastAsia="Times New Roman" w:hAnsi="Arial" w:cs="Arial"/>
          <w:color w:val="333333"/>
          <w:kern w:val="0"/>
          <w:sz w:val="26"/>
          <w:szCs w:val="26"/>
          <w:lang w:eastAsia="es-UY"/>
          <w14:ligatures w14:val="none"/>
        </w:rPr>
        <w:t> . Invertir la lógica y convertir a los culpables en víctimas carece de sentido y solo alimenta los malentendidos. No se trata de «declarar la guerra a la Misa Tridentina», sino de adoptar, como rito común, el que se determinó oficialmente por el desarrollo orgánico de la tradición, que entró en vigor en 1970. Desde ese momento, recurrir al « </w:t>
      </w:r>
      <w:hyperlink r:id="rId21" w:tgtFrame="_blank" w:history="1">
        <w:r w:rsidRPr="00FA06F7">
          <w:rPr>
            <w:rFonts w:ascii="Arial" w:eastAsia="Times New Roman" w:hAnsi="Arial" w:cs="Arial"/>
            <w:color w:val="FC6B01"/>
            <w:kern w:val="0"/>
            <w:sz w:val="26"/>
            <w:szCs w:val="26"/>
            <w:u w:val="single"/>
            <w:lang w:eastAsia="es-UY"/>
            <w14:ligatures w14:val="none"/>
          </w:rPr>
          <w:t>Vetus Ordo</w:t>
        </w:r>
      </w:hyperlink>
      <w:r w:rsidRPr="00FA06F7">
        <w:rPr>
          <w:rFonts w:ascii="Arial" w:eastAsia="Times New Roman" w:hAnsi="Arial" w:cs="Arial"/>
          <w:color w:val="333333"/>
          <w:kern w:val="0"/>
          <w:sz w:val="26"/>
          <w:szCs w:val="26"/>
          <w:lang w:eastAsia="es-UY"/>
          <w14:ligatures w14:val="none"/>
        </w:rPr>
        <w:t> » es una guerra contra Roma. </w:t>
      </w:r>
      <w:r w:rsidRPr="00FA06F7">
        <w:rPr>
          <w:rFonts w:ascii="Arial" w:eastAsia="Times New Roman" w:hAnsi="Arial" w:cs="Arial"/>
          <w:b/>
          <w:bCs/>
          <w:color w:val="333333"/>
          <w:kern w:val="0"/>
          <w:sz w:val="26"/>
          <w:szCs w:val="26"/>
          <w:lang w:eastAsia="es-UY"/>
          <w14:ligatures w14:val="none"/>
        </w:rPr>
        <w:t>Sarah</w:t>
      </w:r>
      <w:r w:rsidRPr="00FA06F7">
        <w:rPr>
          <w:rFonts w:ascii="Arial" w:eastAsia="Times New Roman" w:hAnsi="Arial" w:cs="Arial"/>
          <w:color w:val="333333"/>
          <w:kern w:val="0"/>
          <w:sz w:val="26"/>
          <w:szCs w:val="26"/>
          <w:lang w:eastAsia="es-UY"/>
          <w14:ligatures w14:val="none"/>
        </w:rPr>
        <w:t> parece olvidar esta historia y razona al revés.</w:t>
      </w:r>
    </w:p>
    <w:p w14:paraId="602EB6D3"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5B00E7F0" w14:textId="2ACB9C0F"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La </w:t>
      </w:r>
      <w:hyperlink r:id="rId22" w:tgtFrame="_blank" w:history="1">
        <w:r w:rsidRPr="00FA06F7">
          <w:rPr>
            <w:rFonts w:ascii="Arial" w:eastAsia="Times New Roman" w:hAnsi="Arial" w:cs="Arial"/>
            <w:color w:val="FC6B01"/>
            <w:kern w:val="0"/>
            <w:sz w:val="26"/>
            <w:szCs w:val="26"/>
            <w:u w:val="single"/>
            <w:lang w:eastAsia="es-UY"/>
            <w14:ligatures w14:val="none"/>
          </w:rPr>
          <w:t>solución propuesta por </w:t>
        </w:r>
        <w:r w:rsidRPr="00FA06F7">
          <w:rPr>
            <w:rFonts w:ascii="Arial" w:eastAsia="Times New Roman" w:hAnsi="Arial" w:cs="Arial"/>
            <w:b/>
            <w:bCs/>
            <w:color w:val="FC6B01"/>
            <w:kern w:val="0"/>
            <w:sz w:val="26"/>
            <w:szCs w:val="26"/>
            <w:u w:val="single"/>
            <w:lang w:eastAsia="es-UY"/>
            <w14:ligatures w14:val="none"/>
          </w:rPr>
          <w:t>el Papa Benedicto XVI</w:t>
        </w:r>
        <w:r w:rsidRPr="00FA06F7">
          <w:rPr>
            <w:rFonts w:ascii="Arial" w:eastAsia="Times New Roman" w:hAnsi="Arial" w:cs="Arial"/>
            <w:color w:val="FC6B01"/>
            <w:kern w:val="0"/>
            <w:sz w:val="26"/>
            <w:szCs w:val="26"/>
            <w:u w:val="single"/>
            <w:lang w:eastAsia="es-UY"/>
            <w14:ligatures w14:val="none"/>
          </w:rPr>
          <w:t> en 2007</w:t>
        </w:r>
      </w:hyperlink>
      <w:r w:rsidRPr="00FA06F7">
        <w:rPr>
          <w:rFonts w:ascii="Arial" w:eastAsia="Times New Roman" w:hAnsi="Arial" w:cs="Arial"/>
          <w:color w:val="333333"/>
          <w:kern w:val="0"/>
          <w:sz w:val="26"/>
          <w:szCs w:val="26"/>
          <w:lang w:eastAsia="es-UY"/>
          <w14:ligatures w14:val="none"/>
        </w:rPr>
        <w:t> no resolvió el problema, sino que lo agravó. La idea de que dos ritos contradictorios puedan generar «paz» es una ilusión que pronto reveló sus frutos venenosos. Fomentar, desde el centro, una competencia desleal entre formas rituales contrastantes nunca es una solución. Mucho menos sirve para corregir los «abusos», que sin duda son una experiencia vinculada a la recepción del </w:t>
      </w:r>
      <w:r w:rsidRPr="00FA06F7">
        <w:rPr>
          <w:rFonts w:ascii="Arial" w:eastAsia="Times New Roman" w:hAnsi="Arial" w:cs="Arial"/>
          <w:b/>
          <w:bCs/>
          <w:i/>
          <w:iCs/>
          <w:color w:val="333333"/>
          <w:kern w:val="0"/>
          <w:sz w:val="26"/>
          <w:szCs w:val="26"/>
          <w:lang w:eastAsia="es-UY"/>
          <w14:ligatures w14:val="none"/>
        </w:rPr>
        <w:t>Novus Ordo</w:t>
      </w:r>
      <w:r w:rsidRPr="00FA06F7">
        <w:rPr>
          <w:rFonts w:ascii="Arial" w:eastAsia="Times New Roman" w:hAnsi="Arial" w:cs="Arial"/>
          <w:i/>
          <w:iCs/>
          <w:color w:val="333333"/>
          <w:kern w:val="0"/>
          <w:sz w:val="26"/>
          <w:szCs w:val="26"/>
          <w:lang w:eastAsia="es-UY"/>
          <w14:ligatures w14:val="none"/>
        </w:rPr>
        <w:t> </w:t>
      </w:r>
      <w:r w:rsidRPr="00FA06F7">
        <w:rPr>
          <w:rFonts w:ascii="Arial" w:eastAsia="Times New Roman" w:hAnsi="Arial" w:cs="Arial"/>
          <w:color w:val="333333"/>
          <w:kern w:val="0"/>
          <w:sz w:val="26"/>
          <w:szCs w:val="26"/>
          <w:lang w:eastAsia="es-UY"/>
          <w14:ligatures w14:val="none"/>
        </w:rPr>
        <w:t>( </w:t>
      </w:r>
      <w:r w:rsidRPr="00FA06F7">
        <w:rPr>
          <w:rFonts w:ascii="Arial" w:eastAsia="Times New Roman" w:hAnsi="Arial" w:cs="Arial"/>
          <w:b/>
          <w:bCs/>
          <w:color w:val="333333"/>
          <w:kern w:val="0"/>
          <w:sz w:val="26"/>
          <w:szCs w:val="26"/>
          <w:lang w:eastAsia="es-UY"/>
          <w14:ligatures w14:val="none"/>
        </w:rPr>
        <w:t>NO</w:t>
      </w:r>
      <w:r w:rsidRPr="00FA06F7">
        <w:rPr>
          <w:rFonts w:ascii="Arial" w:eastAsia="Times New Roman" w:hAnsi="Arial" w:cs="Arial"/>
          <w:color w:val="333333"/>
          <w:kern w:val="0"/>
          <w:sz w:val="26"/>
          <w:szCs w:val="26"/>
          <w:lang w:eastAsia="es-UY"/>
          <w14:ligatures w14:val="none"/>
        </w:rPr>
        <w:t> ), pero que </w:t>
      </w:r>
      <w:r w:rsidRPr="00FA06F7">
        <w:rPr>
          <w:rFonts w:ascii="Arial" w:eastAsia="Times New Roman" w:hAnsi="Arial" w:cs="Arial"/>
          <w:i/>
          <w:iCs/>
          <w:color w:val="333333"/>
          <w:kern w:val="0"/>
          <w:sz w:val="26"/>
          <w:szCs w:val="26"/>
          <w:lang w:eastAsia="es-UY"/>
          <w14:ligatures w14:val="none"/>
        </w:rPr>
        <w:t>el Vetus Ordo</w:t>
      </w:r>
      <w:r w:rsidRPr="00FA06F7">
        <w:rPr>
          <w:rFonts w:ascii="Arial" w:eastAsia="Times New Roman" w:hAnsi="Arial" w:cs="Arial"/>
          <w:color w:val="333333"/>
          <w:kern w:val="0"/>
          <w:sz w:val="26"/>
          <w:szCs w:val="26"/>
          <w:lang w:eastAsia="es-UY"/>
          <w14:ligatures w14:val="none"/>
        </w:rPr>
        <w:t> ( </w:t>
      </w:r>
      <w:r w:rsidRPr="00FA06F7">
        <w:rPr>
          <w:rFonts w:ascii="Arial" w:eastAsia="Times New Roman" w:hAnsi="Arial" w:cs="Arial"/>
          <w:b/>
          <w:bCs/>
          <w:color w:val="333333"/>
          <w:kern w:val="0"/>
          <w:sz w:val="26"/>
          <w:szCs w:val="26"/>
          <w:lang w:eastAsia="es-UY"/>
          <w14:ligatures w14:val="none"/>
        </w:rPr>
        <w:t>VO</w:t>
      </w:r>
      <w:r w:rsidRPr="00FA06F7">
        <w:rPr>
          <w:rFonts w:ascii="Arial" w:eastAsia="Times New Roman" w:hAnsi="Arial" w:cs="Arial"/>
          <w:color w:val="333333"/>
          <w:kern w:val="0"/>
          <w:sz w:val="26"/>
          <w:szCs w:val="26"/>
          <w:lang w:eastAsia="es-UY"/>
          <w14:ligatures w14:val="none"/>
        </w:rPr>
        <w:t> ) resuelve renunciando a la participación activa.</w:t>
      </w:r>
    </w:p>
    <w:p w14:paraId="63554113"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4CCEC877"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El punto crucial es que </w:t>
      </w:r>
      <w:r w:rsidRPr="00FA06F7">
        <w:rPr>
          <w:rFonts w:ascii="Arial" w:eastAsia="Times New Roman" w:hAnsi="Arial" w:cs="Arial"/>
          <w:b/>
          <w:bCs/>
          <w:color w:val="333333"/>
          <w:kern w:val="0"/>
          <w:sz w:val="26"/>
          <w:szCs w:val="26"/>
          <w:lang w:eastAsia="es-UY"/>
          <w14:ligatures w14:val="none"/>
        </w:rPr>
        <w:t>la ON</w:t>
      </w:r>
      <w:r w:rsidRPr="00FA06F7">
        <w:rPr>
          <w:rFonts w:ascii="Arial" w:eastAsia="Times New Roman" w:hAnsi="Arial" w:cs="Arial"/>
          <w:color w:val="333333"/>
          <w:kern w:val="0"/>
          <w:sz w:val="26"/>
          <w:szCs w:val="26"/>
          <w:lang w:eastAsia="es-UY"/>
          <w14:ligatures w14:val="none"/>
        </w:rPr>
        <w:t> puede ser objeto de abuso, pero </w:t>
      </w:r>
      <w:r w:rsidRPr="00FA06F7">
        <w:rPr>
          <w:rFonts w:ascii="Arial" w:eastAsia="Times New Roman" w:hAnsi="Arial" w:cs="Arial"/>
          <w:b/>
          <w:bCs/>
          <w:color w:val="333333"/>
          <w:kern w:val="0"/>
          <w:sz w:val="26"/>
          <w:szCs w:val="26"/>
          <w:lang w:eastAsia="es-UY"/>
          <w14:ligatures w14:val="none"/>
        </w:rPr>
        <w:t>la OV</w:t>
      </w:r>
      <w:r w:rsidRPr="00FA06F7">
        <w:rPr>
          <w:rFonts w:ascii="Arial" w:eastAsia="Times New Roman" w:hAnsi="Arial" w:cs="Arial"/>
          <w:color w:val="333333"/>
          <w:kern w:val="0"/>
          <w:sz w:val="26"/>
          <w:szCs w:val="26"/>
          <w:lang w:eastAsia="es-UY"/>
          <w14:ligatures w14:val="none"/>
        </w:rPr>
        <w:t> es un abuso en sí misma, al ser concebida como un rito clerical, un producto de la apologética católica moderna.</w:t>
      </w:r>
    </w:p>
    <w:p w14:paraId="36E1C7E6"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33ED54BF"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La imagen de la «humillación del Papa» por parte de su sucesor es una invención. </w:t>
      </w:r>
      <w:r w:rsidRPr="00FA06F7">
        <w:rPr>
          <w:rFonts w:ascii="Arial" w:eastAsia="Times New Roman" w:hAnsi="Arial" w:cs="Arial"/>
          <w:b/>
          <w:bCs/>
          <w:color w:val="333333"/>
          <w:kern w:val="0"/>
          <w:sz w:val="26"/>
          <w:szCs w:val="26"/>
          <w:lang w:eastAsia="es-UY"/>
          <w14:ligatures w14:val="none"/>
        </w:rPr>
        <w:t>Francisco</w:t>
      </w:r>
      <w:r w:rsidRPr="00FA06F7">
        <w:rPr>
          <w:rFonts w:ascii="Arial" w:eastAsia="Times New Roman" w:hAnsi="Arial" w:cs="Arial"/>
          <w:color w:val="333333"/>
          <w:kern w:val="0"/>
          <w:sz w:val="26"/>
          <w:szCs w:val="26"/>
          <w:lang w:eastAsia="es-UY"/>
          <w14:ligatures w14:val="none"/>
        </w:rPr>
        <w:t> simplemente </w:t>
      </w:r>
      <w:hyperlink r:id="rId23" w:tgtFrame="_blank" w:history="1">
        <w:r w:rsidRPr="00FA06F7">
          <w:rPr>
            <w:rFonts w:ascii="Arial" w:eastAsia="Times New Roman" w:hAnsi="Arial" w:cs="Arial"/>
            <w:color w:val="FC6B01"/>
            <w:kern w:val="0"/>
            <w:sz w:val="26"/>
            <w:szCs w:val="26"/>
            <w:u w:val="single"/>
            <w:lang w:eastAsia="es-UY"/>
            <w14:ligatures w14:val="none"/>
          </w:rPr>
          <w:t>restauró el sentido común</w:t>
        </w:r>
      </w:hyperlink>
      <w:r w:rsidRPr="00FA06F7">
        <w:rPr>
          <w:rFonts w:ascii="Arial" w:eastAsia="Times New Roman" w:hAnsi="Arial" w:cs="Arial"/>
          <w:color w:val="333333"/>
          <w:kern w:val="0"/>
          <w:sz w:val="26"/>
          <w:szCs w:val="26"/>
          <w:lang w:eastAsia="es-UY"/>
          <w14:ligatures w14:val="none"/>
        </w:rPr>
        <w:t> —defendido antes que él por </w:t>
      </w:r>
      <w:r w:rsidRPr="00FA06F7">
        <w:rPr>
          <w:rFonts w:ascii="Arial" w:eastAsia="Times New Roman" w:hAnsi="Arial" w:cs="Arial"/>
          <w:b/>
          <w:bCs/>
          <w:color w:val="333333"/>
          <w:kern w:val="0"/>
          <w:sz w:val="26"/>
          <w:szCs w:val="26"/>
          <w:lang w:eastAsia="es-UY"/>
          <w14:ligatures w14:val="none"/>
        </w:rPr>
        <w:t>Pablo VI</w:t>
      </w:r>
      <w:r w:rsidRPr="00FA06F7">
        <w:rPr>
          <w:rFonts w:ascii="Arial" w:eastAsia="Times New Roman" w:hAnsi="Arial" w:cs="Arial"/>
          <w:color w:val="333333"/>
          <w:kern w:val="0"/>
          <w:sz w:val="26"/>
          <w:szCs w:val="26"/>
          <w:lang w:eastAsia="es-UY"/>
          <w14:ligatures w14:val="none"/>
        </w:rPr>
        <w:t> y </w:t>
      </w:r>
      <w:r w:rsidRPr="00FA06F7">
        <w:rPr>
          <w:rFonts w:ascii="Arial" w:eastAsia="Times New Roman" w:hAnsi="Arial" w:cs="Arial"/>
          <w:b/>
          <w:bCs/>
          <w:color w:val="333333"/>
          <w:kern w:val="0"/>
          <w:sz w:val="26"/>
          <w:szCs w:val="26"/>
          <w:lang w:eastAsia="es-UY"/>
          <w14:ligatures w14:val="none"/>
        </w:rPr>
        <w:t>Juan Pablo II—</w:t>
      </w:r>
      <w:r w:rsidRPr="00FA06F7">
        <w:rPr>
          <w:rFonts w:ascii="Arial" w:eastAsia="Times New Roman" w:hAnsi="Arial" w:cs="Arial"/>
          <w:color w:val="333333"/>
          <w:kern w:val="0"/>
          <w:sz w:val="26"/>
          <w:szCs w:val="26"/>
          <w:lang w:eastAsia="es-UY"/>
          <w14:ligatures w14:val="none"/>
        </w:rPr>
        <w:t> que </w:t>
      </w:r>
      <w:r w:rsidRPr="00FA06F7">
        <w:rPr>
          <w:rFonts w:ascii="Arial" w:eastAsia="Times New Roman" w:hAnsi="Arial" w:cs="Arial"/>
          <w:b/>
          <w:bCs/>
          <w:color w:val="333333"/>
          <w:kern w:val="0"/>
          <w:sz w:val="26"/>
          <w:szCs w:val="26"/>
          <w:lang w:eastAsia="es-UY"/>
          <w14:ligatures w14:val="none"/>
        </w:rPr>
        <w:t>Benedicto XVI</w:t>
      </w:r>
      <w:r w:rsidRPr="00FA06F7">
        <w:rPr>
          <w:rFonts w:ascii="Arial" w:eastAsia="Times New Roman" w:hAnsi="Arial" w:cs="Arial"/>
          <w:color w:val="333333"/>
          <w:kern w:val="0"/>
          <w:sz w:val="26"/>
          <w:szCs w:val="26"/>
          <w:lang w:eastAsia="es-UY"/>
          <w14:ligatures w14:val="none"/>
        </w:rPr>
        <w:t> había subvertido, introduciendo en el magisterio eclesiástico el mismo argumento que llevó a </w:t>
      </w:r>
      <w:r w:rsidRPr="00FA06F7">
        <w:rPr>
          <w:rFonts w:ascii="Arial" w:eastAsia="Times New Roman" w:hAnsi="Arial" w:cs="Arial"/>
          <w:b/>
          <w:bCs/>
          <w:color w:val="333333"/>
          <w:kern w:val="0"/>
          <w:sz w:val="26"/>
          <w:szCs w:val="26"/>
          <w:lang w:eastAsia="es-UY"/>
          <w14:ligatures w14:val="none"/>
        </w:rPr>
        <w:t>Lefebvre</w:t>
      </w:r>
      <w:r w:rsidRPr="00FA06F7">
        <w:rPr>
          <w:rFonts w:ascii="Arial" w:eastAsia="Times New Roman" w:hAnsi="Arial" w:cs="Arial"/>
          <w:color w:val="333333"/>
          <w:kern w:val="0"/>
          <w:sz w:val="26"/>
          <w:szCs w:val="26"/>
          <w:lang w:eastAsia="es-UY"/>
          <w14:ligatures w14:val="none"/>
        </w:rPr>
        <w:t> al cisma: la idea de que la reforma litúrgica no tiene autoridad para reformar el </w:t>
      </w:r>
      <w:r w:rsidRPr="00FA06F7">
        <w:rPr>
          <w:rFonts w:ascii="Arial" w:eastAsia="Times New Roman" w:hAnsi="Arial" w:cs="Arial"/>
          <w:b/>
          <w:bCs/>
          <w:color w:val="333333"/>
          <w:kern w:val="0"/>
          <w:sz w:val="26"/>
          <w:szCs w:val="26"/>
          <w:lang w:eastAsia="es-UY"/>
          <w14:ligatures w14:val="none"/>
        </w:rPr>
        <w:t>rito tridentino</w:t>
      </w:r>
      <w:r w:rsidRPr="00FA06F7">
        <w:rPr>
          <w:rFonts w:ascii="Arial" w:eastAsia="Times New Roman" w:hAnsi="Arial" w:cs="Arial"/>
          <w:color w:val="333333"/>
          <w:kern w:val="0"/>
          <w:sz w:val="26"/>
          <w:szCs w:val="26"/>
          <w:lang w:eastAsia="es-UY"/>
          <w14:ligatures w14:val="none"/>
        </w:rPr>
        <w:t> . Esta es una idea cismática, que Sarah parece no comprender.</w:t>
      </w:r>
    </w:p>
    <w:p w14:paraId="3D7D8EAA"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32D90339"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En el fondo de todo este debate subyace la falsa afirmación de que un rito que ha existido durante siglos no puede modificarse. La </w:t>
      </w:r>
      <w:r w:rsidRPr="00FA06F7">
        <w:rPr>
          <w:rFonts w:ascii="Arial" w:eastAsia="Times New Roman" w:hAnsi="Arial" w:cs="Arial"/>
          <w:b/>
          <w:bCs/>
          <w:color w:val="333333"/>
          <w:kern w:val="0"/>
          <w:sz w:val="26"/>
          <w:szCs w:val="26"/>
          <w:lang w:eastAsia="es-UY"/>
          <w14:ligatures w14:val="none"/>
        </w:rPr>
        <w:t>Iglesia</w:t>
      </w:r>
      <w:r w:rsidRPr="00FA06F7">
        <w:rPr>
          <w:rFonts w:ascii="Arial" w:eastAsia="Times New Roman" w:hAnsi="Arial" w:cs="Arial"/>
          <w:color w:val="333333"/>
          <w:kern w:val="0"/>
          <w:sz w:val="26"/>
          <w:szCs w:val="26"/>
          <w:lang w:eastAsia="es-UY"/>
          <w14:ligatures w14:val="none"/>
        </w:rPr>
        <w:t xml:space="preserve"> tiene </w:t>
      </w:r>
      <w:r w:rsidRPr="00FA06F7">
        <w:rPr>
          <w:rFonts w:ascii="Arial" w:eastAsia="Times New Roman" w:hAnsi="Arial" w:cs="Arial"/>
          <w:color w:val="333333"/>
          <w:kern w:val="0"/>
          <w:sz w:val="26"/>
          <w:szCs w:val="26"/>
          <w:lang w:eastAsia="es-UY"/>
          <w14:ligatures w14:val="none"/>
        </w:rPr>
        <w:lastRenderedPageBreak/>
        <w:t>autoridad para reformarse, incluyendo su propia liturgia, siempre que lo haga legítimamente. ¿Qué pudieron haber dicho los obispos en el </w:t>
      </w:r>
      <w:r w:rsidRPr="00FA06F7">
        <w:rPr>
          <w:rFonts w:ascii="Arial" w:eastAsia="Times New Roman" w:hAnsi="Arial" w:cs="Arial"/>
          <w:b/>
          <w:bCs/>
          <w:color w:val="333333"/>
          <w:kern w:val="0"/>
          <w:sz w:val="26"/>
          <w:szCs w:val="26"/>
          <w:lang w:eastAsia="es-UY"/>
          <w14:ligatures w14:val="none"/>
        </w:rPr>
        <w:t>Concilio de Trento</w:t>
      </w:r>
      <w:r w:rsidRPr="00FA06F7">
        <w:rPr>
          <w:rFonts w:ascii="Arial" w:eastAsia="Times New Roman" w:hAnsi="Arial" w:cs="Arial"/>
          <w:color w:val="333333"/>
          <w:kern w:val="0"/>
          <w:sz w:val="26"/>
          <w:szCs w:val="26"/>
          <w:lang w:eastAsia="es-UY"/>
          <w14:ligatures w14:val="none"/>
        </w:rPr>
        <w:t> cuando se estableció la obligación de residencia, la forma canónica del matrimonio y la creación de los seminarios?</w:t>
      </w:r>
    </w:p>
    <w:p w14:paraId="109C08FC"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4A5D6165"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r w:rsidRPr="00FA06F7">
        <w:rPr>
          <w:rFonts w:ascii="Arial" w:eastAsia="Times New Roman" w:hAnsi="Arial" w:cs="Arial"/>
          <w:color w:val="333333"/>
          <w:kern w:val="0"/>
          <w:sz w:val="26"/>
          <w:szCs w:val="26"/>
          <w:lang w:eastAsia="es-UY"/>
          <w14:ligatures w14:val="none"/>
        </w:rPr>
        <w:t>Todos estos fueron desarrollos nuevos que gradualmente entraron en vigor, reemplazando a los anteriores. Lo mismo se aplica al </w:t>
      </w:r>
      <w:r w:rsidRPr="00FA06F7">
        <w:rPr>
          <w:rFonts w:ascii="Arial" w:eastAsia="Times New Roman" w:hAnsi="Arial" w:cs="Arial"/>
          <w:b/>
          <w:bCs/>
          <w:color w:val="333333"/>
          <w:kern w:val="0"/>
          <w:sz w:val="26"/>
          <w:szCs w:val="26"/>
          <w:lang w:eastAsia="es-UY"/>
          <w14:ligatures w14:val="none"/>
        </w:rPr>
        <w:t>Concilio Vaticano II</w:t>
      </w:r>
      <w:r w:rsidRPr="00FA06F7">
        <w:rPr>
          <w:rFonts w:ascii="Arial" w:eastAsia="Times New Roman" w:hAnsi="Arial" w:cs="Arial"/>
          <w:color w:val="333333"/>
          <w:kern w:val="0"/>
          <w:sz w:val="26"/>
          <w:szCs w:val="26"/>
          <w:lang w:eastAsia="es-UY"/>
          <w14:ligatures w14:val="none"/>
        </w:rPr>
        <w:t> , que indicó claramente la tarea eclesial de superar una forma litúrgica inadecuada. Pensar que esta intención del Concilio puede ignorarse es declarar la guerra a </w:t>
      </w:r>
      <w:r w:rsidRPr="00FA06F7">
        <w:rPr>
          <w:rFonts w:ascii="Arial" w:eastAsia="Times New Roman" w:hAnsi="Arial" w:cs="Arial"/>
          <w:b/>
          <w:bCs/>
          <w:color w:val="333333"/>
          <w:kern w:val="0"/>
          <w:sz w:val="26"/>
          <w:szCs w:val="26"/>
          <w:lang w:eastAsia="es-UY"/>
          <w14:ligatures w14:val="none"/>
        </w:rPr>
        <w:t>Roma</w:t>
      </w:r>
      <w:r w:rsidRPr="00FA06F7">
        <w:rPr>
          <w:rFonts w:ascii="Arial" w:eastAsia="Times New Roman" w:hAnsi="Arial" w:cs="Arial"/>
          <w:color w:val="333333"/>
          <w:kern w:val="0"/>
          <w:sz w:val="26"/>
          <w:szCs w:val="26"/>
          <w:lang w:eastAsia="es-UY"/>
          <w14:ligatures w14:val="none"/>
        </w:rPr>
        <w:t> . Al menos a esa Roma que está convencida de que está progresando y «debe progresar», como expresó claramente el Papa </w:t>
      </w:r>
      <w:r w:rsidRPr="00FA06F7">
        <w:rPr>
          <w:rFonts w:ascii="Arial" w:eastAsia="Times New Roman" w:hAnsi="Arial" w:cs="Arial"/>
          <w:b/>
          <w:bCs/>
          <w:color w:val="333333"/>
          <w:kern w:val="0"/>
          <w:sz w:val="26"/>
          <w:szCs w:val="26"/>
          <w:lang w:eastAsia="es-UY"/>
          <w14:ligatures w14:val="none"/>
        </w:rPr>
        <w:t>León XIV</w:t>
      </w:r>
      <w:r w:rsidRPr="00FA06F7">
        <w:rPr>
          <w:rFonts w:ascii="Arial" w:eastAsia="Times New Roman" w:hAnsi="Arial" w:cs="Arial"/>
          <w:color w:val="333333"/>
          <w:kern w:val="0"/>
          <w:sz w:val="26"/>
          <w:szCs w:val="26"/>
          <w:lang w:eastAsia="es-UY"/>
          <w14:ligatures w14:val="none"/>
        </w:rPr>
        <w:t> . El intento de enfrentar </w:t>
      </w:r>
      <w:r w:rsidRPr="00FA06F7">
        <w:rPr>
          <w:rFonts w:ascii="Arial" w:eastAsia="Times New Roman" w:hAnsi="Arial" w:cs="Arial"/>
          <w:b/>
          <w:bCs/>
          <w:color w:val="333333"/>
          <w:kern w:val="0"/>
          <w:sz w:val="26"/>
          <w:szCs w:val="26"/>
          <w:lang w:eastAsia="es-UY"/>
          <w14:ligatures w14:val="none"/>
        </w:rPr>
        <w:t>a León XIV</w:t>
      </w:r>
      <w:r w:rsidRPr="00FA06F7">
        <w:rPr>
          <w:rFonts w:ascii="Arial" w:eastAsia="Times New Roman" w:hAnsi="Arial" w:cs="Arial"/>
          <w:color w:val="333333"/>
          <w:kern w:val="0"/>
          <w:sz w:val="26"/>
          <w:szCs w:val="26"/>
          <w:lang w:eastAsia="es-UY"/>
          <w14:ligatures w14:val="none"/>
        </w:rPr>
        <w:t> con </w:t>
      </w:r>
      <w:r w:rsidRPr="00FA06F7">
        <w:rPr>
          <w:rFonts w:ascii="Arial" w:eastAsia="Times New Roman" w:hAnsi="Arial" w:cs="Arial"/>
          <w:b/>
          <w:bCs/>
          <w:color w:val="333333"/>
          <w:kern w:val="0"/>
          <w:sz w:val="26"/>
          <w:szCs w:val="26"/>
          <w:lang w:eastAsia="es-UY"/>
          <w14:ligatures w14:val="none"/>
        </w:rPr>
        <w:t>Francisco</w:t>
      </w:r>
      <w:r w:rsidRPr="00FA06F7">
        <w:rPr>
          <w:rFonts w:ascii="Arial" w:eastAsia="Times New Roman" w:hAnsi="Arial" w:cs="Arial"/>
          <w:color w:val="333333"/>
          <w:kern w:val="0"/>
          <w:sz w:val="26"/>
          <w:szCs w:val="26"/>
          <w:lang w:eastAsia="es-UY"/>
          <w14:ligatures w14:val="none"/>
        </w:rPr>
        <w:t> es un acto grave, que el Cardenal </w:t>
      </w:r>
      <w:r w:rsidRPr="00FA06F7">
        <w:rPr>
          <w:rFonts w:ascii="Arial" w:eastAsia="Times New Roman" w:hAnsi="Arial" w:cs="Arial"/>
          <w:b/>
          <w:bCs/>
          <w:color w:val="333333"/>
          <w:kern w:val="0"/>
          <w:sz w:val="26"/>
          <w:szCs w:val="26"/>
          <w:lang w:eastAsia="es-UY"/>
          <w14:ligatures w14:val="none"/>
        </w:rPr>
        <w:t>Sarah</w:t>
      </w:r>
      <w:r w:rsidRPr="00FA06F7">
        <w:rPr>
          <w:rFonts w:ascii="Arial" w:eastAsia="Times New Roman" w:hAnsi="Arial" w:cs="Arial"/>
          <w:color w:val="333333"/>
          <w:kern w:val="0"/>
          <w:sz w:val="26"/>
          <w:szCs w:val="26"/>
          <w:lang w:eastAsia="es-UY"/>
          <w14:ligatures w14:val="none"/>
        </w:rPr>
        <w:t> ha estado repitiendo descaradamente durante meses, asociándose con muchas figuras de dudosa reputación.</w:t>
      </w:r>
    </w:p>
    <w:p w14:paraId="31515A01" w14:textId="77777777" w:rsid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496A5A38" w14:textId="77777777" w:rsidR="00FA06F7" w:rsidRPr="00FA06F7" w:rsidRDefault="00FA06F7" w:rsidP="00FA06F7">
      <w:pPr>
        <w:spacing w:after="0" w:line="240" w:lineRule="auto"/>
        <w:jc w:val="both"/>
        <w:rPr>
          <w:rFonts w:ascii="Arial" w:eastAsia="Times New Roman" w:hAnsi="Arial" w:cs="Arial"/>
          <w:color w:val="333333"/>
          <w:kern w:val="0"/>
          <w:sz w:val="26"/>
          <w:szCs w:val="26"/>
          <w:lang w:eastAsia="es-UY"/>
          <w14:ligatures w14:val="none"/>
        </w:rPr>
      </w:pPr>
    </w:p>
    <w:p w14:paraId="5EFE4227" w14:textId="39422B29" w:rsidR="00FA06F7" w:rsidRDefault="00000000">
      <w:hyperlink r:id="rId24" w:history="1">
        <w:r w:rsidR="00FA06F7" w:rsidRPr="00724E95">
          <w:rPr>
            <w:rStyle w:val="Hipervnculo"/>
          </w:rPr>
          <w:t>https://www.ihu.unisinos.br/670459-a-guerra-do-cardeal-sarah-artigo-de-andrea-grillo</w:t>
        </w:r>
      </w:hyperlink>
    </w:p>
    <w:p w14:paraId="1829FDFB" w14:textId="77777777" w:rsidR="00FA06F7" w:rsidRDefault="00FA06F7"/>
    <w:sectPr w:rsidR="00FA06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6F7"/>
    <w:rsid w:val="005606FD"/>
    <w:rsid w:val="00D572E0"/>
    <w:rsid w:val="00FA06F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35351"/>
  <w15:chartTrackingRefBased/>
  <w15:docId w15:val="{74A25052-C0F8-4055-A34E-D19C39811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06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06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06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06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06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06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06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06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06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06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06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06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06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06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06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06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06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06F7"/>
    <w:rPr>
      <w:rFonts w:eastAsiaTheme="majorEastAsia" w:cstheme="majorBidi"/>
      <w:color w:val="272727" w:themeColor="text1" w:themeTint="D8"/>
    </w:rPr>
  </w:style>
  <w:style w:type="paragraph" w:styleId="Ttulo">
    <w:name w:val="Title"/>
    <w:basedOn w:val="Normal"/>
    <w:next w:val="Normal"/>
    <w:link w:val="TtuloCar"/>
    <w:uiPriority w:val="10"/>
    <w:qFormat/>
    <w:rsid w:val="00FA0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06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06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06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06F7"/>
    <w:pPr>
      <w:spacing w:before="160"/>
      <w:jc w:val="center"/>
    </w:pPr>
    <w:rPr>
      <w:i/>
      <w:iCs/>
      <w:color w:val="404040" w:themeColor="text1" w:themeTint="BF"/>
    </w:rPr>
  </w:style>
  <w:style w:type="character" w:customStyle="1" w:styleId="CitaCar">
    <w:name w:val="Cita Car"/>
    <w:basedOn w:val="Fuentedeprrafopredeter"/>
    <w:link w:val="Cita"/>
    <w:uiPriority w:val="29"/>
    <w:rsid w:val="00FA06F7"/>
    <w:rPr>
      <w:i/>
      <w:iCs/>
      <w:color w:val="404040" w:themeColor="text1" w:themeTint="BF"/>
    </w:rPr>
  </w:style>
  <w:style w:type="paragraph" w:styleId="Prrafodelista">
    <w:name w:val="List Paragraph"/>
    <w:basedOn w:val="Normal"/>
    <w:uiPriority w:val="34"/>
    <w:qFormat/>
    <w:rsid w:val="00FA06F7"/>
    <w:pPr>
      <w:ind w:left="720"/>
      <w:contextualSpacing/>
    </w:pPr>
  </w:style>
  <w:style w:type="character" w:styleId="nfasisintenso">
    <w:name w:val="Intense Emphasis"/>
    <w:basedOn w:val="Fuentedeprrafopredeter"/>
    <w:uiPriority w:val="21"/>
    <w:qFormat/>
    <w:rsid w:val="00FA06F7"/>
    <w:rPr>
      <w:i/>
      <w:iCs/>
      <w:color w:val="0F4761" w:themeColor="accent1" w:themeShade="BF"/>
    </w:rPr>
  </w:style>
  <w:style w:type="paragraph" w:styleId="Citadestacada">
    <w:name w:val="Intense Quote"/>
    <w:basedOn w:val="Normal"/>
    <w:next w:val="Normal"/>
    <w:link w:val="CitadestacadaCar"/>
    <w:uiPriority w:val="30"/>
    <w:qFormat/>
    <w:rsid w:val="00FA06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06F7"/>
    <w:rPr>
      <w:i/>
      <w:iCs/>
      <w:color w:val="0F4761" w:themeColor="accent1" w:themeShade="BF"/>
    </w:rPr>
  </w:style>
  <w:style w:type="character" w:styleId="Referenciaintensa">
    <w:name w:val="Intense Reference"/>
    <w:basedOn w:val="Fuentedeprrafopredeter"/>
    <w:uiPriority w:val="32"/>
    <w:qFormat/>
    <w:rsid w:val="00FA06F7"/>
    <w:rPr>
      <w:b/>
      <w:bCs/>
      <w:smallCaps/>
      <w:color w:val="0F4761" w:themeColor="accent1" w:themeShade="BF"/>
      <w:spacing w:val="5"/>
    </w:rPr>
  </w:style>
  <w:style w:type="character" w:styleId="Hipervnculo">
    <w:name w:val="Hyperlink"/>
    <w:basedOn w:val="Fuentedeprrafopredeter"/>
    <w:uiPriority w:val="99"/>
    <w:unhideWhenUsed/>
    <w:rsid w:val="00FA06F7"/>
    <w:rPr>
      <w:color w:val="467886" w:themeColor="hyperlink"/>
      <w:u w:val="single"/>
    </w:rPr>
  </w:style>
  <w:style w:type="character" w:styleId="Mencinsinresolver">
    <w:name w:val="Unresolved Mention"/>
    <w:basedOn w:val="Fuentedeprrafopredeter"/>
    <w:uiPriority w:val="99"/>
    <w:semiHidden/>
    <w:unhideWhenUsed/>
    <w:rsid w:val="00FA06F7"/>
    <w:rPr>
      <w:color w:val="605E5C"/>
      <w:shd w:val="clear" w:color="auto" w:fill="E1DFDD"/>
    </w:rPr>
  </w:style>
  <w:style w:type="character" w:styleId="Hipervnculovisitado">
    <w:name w:val="FollowedHyperlink"/>
    <w:basedOn w:val="Fuentedeprrafopredeter"/>
    <w:uiPriority w:val="99"/>
    <w:semiHidden/>
    <w:unhideWhenUsed/>
    <w:rsid w:val="005606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70233-por-que-odeio-a-missa-latina-antiga-uma-confissao-artigo-de-thomas-reese" TargetMode="External"/><Relationship Id="rId13" Type="http://schemas.openxmlformats.org/officeDocument/2006/relationships/hyperlink" Target="https://ihu.unisinos.br/668980-cinco-anos-apos-as-restricoes-do-papa-francisco-a-missa-em-latim-catolicos-tradicionalistas-refletem-sobre-a-traditionis-custodes" TargetMode="External"/><Relationship Id="rId18" Type="http://schemas.openxmlformats.org/officeDocument/2006/relationships/hyperlink" Target="https://ihu.unisinos.br/611418"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ihu.unisinos.br/espiritualidade/78-noticias/615896-o-vetus-ordo-do-episcopado-historia-e-limites-artigo-de-andrea-grillo" TargetMode="External"/><Relationship Id="rId7" Type="http://schemas.openxmlformats.org/officeDocument/2006/relationships/hyperlink" Target="https://ihu.unisinos.br/categorias/611740-abusos-do-summorum-pontificum-negacionismo-conciliar-e-bloqueio-eclesial-artigo-de-andrea-grillo" TargetMode="External"/><Relationship Id="rId12" Type="http://schemas.openxmlformats.org/officeDocument/2006/relationships/hyperlink" Target="https://www.ihu.unisinos.br/categorias/623774-rito-tridentino-e-nulidade-matrimonial-as-analogias-inesperadas-artigo-de-andrea-grillo" TargetMode="External"/><Relationship Id="rId17" Type="http://schemas.openxmlformats.org/officeDocument/2006/relationships/hyperlink" Target="https://www.ihu.unisinos.br/categorias/623774-rito-tridentino-e-nulidade-matrimonial-as-analogias-inesperadas-artigo-de-andrea-grillo"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hu.unisinos.br/categorias/655596-carta-inedita-de-bento-xvi-na-qual-esclarece-duvidas-que-poucos-tinham-sobre-sua-renuncia" TargetMode="External"/><Relationship Id="rId20" Type="http://schemas.openxmlformats.org/officeDocument/2006/relationships/hyperlink" Target="https://ihu.unisinos.br/categorias/631073-um-impressionante-manual-sobre-o-concilio-vaticano-ii" TargetMode="External"/><Relationship Id="rId1" Type="http://schemas.openxmlformats.org/officeDocument/2006/relationships/styles" Target="styles.xml"/><Relationship Id="rId6" Type="http://schemas.openxmlformats.org/officeDocument/2006/relationships/hyperlink" Target="https://ihu.unisinos.br/categorias/667917-lefebvrianos-a-santa-se-formaliza-o-cisma-as-portas-se-abrem-para-os-fieis-que-nao-aderirem" TargetMode="External"/><Relationship Id="rId11" Type="http://schemas.openxmlformats.org/officeDocument/2006/relationships/hyperlink" Target="https://www.ihu.unisinos.br/categorias/669204-o-cardeal-sarah-deseja-retornar-as-regras-de-bento-xvi-referentes-a-missa-tridentina" TargetMode="External"/><Relationship Id="rId24" Type="http://schemas.openxmlformats.org/officeDocument/2006/relationships/hyperlink" Target="https://www.ihu.unisinos.br/670459-a-guerra-do-cardeal-sarah-artigo-de-andrea-grillo" TargetMode="External"/><Relationship Id="rId5" Type="http://schemas.openxmlformats.org/officeDocument/2006/relationships/hyperlink" Target="https://www.ihu.unisinos.br/670291-o-cuidado-pastoral-liturgico-da-curia-romana-o-que-nao-morre-e-o-que-pode-morrer-artigo-de-andrea-grillo" TargetMode="External"/><Relationship Id="rId15" Type="http://schemas.openxmlformats.org/officeDocument/2006/relationships/hyperlink" Target="https://ihu.unisinos.br/categorias/611182-qual-e-a-histori" TargetMode="External"/><Relationship Id="rId23" Type="http://schemas.openxmlformats.org/officeDocument/2006/relationships/hyperlink" Target="https://ihu.unisinos.br/626347-papa-francisco-reafirma-autoridade-%20do-vaticano-para-limitar-missa-em-latim" TargetMode="External"/><Relationship Id="rId10" Type="http://schemas.openxmlformats.org/officeDocument/2006/relationships/hyperlink" Target="https://www.cittadellaeditrice.com/munera/la-guerra-del-cardinale-sarah/" TargetMode="External"/><Relationship Id="rId19" Type="http://schemas.openxmlformats.org/officeDocument/2006/relationships/hyperlink" Target="https://www.ihu.unisinos.br/categorias/670233-por-que-odeio-a-missa-latina-antiga-uma-confissao-artigo-de-thomas-reese" TargetMode="External"/><Relationship Id="rId4" Type="http://schemas.openxmlformats.org/officeDocument/2006/relationships/image" Target="media/image1.png"/><Relationship Id="rId9" Type="http://schemas.openxmlformats.org/officeDocument/2006/relationships/hyperlink" Target="https://ihu.unisinos.br/categorias/631073-um-impressionante-manual-sobre-o-concilio-vaticano-ii" TargetMode="External"/><Relationship Id="rId14" Type="http://schemas.openxmlformats.org/officeDocument/2006/relationships/hyperlink" Target="https://ihu.unisinos.br/categorias/655596-carta-inedita-de-bento-xvi-na-qual-esclarece-duvidas-que-poucos-tinham-sobre-sua-renuncia" TargetMode="External"/><Relationship Id="rId22" Type="http://schemas.openxmlformats.org/officeDocument/2006/relationships/hyperlink" Target="https://www.ihu.unisinos.br/noticias/43842-teologos-e-liturgistas-debatem-o-retorno-da-missa-em-lati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1255</Words>
  <Characters>6907</Characters>
  <Application>Microsoft Office Word</Application>
  <DocSecurity>0</DocSecurity>
  <Lines>57</Lines>
  <Paragraphs>16</Paragraphs>
  <ScaleCrop>false</ScaleCrop>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2026-09-03T12:52:00Z</dcterms:created>
  <dcterms:modified xsi:type="dcterms:W3CDTF">2026-09-09T00:20:00Z</dcterms:modified>
</cp:coreProperties>
</file>