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77B45" w14:textId="77777777" w:rsidR="001026B8" w:rsidRDefault="00000000">
      <w:pPr>
        <w:jc w:val="center"/>
        <w:rPr>
          <w:rFonts w:ascii="Arial Narrow" w:hAnsi="Arial Narrow" w:cs="Arial Narrow"/>
          <w:b/>
          <w:bCs/>
          <w:sz w:val="32"/>
          <w:szCs w:val="32"/>
          <w:lang w:val="pt-BR"/>
        </w:rPr>
      </w:pPr>
      <w:r>
        <w:rPr>
          <w:rFonts w:ascii="Arial Narrow" w:hAnsi="Arial Narrow" w:cs="Arial Narrow"/>
          <w:b/>
          <w:bCs/>
          <w:sz w:val="32"/>
          <w:szCs w:val="32"/>
          <w:lang w:val="pt-BR"/>
        </w:rPr>
        <w:t>Um drama teológico</w:t>
      </w:r>
    </w:p>
    <w:p w14:paraId="1CEF6E2E" w14:textId="77777777" w:rsidR="001026B8" w:rsidRDefault="001026B8">
      <w:pPr>
        <w:jc w:val="center"/>
        <w:rPr>
          <w:rFonts w:ascii="Arial Narrow" w:hAnsi="Arial Narrow" w:cs="Arial Narrow"/>
          <w:sz w:val="32"/>
          <w:szCs w:val="32"/>
          <w:lang w:val="pt-BR"/>
        </w:rPr>
      </w:pPr>
    </w:p>
    <w:p w14:paraId="50C1EE55" w14:textId="77777777" w:rsidR="001026B8" w:rsidRDefault="00000000">
      <w:pPr>
        <w:spacing w:line="360" w:lineRule="auto"/>
        <w:ind w:firstLine="708"/>
        <w:jc w:val="both"/>
        <w:rPr>
          <w:rFonts w:ascii="Arial Narrow" w:hAnsi="Arial Narrow" w:cs="Arial Narrow"/>
          <w:sz w:val="28"/>
          <w:szCs w:val="28"/>
          <w:lang w:val="pt-BR"/>
        </w:rPr>
      </w:pPr>
      <w:r>
        <w:rPr>
          <w:rFonts w:ascii="Arial Narrow" w:hAnsi="Arial Narrow" w:cs="Arial Narrow"/>
          <w:sz w:val="28"/>
          <w:szCs w:val="28"/>
          <w:lang w:val="pt-BR"/>
        </w:rPr>
        <w:t xml:space="preserve">O drama teológico do contemporâneo é que não aprofundamos mais o mistério de Deus. A teologia necessita redescobrir a sua vocação por excelência. Depois que foi preceituado que a religião ficaria limitada pelos ditames da razão, houve a desconstrução sistemática e continuada da necessidade de Deus ao ser humano. A substituição do teológico pelo antropológico nos mancos e miseráveis do objeto da nossa condição transcendental, que está cada vez mais sendo revalidada em nossos dias. Contudo, a questão que </w:t>
      </w:r>
      <w:proofErr w:type="gramStart"/>
      <w:r>
        <w:rPr>
          <w:rFonts w:ascii="Arial Narrow" w:hAnsi="Arial Narrow" w:cs="Arial Narrow"/>
          <w:sz w:val="28"/>
          <w:szCs w:val="28"/>
          <w:lang w:val="pt-BR"/>
        </w:rPr>
        <w:t>si</w:t>
      </w:r>
      <w:proofErr w:type="gramEnd"/>
      <w:r>
        <w:rPr>
          <w:rFonts w:ascii="Arial Narrow" w:hAnsi="Arial Narrow" w:cs="Arial Narrow"/>
          <w:sz w:val="28"/>
          <w:szCs w:val="28"/>
          <w:lang w:val="pt-BR"/>
        </w:rPr>
        <w:t xml:space="preserve"> nos impõe é que temos muita religião, mas pouca fé; quando consideramos que é “Deus o objeto da teologia” </w:t>
      </w:r>
      <w:r>
        <w:rPr>
          <w:rFonts w:ascii="Arial Narrow" w:hAnsi="Arial Narrow" w:cs="Arial Narrow"/>
          <w:i/>
          <w:iCs/>
          <w:sz w:val="28"/>
          <w:szCs w:val="28"/>
          <w:lang w:val="pt-BR"/>
        </w:rPr>
        <w:t>(cf. Santo Tomás).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 A partir das construções filosóficas dos “mestres da suspeita” - </w:t>
      </w:r>
      <w:r>
        <w:rPr>
          <w:rFonts w:ascii="Arial Narrow" w:hAnsi="Arial Narrow" w:cs="Arial Narrow"/>
          <w:i/>
          <w:iCs/>
          <w:sz w:val="28"/>
          <w:szCs w:val="28"/>
          <w:lang w:val="pt-BR"/>
        </w:rPr>
        <w:t xml:space="preserve">Freud, Marx, </w:t>
      </w:r>
      <w:proofErr w:type="spellStart"/>
      <w:r>
        <w:rPr>
          <w:rFonts w:ascii="Arial Narrow" w:hAnsi="Arial Narrow" w:cs="Arial Narrow"/>
          <w:i/>
          <w:iCs/>
          <w:sz w:val="28"/>
          <w:szCs w:val="28"/>
          <w:lang w:val="pt-BR"/>
        </w:rPr>
        <w:t>Feurbach</w:t>
      </w:r>
      <w:proofErr w:type="spellEnd"/>
      <w:r>
        <w:rPr>
          <w:rFonts w:ascii="Arial Narrow" w:hAnsi="Arial Narrow" w:cs="Arial Narrow"/>
          <w:i/>
          <w:iCs/>
          <w:sz w:val="28"/>
          <w:szCs w:val="28"/>
          <w:lang w:val="pt-BR"/>
        </w:rPr>
        <w:t xml:space="preserve"> e Nietzsche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 - tivemos o reconhecimento de como o discurso sobre Deus na passagem da modernidade à pós-modernidade estaria sendo vulnerabilizado na cultura pós-cristã.</w:t>
      </w:r>
    </w:p>
    <w:p w14:paraId="618BF941" w14:textId="77777777" w:rsidR="001026B8" w:rsidRDefault="001026B8">
      <w:pPr>
        <w:spacing w:line="360" w:lineRule="auto"/>
        <w:ind w:firstLine="708"/>
        <w:jc w:val="both"/>
        <w:rPr>
          <w:rFonts w:ascii="Arial Narrow" w:hAnsi="Arial Narrow" w:cs="Arial Narrow"/>
          <w:sz w:val="28"/>
          <w:szCs w:val="28"/>
          <w:lang w:val="pt-BR"/>
        </w:rPr>
      </w:pPr>
    </w:p>
    <w:p w14:paraId="53F26C2A" w14:textId="77777777" w:rsidR="001026B8" w:rsidRDefault="00000000">
      <w:pPr>
        <w:spacing w:line="360" w:lineRule="auto"/>
        <w:ind w:firstLine="708"/>
        <w:jc w:val="both"/>
        <w:rPr>
          <w:rFonts w:ascii="Arial Narrow" w:hAnsi="Arial Narrow" w:cs="Arial Narrow"/>
          <w:sz w:val="28"/>
          <w:szCs w:val="28"/>
          <w:lang w:val="pt-BR"/>
        </w:rPr>
      </w:pPr>
      <w:r>
        <w:rPr>
          <w:rFonts w:ascii="Arial Narrow" w:hAnsi="Arial Narrow" w:cs="Arial Narrow"/>
          <w:sz w:val="28"/>
          <w:szCs w:val="28"/>
          <w:lang w:val="pt-BR"/>
        </w:rPr>
        <w:t xml:space="preserve">O que temos como percepção dos sinais dos novos tempos é que o fenômeno religioso ganha corpo. Está presente nos meios de comunicação, nas periferias das grandes cidades, espaços de poder, como as assembleias legislativas, com as bancadas da bíblia, e outras estruturas institucionais que não podem ser desconsideradas por nós. Contudo, parece-me que precisamos aprofundar essa diferença entre a narrativa religiosa, que permanece no âmbito da construção racional; mesmo tendo presente que para nós cristãos católicos a razão e a fé são duas vias que nos levam ao conhecimento da Verdade. O desenvolvimento teórico elaborado por aqueles “mestres da suspeita” </w:t>
      </w:r>
      <w:r>
        <w:rPr>
          <w:rFonts w:ascii="Arial Narrow" w:hAnsi="Arial Narrow" w:cs="Arial Narrow"/>
          <w:i/>
          <w:iCs/>
          <w:sz w:val="28"/>
          <w:szCs w:val="28"/>
          <w:lang w:val="pt-BR"/>
        </w:rPr>
        <w:t>(cf. Paul Ricoeur)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 encontra força num cristianismo que potencializou os elementos religiosos, que são secundários, depois do distanciamento gradual e histórico do acontecimento central e fundamental do Cristianismo das comunidades primitivas, com sua clarividente experiência do “encontro pessoal com Jesus Cristo” </w:t>
      </w:r>
      <w:r>
        <w:rPr>
          <w:rFonts w:ascii="Arial Narrow" w:hAnsi="Arial Narrow" w:cs="Arial Narrow"/>
          <w:i/>
          <w:iCs/>
          <w:sz w:val="28"/>
          <w:szCs w:val="28"/>
          <w:lang w:val="pt-BR"/>
        </w:rPr>
        <w:t>(cf. Bento XVI, Deus Caritas est, 1).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 </w:t>
      </w:r>
    </w:p>
    <w:p w14:paraId="4927B6B9" w14:textId="77777777" w:rsidR="001026B8" w:rsidRDefault="001026B8">
      <w:pPr>
        <w:spacing w:line="360" w:lineRule="auto"/>
        <w:ind w:firstLine="708"/>
        <w:jc w:val="both"/>
        <w:rPr>
          <w:rFonts w:ascii="Arial Narrow" w:hAnsi="Arial Narrow" w:cs="Arial Narrow"/>
          <w:sz w:val="28"/>
          <w:szCs w:val="28"/>
          <w:lang w:val="pt-BR"/>
        </w:rPr>
      </w:pPr>
    </w:p>
    <w:p w14:paraId="7EAB37EB" w14:textId="77777777" w:rsidR="001026B8" w:rsidRDefault="00000000">
      <w:pPr>
        <w:spacing w:line="360" w:lineRule="auto"/>
        <w:ind w:firstLine="708"/>
        <w:jc w:val="both"/>
        <w:rPr>
          <w:rFonts w:ascii="Arial Narrow" w:hAnsi="Arial Narrow" w:cs="Arial Narrow"/>
          <w:sz w:val="28"/>
          <w:szCs w:val="28"/>
          <w:lang w:val="pt-BR"/>
        </w:rPr>
      </w:pPr>
      <w:r>
        <w:rPr>
          <w:rFonts w:ascii="Arial Narrow" w:hAnsi="Arial Narrow" w:cs="Arial Narrow"/>
          <w:sz w:val="28"/>
          <w:szCs w:val="28"/>
          <w:lang w:val="pt-BR"/>
        </w:rPr>
        <w:t xml:space="preserve">Diante deste cenário, que deveria ser preocupante à nossa </w:t>
      </w:r>
      <w:proofErr w:type="spellStart"/>
      <w:r>
        <w:rPr>
          <w:rFonts w:ascii="Arial Narrow" w:hAnsi="Arial Narrow" w:cs="Arial Narrow"/>
          <w:sz w:val="28"/>
          <w:szCs w:val="28"/>
          <w:lang w:val="pt-BR"/>
        </w:rPr>
        <w:t>pastoralidade</w:t>
      </w:r>
      <w:proofErr w:type="spellEnd"/>
      <w:r>
        <w:rPr>
          <w:rFonts w:ascii="Arial Narrow" w:hAnsi="Arial Narrow" w:cs="Arial Narrow"/>
          <w:sz w:val="28"/>
          <w:szCs w:val="28"/>
          <w:lang w:val="pt-BR"/>
        </w:rPr>
        <w:t xml:space="preserve"> e à nossa ação evangelizadora, quero provocar essa reflexão como observador de um cenário, principalmente na ordem sistêmica e social do nosso Brasil, que mesmo sendo de tradição católica, tem tomado cada vez mais elementos, que são consumidos para os alívios das frustrações existenciais e sociais, com a sonegação das lideranças religiosas que lucram e são alimentados por estes métodos pervertidos do mal uso da </w:t>
      </w:r>
      <w:proofErr w:type="spellStart"/>
      <w:r>
        <w:rPr>
          <w:rFonts w:ascii="Arial Narrow" w:hAnsi="Arial Narrow" w:cs="Arial Narrow"/>
          <w:sz w:val="28"/>
          <w:szCs w:val="28"/>
          <w:lang w:val="pt-BR"/>
        </w:rPr>
        <w:t>boa fé</w:t>
      </w:r>
      <w:proofErr w:type="spellEnd"/>
      <w:r>
        <w:rPr>
          <w:rFonts w:ascii="Arial Narrow" w:hAnsi="Arial Narrow" w:cs="Arial Narrow"/>
          <w:sz w:val="28"/>
          <w:szCs w:val="28"/>
          <w:lang w:val="pt-BR"/>
        </w:rPr>
        <w:t xml:space="preserve"> das pessoas, principalmente das pobres e abatidas, do “Cristianismo Puro e Simples”, ou da “Essência do Cristianismo” </w:t>
      </w:r>
      <w:r>
        <w:rPr>
          <w:rFonts w:ascii="Arial Narrow" w:hAnsi="Arial Narrow" w:cs="Arial Narrow"/>
          <w:i/>
          <w:iCs/>
          <w:sz w:val="28"/>
          <w:szCs w:val="28"/>
          <w:lang w:val="pt-BR"/>
        </w:rPr>
        <w:t>(cf. C.S. Lewis; Bruno Forte).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 Ouso afirmar que, nalguns casos, há mais religião eivada de paganismo. A teologia precisa apresentar esse problema, como uma preocupação pastoral delicada e que poderá nos trazer confusões, tanto para a própria identidade da Igreja, como para o desenvolvimento humano e integral das pessoas e seus reflexos na salubridade do ordenamento social. Temos que aprofundar os princípios fundantes da fé cristã e que constituem a genuína vitalidade da Igreja, como sacramento universal de salvação e sinal do Reino de Deus entre nós.</w:t>
      </w:r>
    </w:p>
    <w:p w14:paraId="3CA10C26" w14:textId="77777777" w:rsidR="001026B8" w:rsidRDefault="001026B8">
      <w:pPr>
        <w:spacing w:line="360" w:lineRule="auto"/>
        <w:ind w:firstLine="708"/>
        <w:jc w:val="both"/>
        <w:rPr>
          <w:rFonts w:ascii="Arial Narrow" w:hAnsi="Arial Narrow" w:cs="Arial Narrow"/>
          <w:sz w:val="28"/>
          <w:szCs w:val="28"/>
          <w:lang w:val="pt-BR"/>
        </w:rPr>
      </w:pPr>
    </w:p>
    <w:p w14:paraId="04F46C6F" w14:textId="77777777" w:rsidR="001026B8" w:rsidRDefault="00000000">
      <w:pPr>
        <w:spacing w:line="360" w:lineRule="auto"/>
        <w:ind w:firstLine="708"/>
        <w:jc w:val="both"/>
        <w:rPr>
          <w:rFonts w:ascii="Arial Narrow" w:hAnsi="Arial Narrow" w:cs="Arial Narrow"/>
          <w:sz w:val="28"/>
          <w:szCs w:val="28"/>
          <w:lang w:val="pt-BR"/>
        </w:rPr>
      </w:pPr>
      <w:r>
        <w:rPr>
          <w:rFonts w:ascii="Arial Narrow" w:hAnsi="Arial Narrow" w:cs="Arial Narrow"/>
          <w:sz w:val="28"/>
          <w:szCs w:val="28"/>
          <w:lang w:val="pt-BR"/>
        </w:rPr>
        <w:t>Sem dúvida, o ‘estatuto epistemológico’ da teologia não pode ser mais construído a partir da lógica medieval. Com a reviravolta copernicana na filosofia da ciência, aprimorada por Immanuel Kant (cf. “A Crítica da Razão Pura), que inverteu a pirâmide dos fundamentos do saber, e o reconhecimento deste paradigma pela Igreja, já com o Concílio Vaticano II, que colocou o mistério do ser humano, que só é respondido pela Verdade sobre Jesus Cristo</w:t>
      </w:r>
      <w:r>
        <w:rPr>
          <w:rFonts w:ascii="Arial Narrow" w:hAnsi="Arial Narrow" w:cs="Arial Narrow"/>
          <w:i/>
          <w:iCs/>
          <w:sz w:val="28"/>
          <w:szCs w:val="28"/>
          <w:lang w:val="pt-BR"/>
        </w:rPr>
        <w:t xml:space="preserve"> (cf. Gaudium et Spes, 22),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 os rumos da ciência teologia também passam a considerar essa “mudança </w:t>
      </w:r>
      <w:proofErr w:type="spellStart"/>
      <w:r>
        <w:rPr>
          <w:rFonts w:ascii="Arial Narrow" w:hAnsi="Arial Narrow" w:cs="Arial Narrow"/>
          <w:sz w:val="28"/>
          <w:szCs w:val="28"/>
          <w:lang w:val="pt-BR"/>
        </w:rPr>
        <w:t>antroplógica</w:t>
      </w:r>
      <w:proofErr w:type="spellEnd"/>
      <w:r>
        <w:rPr>
          <w:rFonts w:ascii="Arial Narrow" w:hAnsi="Arial Narrow" w:cs="Arial Narrow"/>
          <w:sz w:val="28"/>
          <w:szCs w:val="28"/>
          <w:lang w:val="pt-BR"/>
        </w:rPr>
        <w:t xml:space="preserve">-teológica” no desenvolvimento do seu sistema. Sem dúvida, além de outros, merece menção o teólogo Karl </w:t>
      </w:r>
      <w:proofErr w:type="spellStart"/>
      <w:r>
        <w:rPr>
          <w:rFonts w:ascii="Arial Narrow" w:hAnsi="Arial Narrow" w:cs="Arial Narrow"/>
          <w:sz w:val="28"/>
          <w:szCs w:val="28"/>
          <w:lang w:val="pt-BR"/>
        </w:rPr>
        <w:t>Rahner</w:t>
      </w:r>
      <w:proofErr w:type="spellEnd"/>
      <w:r>
        <w:rPr>
          <w:rFonts w:ascii="Arial Narrow" w:hAnsi="Arial Narrow" w:cs="Arial Narrow"/>
          <w:sz w:val="28"/>
          <w:szCs w:val="28"/>
          <w:lang w:val="pt-BR"/>
        </w:rPr>
        <w:t xml:space="preserve">, que representa bem essa reforma dos fundamentos </w:t>
      </w:r>
      <w:r>
        <w:rPr>
          <w:rFonts w:ascii="Arial Narrow" w:hAnsi="Arial Narrow" w:cs="Arial Narrow"/>
          <w:i/>
          <w:iCs/>
          <w:sz w:val="28"/>
          <w:szCs w:val="28"/>
          <w:lang w:val="pt-BR"/>
        </w:rPr>
        <w:t>(cf. Curso Fundamental da Fé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).  Vejamos que há uma evolução, que quando chamamos em causa um outro gigante da </w:t>
      </w:r>
      <w:r>
        <w:rPr>
          <w:rFonts w:ascii="Arial Narrow" w:hAnsi="Arial Narrow" w:cs="Arial Narrow"/>
          <w:sz w:val="28"/>
          <w:szCs w:val="28"/>
          <w:lang w:val="pt-BR"/>
        </w:rPr>
        <w:lastRenderedPageBreak/>
        <w:t xml:space="preserve">teologia moderna, nos ombros do qual deveríamos subir, como o teólogo </w:t>
      </w:r>
      <w:proofErr w:type="spellStart"/>
      <w:r>
        <w:rPr>
          <w:rFonts w:ascii="Arial Narrow" w:hAnsi="Arial Narrow" w:cs="Arial Narrow"/>
          <w:sz w:val="28"/>
          <w:szCs w:val="28"/>
          <w:lang w:val="pt-BR"/>
        </w:rPr>
        <w:t>Teilhard</w:t>
      </w:r>
      <w:proofErr w:type="spellEnd"/>
      <w:r>
        <w:rPr>
          <w:rFonts w:ascii="Arial Narrow" w:hAnsi="Arial Narrow" w:cs="Arial Narrow"/>
          <w:sz w:val="28"/>
          <w:szCs w:val="28"/>
          <w:lang w:val="pt-BR"/>
        </w:rPr>
        <w:t xml:space="preserve"> de </w:t>
      </w:r>
      <w:proofErr w:type="spellStart"/>
      <w:r>
        <w:rPr>
          <w:rFonts w:ascii="Arial Narrow" w:hAnsi="Arial Narrow" w:cs="Arial Narrow"/>
          <w:sz w:val="28"/>
          <w:szCs w:val="28"/>
          <w:lang w:val="pt-BR"/>
        </w:rPr>
        <w:t>Chardin</w:t>
      </w:r>
      <w:proofErr w:type="spellEnd"/>
      <w:r>
        <w:rPr>
          <w:rFonts w:ascii="Arial Narrow" w:hAnsi="Arial Narrow" w:cs="Arial Narrow"/>
          <w:sz w:val="28"/>
          <w:szCs w:val="28"/>
          <w:lang w:val="pt-BR"/>
        </w:rPr>
        <w:t xml:space="preserve">, somos chamados a ter presente que no início e no fim, tudo nos levará ao Cristo Total-Cósmico.  </w:t>
      </w:r>
    </w:p>
    <w:p w14:paraId="75376FEA" w14:textId="77777777" w:rsidR="001026B8" w:rsidRDefault="001026B8">
      <w:pPr>
        <w:spacing w:line="360" w:lineRule="auto"/>
        <w:ind w:firstLine="708"/>
        <w:jc w:val="both"/>
        <w:rPr>
          <w:rFonts w:ascii="Arial Narrow" w:hAnsi="Arial Narrow" w:cs="Arial Narrow"/>
          <w:sz w:val="28"/>
          <w:szCs w:val="28"/>
          <w:lang w:val="pt-BR"/>
        </w:rPr>
      </w:pPr>
    </w:p>
    <w:p w14:paraId="5DA9865F" w14:textId="77777777" w:rsidR="001026B8" w:rsidRDefault="00000000">
      <w:pPr>
        <w:spacing w:line="360" w:lineRule="auto"/>
        <w:ind w:firstLine="708"/>
        <w:jc w:val="both"/>
        <w:rPr>
          <w:rFonts w:ascii="Arial Narrow" w:hAnsi="Arial Narrow" w:cs="Arial Narrow"/>
          <w:sz w:val="28"/>
          <w:szCs w:val="28"/>
          <w:lang w:val="pt-BR"/>
        </w:rPr>
      </w:pPr>
      <w:r>
        <w:rPr>
          <w:rFonts w:ascii="Arial Narrow" w:hAnsi="Arial Narrow" w:cs="Arial Narrow"/>
          <w:sz w:val="28"/>
          <w:szCs w:val="28"/>
          <w:lang w:val="pt-BR"/>
        </w:rPr>
        <w:t xml:space="preserve">Por fim, merece uma atenção especial da nossa parte a encíclica do Papa Leão XIV, a </w:t>
      </w:r>
      <w:r>
        <w:rPr>
          <w:rFonts w:ascii="Arial Narrow" w:hAnsi="Arial Narrow" w:cs="Arial Narrow"/>
          <w:i/>
          <w:iCs/>
          <w:sz w:val="28"/>
          <w:szCs w:val="28"/>
          <w:lang w:val="pt-BR"/>
        </w:rPr>
        <w:t>“Magnífica Humanitas”.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 Com ela, a Igreja reconhece que estamos vivendo amplamente - igreja, sociedade, planeta, cultura - uma nova mudança de época. Tivemos a passagem do teológico ao antropológico; e agora uma outra superação do humano com as narrativas de fundo do transumanismo e pós-humanismo </w:t>
      </w:r>
      <w:r>
        <w:rPr>
          <w:rFonts w:ascii="Arial Narrow" w:hAnsi="Arial Narrow" w:cs="Arial Narrow"/>
          <w:i/>
          <w:iCs/>
          <w:sz w:val="28"/>
          <w:szCs w:val="28"/>
          <w:lang w:val="pt-BR"/>
        </w:rPr>
        <w:t>(cf. MH, 115-117).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 O ensinamento deste formidável documento do Magistério Social tem muito a nos dizer, inclusive ao modo com o qual teremos de pensar o dinamismo da fé nesta nossa Era. A expressão transversalizada pelo filósofo francês, Edgar Morin - </w:t>
      </w:r>
      <w:r>
        <w:rPr>
          <w:rFonts w:ascii="Arial Narrow" w:hAnsi="Arial Narrow" w:cs="Arial Narrow"/>
          <w:i/>
          <w:iCs/>
          <w:sz w:val="28"/>
          <w:szCs w:val="28"/>
          <w:lang w:val="pt-BR"/>
        </w:rPr>
        <w:t>Complexidade</w:t>
      </w:r>
      <w:r>
        <w:rPr>
          <w:rFonts w:ascii="Arial Narrow" w:hAnsi="Arial Narrow" w:cs="Arial Narrow"/>
          <w:sz w:val="28"/>
          <w:szCs w:val="28"/>
          <w:lang w:val="pt-BR"/>
        </w:rPr>
        <w:t xml:space="preserve"> -, recentemente </w:t>
      </w:r>
      <w:proofErr w:type="gramStart"/>
      <w:r>
        <w:rPr>
          <w:rFonts w:ascii="Arial Narrow" w:hAnsi="Arial Narrow" w:cs="Arial Narrow"/>
          <w:sz w:val="28"/>
          <w:szCs w:val="28"/>
          <w:lang w:val="pt-BR"/>
        </w:rPr>
        <w:t>falecido,  pode</w:t>
      </w:r>
      <w:proofErr w:type="gramEnd"/>
      <w:r>
        <w:rPr>
          <w:rFonts w:ascii="Arial Narrow" w:hAnsi="Arial Narrow" w:cs="Arial Narrow"/>
          <w:sz w:val="28"/>
          <w:szCs w:val="28"/>
          <w:lang w:val="pt-BR"/>
        </w:rPr>
        <w:t xml:space="preserve"> ter um lugar interessante na nossa reflexão teológica, caso queiramos estar situados aos problemas que nos são apresentados; pois estamos em tempos complexos. Enquanto humanos abertos ao transcendente, podemos nos abrir às possibilidades da ciência teológica, a fim de que ela possa ser um farol para fazermos a hermenêutica da histórica, iluminados pelo que ela genuinamente pode nos oferecer: A abertura da nossa condição humana às possibilidades do Amor e da Verdade que só Deus pode Ser. Assim o seja!</w:t>
      </w:r>
    </w:p>
    <w:p w14:paraId="24B69B0D" w14:textId="77777777" w:rsidR="001026B8" w:rsidRDefault="001026B8">
      <w:pPr>
        <w:spacing w:line="360" w:lineRule="auto"/>
        <w:ind w:firstLine="708"/>
        <w:jc w:val="both"/>
        <w:rPr>
          <w:rFonts w:ascii="Arial Narrow" w:hAnsi="Arial Narrow" w:cs="Arial Narrow"/>
          <w:sz w:val="28"/>
          <w:szCs w:val="28"/>
          <w:lang w:val="pt-BR"/>
        </w:rPr>
      </w:pPr>
    </w:p>
    <w:p w14:paraId="1B74B989" w14:textId="77777777" w:rsidR="001026B8" w:rsidRDefault="00000000">
      <w:pPr>
        <w:spacing w:line="360" w:lineRule="auto"/>
        <w:ind w:firstLine="708"/>
        <w:jc w:val="right"/>
        <w:rPr>
          <w:rFonts w:ascii="Arial Narrow" w:hAnsi="Arial Narrow" w:cs="Arial Narrow"/>
          <w:b/>
          <w:bCs/>
          <w:sz w:val="28"/>
          <w:szCs w:val="28"/>
          <w:lang w:val="pt-BR"/>
        </w:rPr>
      </w:pPr>
      <w:r>
        <w:rPr>
          <w:rFonts w:ascii="Arial Narrow" w:hAnsi="Arial Narrow" w:cs="Arial Narrow"/>
          <w:b/>
          <w:bCs/>
          <w:sz w:val="28"/>
          <w:szCs w:val="28"/>
          <w:lang w:val="pt-BR"/>
        </w:rPr>
        <w:t>Pe. Matias Soares</w:t>
      </w:r>
    </w:p>
    <w:p w14:paraId="0F610562" w14:textId="77777777" w:rsidR="001026B8" w:rsidRDefault="00000000">
      <w:pPr>
        <w:spacing w:line="360" w:lineRule="auto"/>
        <w:ind w:firstLine="708"/>
        <w:jc w:val="right"/>
        <w:rPr>
          <w:rFonts w:ascii="Arial Narrow" w:hAnsi="Arial Narrow" w:cs="Arial Narrow"/>
          <w:b/>
          <w:bCs/>
          <w:sz w:val="28"/>
          <w:szCs w:val="28"/>
          <w:lang w:val="pt-BR"/>
        </w:rPr>
      </w:pPr>
      <w:r>
        <w:rPr>
          <w:rFonts w:ascii="Arial Narrow" w:hAnsi="Arial Narrow" w:cs="Arial Narrow"/>
          <w:b/>
          <w:bCs/>
          <w:sz w:val="28"/>
          <w:szCs w:val="28"/>
          <w:lang w:val="pt-BR"/>
        </w:rPr>
        <w:t xml:space="preserve">Pároco da Paróquia de Santo Afonso Maria de </w:t>
      </w:r>
      <w:proofErr w:type="spellStart"/>
      <w:r>
        <w:rPr>
          <w:rFonts w:ascii="Arial Narrow" w:hAnsi="Arial Narrow" w:cs="Arial Narrow"/>
          <w:b/>
          <w:bCs/>
          <w:sz w:val="28"/>
          <w:szCs w:val="28"/>
          <w:lang w:val="pt-BR"/>
        </w:rPr>
        <w:t>Ligório</w:t>
      </w:r>
      <w:proofErr w:type="spellEnd"/>
    </w:p>
    <w:p w14:paraId="5309EDB2" w14:textId="77777777" w:rsidR="001026B8" w:rsidRDefault="00000000">
      <w:pPr>
        <w:spacing w:line="360" w:lineRule="auto"/>
        <w:ind w:firstLine="708"/>
        <w:jc w:val="right"/>
        <w:rPr>
          <w:rFonts w:ascii="Arial Narrow" w:hAnsi="Arial Narrow" w:cs="Arial Narrow"/>
          <w:b/>
          <w:bCs/>
          <w:sz w:val="28"/>
          <w:szCs w:val="28"/>
          <w:lang w:val="pt-BR"/>
        </w:rPr>
      </w:pPr>
      <w:r>
        <w:rPr>
          <w:rFonts w:ascii="Arial Narrow" w:hAnsi="Arial Narrow" w:cs="Arial Narrow"/>
          <w:b/>
          <w:bCs/>
          <w:sz w:val="28"/>
          <w:szCs w:val="28"/>
          <w:lang w:val="pt-BR"/>
        </w:rPr>
        <w:t>Natal-RN</w:t>
      </w:r>
    </w:p>
    <w:p w14:paraId="0B6FED84" w14:textId="77777777" w:rsidR="001026B8" w:rsidRDefault="00000000">
      <w:pPr>
        <w:spacing w:line="360" w:lineRule="auto"/>
        <w:ind w:firstLine="708"/>
        <w:jc w:val="right"/>
        <w:rPr>
          <w:rFonts w:ascii="Arial Narrow" w:hAnsi="Arial Narrow" w:cs="Arial Narrow"/>
          <w:b/>
          <w:bCs/>
          <w:sz w:val="28"/>
          <w:szCs w:val="28"/>
          <w:lang w:val="pt-BR"/>
        </w:rPr>
      </w:pPr>
      <w:r>
        <w:rPr>
          <w:rFonts w:ascii="Arial Narrow" w:hAnsi="Arial Narrow" w:cs="Arial Narrow"/>
          <w:b/>
          <w:bCs/>
          <w:sz w:val="28"/>
          <w:szCs w:val="28"/>
          <w:lang w:val="pt-BR"/>
        </w:rPr>
        <w:t xml:space="preserve">Capelão da UFRN  </w:t>
      </w:r>
    </w:p>
    <w:sectPr w:rsidR="001026B8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708"/>
  <w:hyphenationZone w:val="425"/>
  <w:drawingGridVerticalSpacing w:val="156"/>
  <w:displayHorizontalDrawingGridEvery w:val="0"/>
  <w:displayVerticalDrawingGridEvery w:val="2"/>
  <w:characterSpacingControl w:val="doNotCompress"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7CB177E"/>
    <w:rsid w:val="001026B8"/>
    <w:rsid w:val="004271A1"/>
    <w:rsid w:val="00B90CC1"/>
    <w:rsid w:val="02DE2926"/>
    <w:rsid w:val="06C81DF7"/>
    <w:rsid w:val="07CB177E"/>
    <w:rsid w:val="09EB70D2"/>
    <w:rsid w:val="10026DF8"/>
    <w:rsid w:val="19383B1D"/>
    <w:rsid w:val="27DA7F24"/>
    <w:rsid w:val="3B8B5573"/>
    <w:rsid w:val="427E621F"/>
    <w:rsid w:val="502C5217"/>
    <w:rsid w:val="510E4CB1"/>
    <w:rsid w:val="54967355"/>
    <w:rsid w:val="5A3A5DE0"/>
    <w:rsid w:val="5D6C2514"/>
    <w:rsid w:val="5F0B7A2D"/>
    <w:rsid w:val="60056373"/>
    <w:rsid w:val="601C5616"/>
    <w:rsid w:val="634E1806"/>
    <w:rsid w:val="68E17862"/>
    <w:rsid w:val="69002CFD"/>
    <w:rsid w:val="7D4D47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BE2C8E6-4BA3-4795-85C6-BAB83D9D9F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s-UY" w:eastAsia="es-UY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zh-C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829</Words>
  <Characters>4561</Characters>
  <Application>Microsoft Office Word</Application>
  <DocSecurity>0</DocSecurity>
  <Lines>38</Lines>
  <Paragraphs>10</Paragraphs>
  <ScaleCrop>false</ScaleCrop>
  <Company/>
  <LinksUpToDate>false</LinksUpToDate>
  <CharactersWithSpaces>5380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mspes</dc:creator>
  <cp:lastModifiedBy>Rosario Hermano</cp:lastModifiedBy>
  <cp:revision>2</cp:revision>
  <dcterms:created xsi:type="dcterms:W3CDTF">2026-07-01T10:21:00Z</dcterms:created>
  <dcterms:modified xsi:type="dcterms:W3CDTF">2026-07-01T10:21:00Z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1046-12.2.0.21179</vt:lpwstr>
  </property>
  <property fmtid="{D5CDD505-2E9C-101B-9397-08002B2CF9AE}" pid="3" name="ICV">
    <vt:lpwstr>1EC14DE8BD784F10AF2A2B2A284F7888_11</vt:lpwstr>
  </property>
</Properties>
</file>