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8266E" w14:textId="1F26CA3D"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drawing>
          <wp:inline distT="0" distB="0" distL="0" distR="0" wp14:anchorId="2E295B5B" wp14:editId="72373D63">
            <wp:extent cx="5400040" cy="1828800"/>
            <wp:effectExtent l="0" t="0" r="0" b="0"/>
            <wp:docPr id="14948793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79307" name=""/>
                    <pic:cNvPicPr/>
                  </pic:nvPicPr>
                  <pic:blipFill>
                    <a:blip r:embed="rId4"/>
                    <a:stretch>
                      <a:fillRect/>
                    </a:stretch>
                  </pic:blipFill>
                  <pic:spPr>
                    <a:xfrm>
                      <a:off x="0" y="0"/>
                      <a:ext cx="5400040" cy="1828800"/>
                    </a:xfrm>
                    <a:prstGeom prst="rect">
                      <a:avLst/>
                    </a:prstGeom>
                  </pic:spPr>
                </pic:pic>
              </a:graphicData>
            </a:graphic>
          </wp:inline>
        </w:drawing>
      </w:r>
    </w:p>
    <w:p w14:paraId="6DC4BA5C"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p>
    <w:p w14:paraId="45217ABF" w14:textId="1F071531"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No es casualidad que, como observé inicialmente, todo el razonamiento de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w:t>
      </w:r>
      <w:proofErr w:type="gramStart"/>
      <w:r w:rsidRPr="00521D8F">
        <w:rPr>
          <w:rFonts w:ascii="Arial" w:eastAsia="Times New Roman" w:hAnsi="Arial" w:cs="Arial"/>
          <w:color w:val="333333"/>
          <w:kern w:val="0"/>
          <w:lang w:eastAsia="es-UY"/>
          <w14:ligatures w14:val="none"/>
        </w:rPr>
        <w:t>derive</w:t>
      </w:r>
      <w:proofErr w:type="gramEnd"/>
      <w:r w:rsidRPr="00521D8F">
        <w:rPr>
          <w:rFonts w:ascii="Arial" w:eastAsia="Times New Roman" w:hAnsi="Arial" w:cs="Arial"/>
          <w:color w:val="333333"/>
          <w:kern w:val="0"/>
          <w:lang w:eastAsia="es-UY"/>
          <w14:ligatures w14:val="none"/>
        </w:rPr>
        <w:t xml:space="preserve"> de una «asimilación» entre la postura oficial de la doctrina católica y las «contradicciones internas de la teología litúrgica contemporánea». Precisamente en este punto, en mi opinión, el texto de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parece estar viciado por un sesgo que intentaré aclarar aquí.</w:t>
      </w:r>
    </w:p>
    <w:p w14:paraId="201EFF37"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306ED2A5"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El artículo es de </w:t>
      </w:r>
      <w:hyperlink r:id="rId5" w:tgtFrame="_blank" w:history="1">
        <w:r w:rsidRPr="00521D8F">
          <w:rPr>
            <w:rFonts w:ascii="Arial" w:eastAsia="Times New Roman" w:hAnsi="Arial" w:cs="Arial"/>
            <w:color w:val="FC6B01"/>
            <w:kern w:val="0"/>
            <w:u w:val="single"/>
            <w:lang w:eastAsia="es-UY"/>
            <w14:ligatures w14:val="none"/>
          </w:rPr>
          <w:t> Andrea Grillo</w:t>
        </w:r>
      </w:hyperlink>
      <w:r w:rsidRPr="00521D8F">
        <w:rPr>
          <w:rFonts w:ascii="Arial" w:eastAsia="Times New Roman" w:hAnsi="Arial" w:cs="Arial"/>
          <w:color w:val="333333"/>
          <w:kern w:val="0"/>
          <w:lang w:eastAsia="es-UY"/>
          <w14:ligatures w14:val="none"/>
        </w:rPr>
        <w:t> , teólogo italiano, y fue publicado por  </w:t>
      </w:r>
      <w:hyperlink r:id="rId6" w:tgtFrame="_blank" w:history="1">
        <w:proofErr w:type="spellStart"/>
        <w:r w:rsidRPr="00521D8F">
          <w:rPr>
            <w:rFonts w:ascii="Arial" w:eastAsia="Times New Roman" w:hAnsi="Arial" w:cs="Arial"/>
            <w:color w:val="FC6B01"/>
            <w:kern w:val="0"/>
            <w:u w:val="single"/>
            <w:lang w:eastAsia="es-UY"/>
            <w14:ligatures w14:val="none"/>
          </w:rPr>
          <w:t>Come</w:t>
        </w:r>
        <w:proofErr w:type="spellEnd"/>
        <w:r w:rsidRPr="00521D8F">
          <w:rPr>
            <w:rFonts w:ascii="Arial" w:eastAsia="Times New Roman" w:hAnsi="Arial" w:cs="Arial"/>
            <w:color w:val="FC6B01"/>
            <w:kern w:val="0"/>
            <w:u w:val="single"/>
            <w:lang w:eastAsia="es-UY"/>
            <w14:ligatures w14:val="none"/>
          </w:rPr>
          <w:t xml:space="preserve"> se non</w:t>
        </w:r>
      </w:hyperlink>
      <w:r w:rsidRPr="00521D8F">
        <w:rPr>
          <w:rFonts w:ascii="Arial" w:eastAsia="Times New Roman" w:hAnsi="Arial" w:cs="Arial"/>
          <w:color w:val="333333"/>
          <w:kern w:val="0"/>
          <w:lang w:eastAsia="es-UY"/>
          <w14:ligatures w14:val="none"/>
        </w:rPr>
        <w:t> el 25 de junio de 2026.</w:t>
      </w:r>
    </w:p>
    <w:p w14:paraId="6E4082D0"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2693D4F1" w14:textId="77777777" w:rsidR="00521D8F" w:rsidRP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r w:rsidRPr="00521D8F">
        <w:rPr>
          <w:rFonts w:ascii="Arial" w:eastAsia="Times New Roman" w:hAnsi="Arial" w:cs="Arial"/>
          <w:b/>
          <w:bCs/>
          <w:color w:val="333333"/>
          <w:kern w:val="0"/>
          <w:lang w:eastAsia="es-UY"/>
          <w14:ligatures w14:val="none"/>
        </w:rPr>
        <w:t>Aquí está el artículo.</w:t>
      </w:r>
    </w:p>
    <w:p w14:paraId="105CE297"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El extenso texto, en el que </w:t>
      </w:r>
      <w:hyperlink r:id="rId7" w:tgtFrame="_blank" w:history="1">
        <w:r w:rsidRPr="00521D8F">
          <w:rPr>
            <w:rFonts w:ascii="Arial" w:eastAsia="Times New Roman" w:hAnsi="Arial" w:cs="Arial"/>
            <w:color w:val="FC6B01"/>
            <w:kern w:val="0"/>
            <w:u w:val="single"/>
            <w:lang w:eastAsia="es-UY"/>
            <w14:ligatures w14:val="none"/>
          </w:rPr>
          <w:t>el padre Gamberini</w:t>
        </w:r>
      </w:hyperlink>
      <w:r w:rsidRPr="00521D8F">
        <w:rPr>
          <w:rFonts w:ascii="Arial" w:eastAsia="Times New Roman" w:hAnsi="Arial" w:cs="Arial"/>
          <w:color w:val="333333"/>
          <w:kern w:val="0"/>
          <w:lang w:eastAsia="es-UY"/>
          <w14:ligatures w14:val="none"/>
        </w:rPr>
        <w:t> reflexiona sobre los recientes debates en el ámbito litúrgico-eclesiológico, </w:t>
      </w:r>
      <w:hyperlink r:id="rId8" w:tgtFrame="_blank" w:history="1">
        <w:r w:rsidRPr="00521D8F">
          <w:rPr>
            <w:rFonts w:ascii="Arial" w:eastAsia="Times New Roman" w:hAnsi="Arial" w:cs="Arial"/>
            <w:color w:val="FC6B01"/>
            <w:kern w:val="0"/>
            <w:u w:val="single"/>
            <w:lang w:eastAsia="es-UY"/>
            <w14:ligatures w14:val="none"/>
          </w:rPr>
          <w:t xml:space="preserve">publicado ayer en </w:t>
        </w:r>
        <w:proofErr w:type="spellStart"/>
        <w:r w:rsidRPr="00521D8F">
          <w:rPr>
            <w:rFonts w:ascii="Arial" w:eastAsia="Times New Roman" w:hAnsi="Arial" w:cs="Arial"/>
            <w:color w:val="FC6B01"/>
            <w:kern w:val="0"/>
            <w:u w:val="single"/>
            <w:lang w:eastAsia="es-UY"/>
            <w14:ligatures w14:val="none"/>
          </w:rPr>
          <w:t>SettimanaNews</w:t>
        </w:r>
        <w:proofErr w:type="spellEnd"/>
      </w:hyperlink>
      <w:r w:rsidRPr="00521D8F">
        <w:rPr>
          <w:rFonts w:ascii="Arial" w:eastAsia="Times New Roman" w:hAnsi="Arial" w:cs="Arial"/>
          <w:color w:val="333333"/>
          <w:kern w:val="0"/>
          <w:lang w:eastAsia="es-UY"/>
          <w14:ligatures w14:val="none"/>
        </w:rPr>
        <w:t> , ofrece una reconstrucción del debate, presentando diversas perspectivas para la reflexión. Como ha ocurrido en los últimos meses, resulta notable que se estén abriendo debates sobre diversos temas ( </w:t>
      </w:r>
      <w:hyperlink r:id="rId9" w:tgtFrame="_blank" w:history="1">
        <w:r w:rsidRPr="00521D8F">
          <w:rPr>
            <w:rFonts w:ascii="Arial" w:eastAsia="Times New Roman" w:hAnsi="Arial" w:cs="Arial"/>
            <w:color w:val="FC6B01"/>
            <w:kern w:val="0"/>
            <w:u w:val="single"/>
            <w:lang w:eastAsia="es-UY"/>
            <w14:ligatures w14:val="none"/>
          </w:rPr>
          <w:t>homilías y laicos</w:t>
        </w:r>
      </w:hyperlink>
      <w:r w:rsidRPr="00521D8F">
        <w:rPr>
          <w:rFonts w:ascii="Arial" w:eastAsia="Times New Roman" w:hAnsi="Arial" w:cs="Arial"/>
          <w:color w:val="333333"/>
          <w:kern w:val="0"/>
          <w:lang w:eastAsia="es-UY"/>
          <w14:ligatures w14:val="none"/>
        </w:rPr>
        <w:t> , </w:t>
      </w:r>
      <w:hyperlink r:id="rId10" w:tgtFrame="_blank" w:history="1">
        <w:r w:rsidRPr="00521D8F">
          <w:rPr>
            <w:rFonts w:ascii="Arial" w:eastAsia="Times New Roman" w:hAnsi="Arial" w:cs="Arial"/>
            <w:color w:val="FC6B01"/>
            <w:kern w:val="0"/>
            <w:u w:val="single"/>
            <w:lang w:eastAsia="es-UY"/>
            <w14:ligatures w14:val="none"/>
          </w:rPr>
          <w:t>bendiciones y matrimonios irregulares</w:t>
        </w:r>
      </w:hyperlink>
      <w:r w:rsidRPr="00521D8F">
        <w:rPr>
          <w:rFonts w:ascii="Arial" w:eastAsia="Times New Roman" w:hAnsi="Arial" w:cs="Arial"/>
          <w:color w:val="333333"/>
          <w:kern w:val="0"/>
          <w:lang w:eastAsia="es-UY"/>
          <w14:ligatures w14:val="none"/>
        </w:rPr>
        <w:t> , la disputa entre </w:t>
      </w:r>
      <w:r w:rsidRPr="00521D8F">
        <w:rPr>
          <w:rFonts w:ascii="Arial" w:eastAsia="Times New Roman" w:hAnsi="Arial" w:cs="Arial"/>
          <w:b/>
          <w:bCs/>
          <w:color w:val="333333"/>
          <w:kern w:val="0"/>
          <w:lang w:eastAsia="es-UY"/>
          <w14:ligatures w14:val="none"/>
        </w:rPr>
        <w:t>NO</w:t>
      </w:r>
      <w:r w:rsidRPr="00521D8F">
        <w:rPr>
          <w:rFonts w:ascii="Arial" w:eastAsia="Times New Roman" w:hAnsi="Arial" w:cs="Arial"/>
          <w:color w:val="333333"/>
          <w:kern w:val="0"/>
          <w:lang w:eastAsia="es-UY"/>
          <w14:ligatures w14:val="none"/>
        </w:rPr>
        <w:t> y </w:t>
      </w:r>
      <w:r w:rsidRPr="00521D8F">
        <w:rPr>
          <w:rFonts w:ascii="Arial" w:eastAsia="Times New Roman" w:hAnsi="Arial" w:cs="Arial"/>
          <w:b/>
          <w:bCs/>
          <w:color w:val="333333"/>
          <w:kern w:val="0"/>
          <w:lang w:eastAsia="es-UY"/>
          <w14:ligatures w14:val="none"/>
        </w:rPr>
        <w:t>VO</w:t>
      </w:r>
      <w:r w:rsidRPr="00521D8F">
        <w:rPr>
          <w:rFonts w:ascii="Arial" w:eastAsia="Times New Roman" w:hAnsi="Arial" w:cs="Arial"/>
          <w:color w:val="333333"/>
          <w:kern w:val="0"/>
          <w:lang w:eastAsia="es-UY"/>
          <w14:ligatures w14:val="none"/>
        </w:rPr>
        <w:t> ), lo que permite una exploración más profunda, una mejor comprensión y un proceso positivo de clarificación. Cuando dialogamos, siempre aprendemos algo unos de otros. Por lo tanto, es bueno hacerlo, con toda la </w:t>
      </w:r>
      <w:proofErr w:type="spellStart"/>
      <w:r w:rsidRPr="00521D8F">
        <w:rPr>
          <w:rFonts w:ascii="Arial" w:eastAsia="Times New Roman" w:hAnsi="Arial" w:cs="Arial"/>
          <w:i/>
          <w:iCs/>
          <w:color w:val="333333"/>
          <w:kern w:val="0"/>
          <w:lang w:eastAsia="es-UY"/>
          <w14:ligatures w14:val="none"/>
        </w:rPr>
        <w:t>parrhesia</w:t>
      </w:r>
      <w:proofErr w:type="spellEnd"/>
      <w:r w:rsidRPr="00521D8F">
        <w:rPr>
          <w:rFonts w:ascii="Arial" w:eastAsia="Times New Roman" w:hAnsi="Arial" w:cs="Arial"/>
          <w:color w:val="333333"/>
          <w:kern w:val="0"/>
          <w:lang w:eastAsia="es-UY"/>
          <w14:ligatures w14:val="none"/>
        </w:rPr>
        <w:t> y apertura que podamos reunir.</w:t>
      </w:r>
    </w:p>
    <w:p w14:paraId="566D87CE"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En este caso,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ofrece un razonamiento de "tres niveles" que considero valioso, aunque comienza con una afirmación que me parece muy cuestionable, y que menciono al principio, al igual que él: "La cuestión del </w:t>
      </w:r>
      <w:hyperlink r:id="rId11" w:tgtFrame="_blank" w:history="1">
        <w:r w:rsidRPr="00521D8F">
          <w:rPr>
            <w:rFonts w:ascii="Arial" w:eastAsia="Times New Roman" w:hAnsi="Arial" w:cs="Arial"/>
            <w:color w:val="FC6B01"/>
            <w:kern w:val="0"/>
            <w:u w:val="single"/>
            <w:lang w:eastAsia="es-UY"/>
            <w14:ligatures w14:val="none"/>
          </w:rPr>
          <w:t>papel de los laicos en la Liturgia de la Palabra</w:t>
        </w:r>
      </w:hyperlink>
      <w:r w:rsidRPr="00521D8F">
        <w:rPr>
          <w:rFonts w:ascii="Arial" w:eastAsia="Times New Roman" w:hAnsi="Arial" w:cs="Arial"/>
          <w:color w:val="333333"/>
          <w:kern w:val="0"/>
          <w:lang w:eastAsia="es-UY"/>
          <w14:ligatures w14:val="none"/>
        </w:rPr>
        <w:t> está revelando ahora las contradicciones internas de la teología litúrgica contemporánea".</w:t>
      </w:r>
    </w:p>
    <w:p w14:paraId="356356F5"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42FFD895"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En realidad, como intentaré demostrar, el problema no radica en lo que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denomina « </w:t>
      </w:r>
      <w:r w:rsidRPr="00521D8F">
        <w:rPr>
          <w:rFonts w:ascii="Arial" w:eastAsia="Times New Roman" w:hAnsi="Arial" w:cs="Arial"/>
          <w:b/>
          <w:bCs/>
          <w:color w:val="333333"/>
          <w:kern w:val="0"/>
          <w:lang w:eastAsia="es-UY"/>
          <w14:ligatures w14:val="none"/>
        </w:rPr>
        <w:t>teología litúrgica contemporánea</w:t>
      </w:r>
      <w:r w:rsidRPr="00521D8F">
        <w:rPr>
          <w:rFonts w:ascii="Arial" w:eastAsia="Times New Roman" w:hAnsi="Arial" w:cs="Arial"/>
          <w:color w:val="333333"/>
          <w:kern w:val="0"/>
          <w:lang w:eastAsia="es-UY"/>
          <w14:ligatures w14:val="none"/>
        </w:rPr>
        <w:t> », sino en la caricatura distorsionada que representa, tal como la propone el magisterio. Creo que esta distinción es fundamental para comprender la contribución y las limitaciones del análisis de Gamberini. Pero procedamos en orden, respetando el triple enfoque que propone.</w:t>
      </w:r>
    </w:p>
    <w:p w14:paraId="40284761"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6C24916F" w14:textId="77777777" w:rsid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r w:rsidRPr="00521D8F">
        <w:rPr>
          <w:rFonts w:ascii="Arial" w:eastAsia="Times New Roman" w:hAnsi="Arial" w:cs="Arial"/>
          <w:b/>
          <w:bCs/>
          <w:color w:val="333333"/>
          <w:kern w:val="0"/>
          <w:lang w:eastAsia="es-UY"/>
          <w14:ligatures w14:val="none"/>
        </w:rPr>
        <w:t>La triple elaboración de la pregunta</w:t>
      </w:r>
    </w:p>
    <w:p w14:paraId="176C81B6" w14:textId="77777777" w:rsidR="00521D8F" w:rsidRP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p>
    <w:p w14:paraId="51EC5033"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Las tres etapas del análisis de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se desarrollan de la siguiente manera:</w:t>
      </w:r>
    </w:p>
    <w:p w14:paraId="71CD9E8C"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a) A primera vista, resulta evidente que, tanto en lo que respecta a la homilía como a la bendición, surge una contradicción entre discursos que no pueden ser «homilías» y discursos que sí pueden definirse como tales, entre palabras de bendición que no son « </w:t>
      </w:r>
      <w:hyperlink r:id="rId12" w:tgtFrame="_blank" w:history="1">
        <w:r w:rsidRPr="00521D8F">
          <w:rPr>
            <w:rFonts w:ascii="Arial" w:eastAsia="Times New Roman" w:hAnsi="Arial" w:cs="Arial"/>
            <w:color w:val="FC6B01"/>
            <w:kern w:val="0"/>
            <w:u w:val="single"/>
            <w:lang w:eastAsia="es-UY"/>
            <w14:ligatures w14:val="none"/>
          </w:rPr>
          <w:t>bendiciones litúrgicas</w:t>
        </w:r>
      </w:hyperlink>
      <w:r w:rsidRPr="00521D8F">
        <w:rPr>
          <w:rFonts w:ascii="Arial" w:eastAsia="Times New Roman" w:hAnsi="Arial" w:cs="Arial"/>
          <w:color w:val="333333"/>
          <w:kern w:val="0"/>
          <w:lang w:eastAsia="es-UY"/>
          <w14:ligatures w14:val="none"/>
        </w:rPr>
        <w:t xml:space="preserve"> » y otras que sí pueden </w:t>
      </w:r>
      <w:r w:rsidRPr="00521D8F">
        <w:rPr>
          <w:rFonts w:ascii="Arial" w:eastAsia="Times New Roman" w:hAnsi="Arial" w:cs="Arial"/>
          <w:color w:val="333333"/>
          <w:kern w:val="0"/>
          <w:lang w:eastAsia="es-UY"/>
          <w14:ligatures w14:val="none"/>
        </w:rPr>
        <w:lastRenderedPageBreak/>
        <w:t>considerarse «litúrgicas».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se pregunta cómo resolver esta contradicción.</w:t>
      </w:r>
    </w:p>
    <w:p w14:paraId="2757E805"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784861E2"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b) La segunda etapa es la clásica transición sistemática, que nos permite restablecer cierta unidad en la experiencia, distinguiendo entre la plena subsistencia ontológica y la participación parcial. Esta estructura, que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toma prestada de la cristología y la eclesiología, también puede explicar y unificar la realidad de la homilía y la bendición. Se trata de una hermenéutica ontológica que Gamberini atribuye a la « </w:t>
      </w:r>
      <w:r w:rsidRPr="00521D8F">
        <w:rPr>
          <w:rFonts w:ascii="Arial" w:eastAsia="Times New Roman" w:hAnsi="Arial" w:cs="Arial"/>
          <w:b/>
          <w:bCs/>
          <w:color w:val="333333"/>
          <w:kern w:val="0"/>
          <w:lang w:eastAsia="es-UY"/>
          <w14:ligatures w14:val="none"/>
        </w:rPr>
        <w:t>doctrina católica</w:t>
      </w:r>
      <w:r w:rsidRPr="00521D8F">
        <w:rPr>
          <w:rFonts w:ascii="Arial" w:eastAsia="Times New Roman" w:hAnsi="Arial" w:cs="Arial"/>
          <w:color w:val="333333"/>
          <w:kern w:val="0"/>
          <w:lang w:eastAsia="es-UY"/>
          <w14:ligatures w14:val="none"/>
        </w:rPr>
        <w:t> » y que, en su opinión, debe cambiar su paradigma explicativo.</w:t>
      </w:r>
    </w:p>
    <w:p w14:paraId="7F96FA1E"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0BE01337"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c) El tercer momento reinterpreta esta solución, que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considera vigente hoy en día, desde la perspectiva del principio afirmado por </w:t>
      </w:r>
      <w:hyperlink r:id="rId13" w:tgtFrame="_blank" w:history="1">
        <w:r w:rsidRPr="00521D8F">
          <w:rPr>
            <w:rFonts w:ascii="Arial" w:eastAsia="Times New Roman" w:hAnsi="Arial" w:cs="Arial"/>
            <w:color w:val="FC6B01"/>
            <w:kern w:val="0"/>
            <w:u w:val="single"/>
            <w:lang w:eastAsia="es-UY"/>
            <w14:ligatures w14:val="none"/>
          </w:rPr>
          <w:t>el Papa Francisco</w:t>
        </w:r>
      </w:hyperlink>
      <w:r w:rsidRPr="00521D8F">
        <w:rPr>
          <w:rFonts w:ascii="Arial" w:eastAsia="Times New Roman" w:hAnsi="Arial" w:cs="Arial"/>
          <w:color w:val="333333"/>
          <w:kern w:val="0"/>
          <w:lang w:eastAsia="es-UY"/>
          <w14:ligatures w14:val="none"/>
        </w:rPr>
        <w:t> : «La realidad es superior a la idea». No se trata de catalogar primero la realidad ontológicamente para luego admitir realizaciones parciales de la idea, sino de reconocer el «fenómeno» según una inversión que no anula la estructura ontológica de la realidad y de la Iglesia, sino que la media a través de los fenómenos.</w:t>
      </w:r>
    </w:p>
    <w:p w14:paraId="3284CE3A"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2E4DDF0D" w14:textId="77777777" w:rsid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r w:rsidRPr="00521D8F">
        <w:rPr>
          <w:rFonts w:ascii="Arial" w:eastAsia="Times New Roman" w:hAnsi="Arial" w:cs="Arial"/>
          <w:b/>
          <w:bCs/>
          <w:color w:val="333333"/>
          <w:kern w:val="0"/>
          <w:lang w:eastAsia="es-UY"/>
          <w14:ligatures w14:val="none"/>
        </w:rPr>
        <w:t>Un resultado incierto</w:t>
      </w:r>
    </w:p>
    <w:p w14:paraId="0AAFD548" w14:textId="77777777" w:rsidR="00521D8F" w:rsidRP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p>
    <w:p w14:paraId="7C72C6CB"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En el breve resumen que presenté,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plantea tres puntos muy significativos que nos ayudan considerablemente a comprender mejor la realidad eclesial en la que vivimos. Sin embargo, me parece que la solución, tanto en su versión clásica como en la versión invertida propuesta por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 tiene dificultades para producir resultados verdaderamente convincentes. Si la « </w:t>
      </w:r>
      <w:r w:rsidRPr="00521D8F">
        <w:rPr>
          <w:rFonts w:ascii="Arial" w:eastAsia="Times New Roman" w:hAnsi="Arial" w:cs="Arial"/>
          <w:b/>
          <w:bCs/>
          <w:color w:val="333333"/>
          <w:kern w:val="0"/>
          <w:lang w:eastAsia="es-UY"/>
          <w14:ligatures w14:val="none"/>
        </w:rPr>
        <w:t>bendición</w:t>
      </w:r>
      <w:r w:rsidRPr="00521D8F">
        <w:rPr>
          <w:rFonts w:ascii="Arial" w:eastAsia="Times New Roman" w:hAnsi="Arial" w:cs="Arial"/>
          <w:color w:val="333333"/>
          <w:kern w:val="0"/>
          <w:lang w:eastAsia="es-UY"/>
          <w14:ligatures w14:val="none"/>
        </w:rPr>
        <w:t> » y la « </w:t>
      </w:r>
      <w:r w:rsidRPr="00521D8F">
        <w:rPr>
          <w:rFonts w:ascii="Arial" w:eastAsia="Times New Roman" w:hAnsi="Arial" w:cs="Arial"/>
          <w:b/>
          <w:bCs/>
          <w:color w:val="333333"/>
          <w:kern w:val="0"/>
          <w:lang w:eastAsia="es-UY"/>
          <w14:ligatures w14:val="none"/>
        </w:rPr>
        <w:t>homilía</w:t>
      </w:r>
      <w:r w:rsidRPr="00521D8F">
        <w:rPr>
          <w:rFonts w:ascii="Arial" w:eastAsia="Times New Roman" w:hAnsi="Arial" w:cs="Arial"/>
          <w:color w:val="333333"/>
          <w:kern w:val="0"/>
          <w:lang w:eastAsia="es-UY"/>
          <w14:ligatures w14:val="none"/>
        </w:rPr>
        <w:t> » se conciben no como «fenómenos rituales», sino como « </w:t>
      </w:r>
      <w:r w:rsidRPr="00521D8F">
        <w:rPr>
          <w:rFonts w:ascii="Arial" w:eastAsia="Times New Roman" w:hAnsi="Arial" w:cs="Arial"/>
          <w:i/>
          <w:iCs/>
          <w:color w:val="333333"/>
          <w:kern w:val="0"/>
          <w:lang w:eastAsia="es-UY"/>
          <w14:ligatures w14:val="none"/>
        </w:rPr>
        <w:t>actuaciones</w:t>
      </w:r>
      <w:r w:rsidRPr="00521D8F">
        <w:rPr>
          <w:rFonts w:ascii="Arial" w:eastAsia="Times New Roman" w:hAnsi="Arial" w:cs="Arial"/>
          <w:color w:val="333333"/>
          <w:kern w:val="0"/>
          <w:lang w:eastAsia="es-UY"/>
          <w14:ligatures w14:val="none"/>
        </w:rPr>
        <w:t xml:space="preserve"> de sujetos», no hay otra salida. Por esta razón, la solución propuesta, aunque sigue siendo «ontológica», incluso si se ve positivamente marcada por un nuevo rol para los fenómenos y la experiencia, no aborda la tarea específica de las acciones rituales, que no pueden comprenderse mediante este método. No es casualidad que, como observé inicialmente, todo el razonamiento de Gamberini </w:t>
      </w:r>
      <w:proofErr w:type="gramStart"/>
      <w:r w:rsidRPr="00521D8F">
        <w:rPr>
          <w:rFonts w:ascii="Arial" w:eastAsia="Times New Roman" w:hAnsi="Arial" w:cs="Arial"/>
          <w:color w:val="333333"/>
          <w:kern w:val="0"/>
          <w:lang w:eastAsia="es-UY"/>
          <w14:ligatures w14:val="none"/>
        </w:rPr>
        <w:t>derive</w:t>
      </w:r>
      <w:proofErr w:type="gramEnd"/>
      <w:r w:rsidRPr="00521D8F">
        <w:rPr>
          <w:rFonts w:ascii="Arial" w:eastAsia="Times New Roman" w:hAnsi="Arial" w:cs="Arial"/>
          <w:color w:val="333333"/>
          <w:kern w:val="0"/>
          <w:lang w:eastAsia="es-UY"/>
          <w14:ligatures w14:val="none"/>
        </w:rPr>
        <w:t xml:space="preserve"> de una «asimilación» entre la posición oficial de la doctrina católica y las «contradicciones internas de la teología litúrgica contemporánea». Precisamente en este punto, en mi opinión, el texto de Gamberini parece estar contaminado por un prejuicio que intentaré aclarar aquí.</w:t>
      </w:r>
    </w:p>
    <w:p w14:paraId="0CEFB105"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5A41481D" w14:textId="77777777" w:rsidR="00521D8F" w:rsidRP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r w:rsidRPr="00521D8F">
        <w:rPr>
          <w:rFonts w:ascii="Arial" w:eastAsia="Times New Roman" w:hAnsi="Arial" w:cs="Arial"/>
          <w:b/>
          <w:bCs/>
          <w:color w:val="333333"/>
          <w:kern w:val="0"/>
          <w:lang w:eastAsia="es-UY"/>
          <w14:ligatures w14:val="none"/>
        </w:rPr>
        <w:t>La ausencia de teología litúrgica</w:t>
      </w:r>
    </w:p>
    <w:p w14:paraId="15786FCE"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Los dos temas mencionados por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(las bendiciones y la homilía), a los que yo añadiría un tercero (la relación entre la reforma litúrgica y el </w:t>
      </w:r>
      <w:hyperlink r:id="rId14" w:tgtFrame="_blank" w:history="1">
        <w:r w:rsidRPr="00521D8F">
          <w:rPr>
            <w:rFonts w:ascii="Arial" w:eastAsia="Times New Roman" w:hAnsi="Arial" w:cs="Arial"/>
            <w:color w:val="FC6B01"/>
            <w:kern w:val="0"/>
            <w:u w:val="single"/>
            <w:lang w:eastAsia="es-UY"/>
            <w14:ligatures w14:val="none"/>
          </w:rPr>
          <w:t>rito tridentino</w:t>
        </w:r>
      </w:hyperlink>
      <w:r w:rsidRPr="00521D8F">
        <w:rPr>
          <w:rFonts w:ascii="Arial" w:eastAsia="Times New Roman" w:hAnsi="Arial" w:cs="Arial"/>
          <w:color w:val="333333"/>
          <w:kern w:val="0"/>
          <w:lang w:eastAsia="es-UY"/>
          <w14:ligatures w14:val="none"/>
        </w:rPr>
        <w:t> ), se han abordado en las últimas dos décadas con una lógica dogmática y canónica que ignora todos los avances en </w:t>
      </w:r>
      <w:r w:rsidRPr="00521D8F">
        <w:rPr>
          <w:rFonts w:ascii="Arial" w:eastAsia="Times New Roman" w:hAnsi="Arial" w:cs="Arial"/>
          <w:b/>
          <w:bCs/>
          <w:color w:val="333333"/>
          <w:kern w:val="0"/>
          <w:lang w:eastAsia="es-UY"/>
          <w14:ligatures w14:val="none"/>
        </w:rPr>
        <w:t>teología litúrgica</w:t>
      </w:r>
      <w:r w:rsidRPr="00521D8F">
        <w:rPr>
          <w:rFonts w:ascii="Arial" w:eastAsia="Times New Roman" w:hAnsi="Arial" w:cs="Arial"/>
          <w:color w:val="333333"/>
          <w:kern w:val="0"/>
          <w:lang w:eastAsia="es-UY"/>
          <w14:ligatures w14:val="none"/>
        </w:rPr>
        <w:t> . Los puntos de referencia aplicados, tanto para negar como para afirmar, siguen siendo los mismos: es decir, antiguos puntos de referencia sistemáticos desarrollados por la dogmática de principios del siglo XX o por el derecho canónico posterior al </w:t>
      </w:r>
      <w:r w:rsidRPr="00521D8F">
        <w:rPr>
          <w:rFonts w:ascii="Arial" w:eastAsia="Times New Roman" w:hAnsi="Arial" w:cs="Arial"/>
          <w:b/>
          <w:bCs/>
          <w:color w:val="333333"/>
          <w:kern w:val="0"/>
          <w:lang w:eastAsia="es-UY"/>
          <w14:ligatures w14:val="none"/>
        </w:rPr>
        <w:t>Código de 1917.</w:t>
      </w:r>
      <w:r w:rsidRPr="00521D8F">
        <w:rPr>
          <w:rFonts w:ascii="Arial" w:eastAsia="Times New Roman" w:hAnsi="Arial" w:cs="Arial"/>
          <w:color w:val="333333"/>
          <w:kern w:val="0"/>
          <w:lang w:eastAsia="es-UY"/>
          <w14:ligatures w14:val="none"/>
        </w:rPr>
        <w:t> Estamos estancados en esto. Y no nos damos cuenta de que, para comprender todos estos fenómenos, precisamente en la dirección que Gamberini señala correctamente, debemos interpretarlos a través de otras categorías. Presentaré solo tres breves observaciones para cada una de las áreas que he mencionado.</w:t>
      </w:r>
    </w:p>
    <w:p w14:paraId="1CEE57C5"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4866018F"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a) Una « </w:t>
      </w:r>
      <w:r w:rsidRPr="00521D8F">
        <w:rPr>
          <w:rFonts w:ascii="Arial" w:eastAsia="Times New Roman" w:hAnsi="Arial" w:cs="Arial"/>
          <w:b/>
          <w:bCs/>
          <w:color w:val="333333"/>
          <w:kern w:val="0"/>
          <w:lang w:eastAsia="es-UY"/>
          <w14:ligatures w14:val="none"/>
        </w:rPr>
        <w:t>bendición pastoral</w:t>
      </w:r>
      <w:r w:rsidRPr="00521D8F">
        <w:rPr>
          <w:rFonts w:ascii="Arial" w:eastAsia="Times New Roman" w:hAnsi="Arial" w:cs="Arial"/>
          <w:color w:val="333333"/>
          <w:kern w:val="0"/>
          <w:lang w:eastAsia="es-UY"/>
          <w14:ligatures w14:val="none"/>
        </w:rPr>
        <w:t> », tal como la conciben los suplicantes de la </w:t>
      </w:r>
      <w:hyperlink r:id="rId15" w:history="1">
        <w:r w:rsidRPr="00521D8F">
          <w:rPr>
            <w:rFonts w:ascii="Arial" w:eastAsia="Times New Roman" w:hAnsi="Arial" w:cs="Arial"/>
            <w:i/>
            <w:iCs/>
            <w:color w:val="FC6B01"/>
            <w:kern w:val="0"/>
            <w:u w:val="single"/>
            <w:lang w:eastAsia="es-UY"/>
            <w14:ligatures w14:val="none"/>
          </w:rPr>
          <w:t>Fiducia</w:t>
        </w:r>
      </w:hyperlink>
      <w:r w:rsidRPr="00521D8F">
        <w:rPr>
          <w:rFonts w:ascii="Arial" w:eastAsia="Times New Roman" w:hAnsi="Arial" w:cs="Arial"/>
          <w:color w:val="333333"/>
          <w:kern w:val="0"/>
          <w:lang w:eastAsia="es-UY"/>
          <w14:ligatures w14:val="none"/>
        </w:rPr>
        <w:t> , es un «monstruo nominalista» (en términos de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 que impone una categoría absurda a la realidad, intentando devolver las cosas al nivel del sistema, pero violando irremediablemente el «fenómeno» de la bendición. ¿Qué queda del fenómeno de la «bendición» si lo reducimos al tiempo formal de un «acto administrativo», imponiendo su brevedad, falta de solemnidad, ubicación marginal en el espacio, ausencia de texto escrito y falta de tradición? ¿Qué sucede con una bendición si es mejor dejarla pasar desapercibida?</w:t>
      </w:r>
    </w:p>
    <w:p w14:paraId="5896A95C"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0C56AEFB"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b) Una </w:t>
      </w:r>
      <w:r w:rsidRPr="00521D8F">
        <w:rPr>
          <w:rFonts w:ascii="Arial" w:eastAsia="Times New Roman" w:hAnsi="Arial" w:cs="Arial"/>
          <w:b/>
          <w:bCs/>
          <w:color w:val="333333"/>
          <w:kern w:val="0"/>
          <w:lang w:eastAsia="es-UY"/>
          <w14:ligatures w14:val="none"/>
        </w:rPr>
        <w:t>homilía</w:t>
      </w:r>
      <w:r w:rsidRPr="00521D8F">
        <w:rPr>
          <w:rFonts w:ascii="Arial" w:eastAsia="Times New Roman" w:hAnsi="Arial" w:cs="Arial"/>
          <w:color w:val="333333"/>
          <w:kern w:val="0"/>
          <w:lang w:eastAsia="es-UY"/>
          <w14:ligatures w14:val="none"/>
        </w:rPr>
        <w:t> para la cual se solicita una dispensa a un laico (en el caso de la petición alemana, denegada por </w:t>
      </w:r>
      <w:r w:rsidRPr="00521D8F">
        <w:rPr>
          <w:rFonts w:ascii="Arial" w:eastAsia="Times New Roman" w:hAnsi="Arial" w:cs="Arial"/>
          <w:b/>
          <w:bCs/>
          <w:color w:val="333333"/>
          <w:kern w:val="0"/>
          <w:lang w:eastAsia="es-UY"/>
          <w14:ligatures w14:val="none"/>
        </w:rPr>
        <w:t>Roma</w:t>
      </w:r>
      <w:r w:rsidRPr="00521D8F">
        <w:rPr>
          <w:rFonts w:ascii="Arial" w:eastAsia="Times New Roman" w:hAnsi="Arial" w:cs="Arial"/>
          <w:color w:val="333333"/>
          <w:kern w:val="0"/>
          <w:lang w:eastAsia="es-UY"/>
          <w14:ligatures w14:val="none"/>
        </w:rPr>
        <w:t> ) se convierte en una homilía que carece de uno de los requisitos previos: la presidencia de la comunidad viva. Aquí, no se trata de un «ministerio ordenado», sino de una «presidencia efectiva» (una relación que suele existir, pero que también puede estar ausente). No son las categorías ontológicas de los sujetos, sino la relación eclesial lo que justifica la prohibición. En cambio, el documento del </w:t>
      </w:r>
      <w:r w:rsidRPr="00521D8F">
        <w:rPr>
          <w:rFonts w:ascii="Arial" w:eastAsia="Times New Roman" w:hAnsi="Arial" w:cs="Arial"/>
          <w:b/>
          <w:bCs/>
          <w:color w:val="333333"/>
          <w:kern w:val="0"/>
          <w:lang w:eastAsia="es-UY"/>
          <w14:ligatures w14:val="none"/>
        </w:rPr>
        <w:t>Dicasterio para el Culto Divino</w:t>
      </w:r>
      <w:r w:rsidRPr="00521D8F">
        <w:rPr>
          <w:rFonts w:ascii="Arial" w:eastAsia="Times New Roman" w:hAnsi="Arial" w:cs="Arial"/>
          <w:color w:val="333333"/>
          <w:kern w:val="0"/>
          <w:lang w:eastAsia="es-UY"/>
          <w14:ligatures w14:val="none"/>
        </w:rPr>
        <w:t> , en contra de toda evidencia litúrgica, argumenta únicamente con base en argumentos dogmáticos, pero expresados ​​en un tono legalista y administrativo que los desvaloriza y los vuelve casi insoportables.</w:t>
      </w:r>
    </w:p>
    <w:p w14:paraId="01ECE1FB"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74839977"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c) La « </w:t>
      </w:r>
      <w:r w:rsidRPr="00521D8F">
        <w:rPr>
          <w:rFonts w:ascii="Arial" w:eastAsia="Times New Roman" w:hAnsi="Arial" w:cs="Arial"/>
          <w:b/>
          <w:bCs/>
          <w:color w:val="333333"/>
          <w:kern w:val="0"/>
          <w:lang w:eastAsia="es-UY"/>
          <w14:ligatures w14:val="none"/>
        </w:rPr>
        <w:t>paz litúrgica</w:t>
      </w:r>
      <w:r w:rsidRPr="00521D8F">
        <w:rPr>
          <w:rFonts w:ascii="Arial" w:eastAsia="Times New Roman" w:hAnsi="Arial" w:cs="Arial"/>
          <w:color w:val="333333"/>
          <w:kern w:val="0"/>
          <w:lang w:eastAsia="es-UY"/>
          <w14:ligatures w14:val="none"/>
        </w:rPr>
        <w:t> », en resumen, se concibió con una solución falsamente legal y dogmática. La «validez paralela» de dos ritos contradictorios fue una concesión del magisterio romano a los sofismas de Lefebvre, y clama venganza. Es un plan beligerante con el que pretenden construir la paz. También aquí, el Papa </w:t>
      </w:r>
      <w:hyperlink r:id="rId16" w:tgtFrame="_blank" w:history="1">
        <w:r w:rsidRPr="00521D8F">
          <w:rPr>
            <w:rFonts w:ascii="Arial" w:eastAsia="Times New Roman" w:hAnsi="Arial" w:cs="Arial"/>
            <w:color w:val="FC6B01"/>
            <w:kern w:val="0"/>
            <w:u w:val="single"/>
            <w:lang w:eastAsia="es-UY"/>
            <w14:ligatures w14:val="none"/>
          </w:rPr>
          <w:t>Francisco</w:t>
        </w:r>
      </w:hyperlink>
      <w:r w:rsidRPr="00521D8F">
        <w:rPr>
          <w:rFonts w:ascii="Arial" w:eastAsia="Times New Roman" w:hAnsi="Arial" w:cs="Arial"/>
          <w:color w:val="333333"/>
          <w:kern w:val="0"/>
          <w:lang w:eastAsia="es-UY"/>
          <w14:ligatures w14:val="none"/>
        </w:rPr>
        <w:t> afirmó el punto fundamental (solo hay una </w:t>
      </w:r>
      <w:hyperlink r:id="rId17" w:tgtFrame="_blank" w:history="1">
        <w:r w:rsidRPr="00521D8F">
          <w:rPr>
            <w:rFonts w:ascii="Arial" w:eastAsia="Times New Roman" w:hAnsi="Arial" w:cs="Arial"/>
            <w:i/>
            <w:iCs/>
            <w:color w:val="FC6B01"/>
            <w:kern w:val="0"/>
            <w:u w:val="single"/>
            <w:lang w:eastAsia="es-UY"/>
            <w14:ligatures w14:val="none"/>
          </w:rPr>
          <w:t xml:space="preserve">lex </w:t>
        </w:r>
        <w:proofErr w:type="spellStart"/>
        <w:r w:rsidRPr="00521D8F">
          <w:rPr>
            <w:rFonts w:ascii="Arial" w:eastAsia="Times New Roman" w:hAnsi="Arial" w:cs="Arial"/>
            <w:i/>
            <w:iCs/>
            <w:color w:val="FC6B01"/>
            <w:kern w:val="0"/>
            <w:u w:val="single"/>
            <w:lang w:eastAsia="es-UY"/>
            <w14:ligatures w14:val="none"/>
          </w:rPr>
          <w:t>orandi</w:t>
        </w:r>
        <w:proofErr w:type="spellEnd"/>
      </w:hyperlink>
      <w:r w:rsidRPr="00521D8F">
        <w:rPr>
          <w:rFonts w:ascii="Arial" w:eastAsia="Times New Roman" w:hAnsi="Arial" w:cs="Arial"/>
          <w:color w:val="333333"/>
          <w:kern w:val="0"/>
          <w:lang w:eastAsia="es-UY"/>
          <w14:ligatures w14:val="none"/>
        </w:rPr>
        <w:t> ), pero los dogmáticos y canonistas contradijeron esta lógica del fenómeno ritual, que la tradición debe poder honrar, con una serie interminable de «indulgencias».</w:t>
      </w:r>
    </w:p>
    <w:p w14:paraId="77A3529A"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En todas estas "soluciones", la teología litúrgica está ausente y es reemplazada por fragmentos de dogmática y derecho canónico que carecen de dirección y tienen la pretensión autoritaria de poner fin al debate.</w:t>
      </w:r>
    </w:p>
    <w:p w14:paraId="36DA2FEB"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4FA4DF32" w14:textId="77777777" w:rsidR="00521D8F" w:rsidRPr="00521D8F" w:rsidRDefault="00521D8F" w:rsidP="00521D8F">
      <w:pPr>
        <w:spacing w:after="0" w:line="240" w:lineRule="auto"/>
        <w:jc w:val="both"/>
        <w:outlineLvl w:val="1"/>
        <w:rPr>
          <w:rFonts w:ascii="Arial" w:eastAsia="Times New Roman" w:hAnsi="Arial" w:cs="Arial"/>
          <w:b/>
          <w:bCs/>
          <w:color w:val="333333"/>
          <w:kern w:val="0"/>
          <w:lang w:eastAsia="es-UY"/>
          <w14:ligatures w14:val="none"/>
        </w:rPr>
      </w:pPr>
      <w:r w:rsidRPr="00521D8F">
        <w:rPr>
          <w:rFonts w:ascii="Arial" w:eastAsia="Times New Roman" w:hAnsi="Arial" w:cs="Arial"/>
          <w:b/>
          <w:bCs/>
          <w:color w:val="333333"/>
          <w:kern w:val="0"/>
          <w:lang w:eastAsia="es-UY"/>
          <w14:ligatures w14:val="none"/>
        </w:rPr>
        <w:t>La tarea de la teología</w:t>
      </w:r>
    </w:p>
    <w:p w14:paraId="031367BF" w14:textId="77777777" w:rsid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t>Por esta razón, el enfoque propuesto por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parece muy apropiado, metodológicamente hablando. Analiza la realidad del debate en torno a las cuestiones litúrgico-eclesiales, resaltando la diferencia entre soluciones clásicas y nuevas. Sin embargo, para que el método no se convierta en una especie de "recomendación inicial" vacía, es necesario que se fundamente en una referencia autorizada a los "lenguajes elementales de la liturgia" que realmente permitan una nueva visión. En este sentido, acojo con entusiasmo la invitación de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a reflexionar sobre la " </w:t>
      </w:r>
      <w:r w:rsidRPr="00521D8F">
        <w:rPr>
          <w:rFonts w:ascii="Arial" w:eastAsia="Times New Roman" w:hAnsi="Arial" w:cs="Arial"/>
          <w:b/>
          <w:bCs/>
          <w:color w:val="333333"/>
          <w:kern w:val="0"/>
          <w:lang w:eastAsia="es-UY"/>
          <w14:ligatures w14:val="none"/>
        </w:rPr>
        <w:t>naturaleza de la doctrina</w:t>
      </w:r>
      <w:r w:rsidRPr="00521D8F">
        <w:rPr>
          <w:rFonts w:ascii="Arial" w:eastAsia="Times New Roman" w:hAnsi="Arial" w:cs="Arial"/>
          <w:color w:val="333333"/>
          <w:kern w:val="0"/>
          <w:lang w:eastAsia="es-UY"/>
          <w14:ligatures w14:val="none"/>
        </w:rPr>
        <w:t> ", pasando de modelos antiguos y obsoletos a otros nuevos. Entre estos, destaca la comprensión de la tradición que el Movimiento Litúrgico introdujo en la cultura católica a partir del siglo XIX: una cultura que se nutrió de </w:t>
      </w:r>
      <w:proofErr w:type="spellStart"/>
      <w:r w:rsidRPr="00521D8F">
        <w:rPr>
          <w:rFonts w:ascii="Arial" w:eastAsia="Times New Roman" w:hAnsi="Arial" w:cs="Arial"/>
          <w:color w:val="333333"/>
          <w:kern w:val="0"/>
          <w:lang w:eastAsia="es-UY"/>
          <w14:ligatures w14:val="none"/>
        </w:rPr>
        <w:fldChar w:fldCharType="begin"/>
      </w:r>
      <w:r w:rsidRPr="00521D8F">
        <w:rPr>
          <w:rFonts w:ascii="Arial" w:eastAsia="Times New Roman" w:hAnsi="Arial" w:cs="Arial"/>
          <w:color w:val="333333"/>
          <w:kern w:val="0"/>
          <w:lang w:eastAsia="es-UY"/>
          <w14:ligatures w14:val="none"/>
        </w:rPr>
        <w:instrText>HYPERLINK "https://www.ihu.unisinos.br/Conc%C3%ADlio%20Vaticano%20II.%20A%20Constitui%C3%A7%C3%A3o%20Sacrosanctum%20Concilium" \t "_blank"</w:instrText>
      </w:r>
      <w:r w:rsidRPr="00521D8F">
        <w:rPr>
          <w:rFonts w:ascii="Arial" w:eastAsia="Times New Roman" w:hAnsi="Arial" w:cs="Arial"/>
          <w:color w:val="333333"/>
          <w:kern w:val="0"/>
          <w:lang w:eastAsia="es-UY"/>
          <w14:ligatures w14:val="none"/>
        </w:rPr>
      </w:r>
      <w:r w:rsidRPr="00521D8F">
        <w:rPr>
          <w:rFonts w:ascii="Arial" w:eastAsia="Times New Roman" w:hAnsi="Arial" w:cs="Arial"/>
          <w:color w:val="333333"/>
          <w:kern w:val="0"/>
          <w:lang w:eastAsia="es-UY"/>
          <w14:ligatures w14:val="none"/>
        </w:rPr>
        <w:fldChar w:fldCharType="separate"/>
      </w:r>
      <w:r w:rsidRPr="00521D8F">
        <w:rPr>
          <w:rFonts w:ascii="Arial" w:eastAsia="Times New Roman" w:hAnsi="Arial" w:cs="Arial"/>
          <w:i/>
          <w:iCs/>
          <w:color w:val="FC6B01"/>
          <w:kern w:val="0"/>
          <w:u w:val="single"/>
          <w:lang w:eastAsia="es-UY"/>
          <w14:ligatures w14:val="none"/>
        </w:rPr>
        <w:t>Sacrosanctum</w:t>
      </w:r>
      <w:proofErr w:type="spellEnd"/>
      <w:r w:rsidRPr="00521D8F">
        <w:rPr>
          <w:rFonts w:ascii="Arial" w:eastAsia="Times New Roman" w:hAnsi="Arial" w:cs="Arial"/>
          <w:i/>
          <w:iCs/>
          <w:color w:val="FC6B01"/>
          <w:kern w:val="0"/>
          <w:u w:val="single"/>
          <w:lang w:eastAsia="es-UY"/>
          <w14:ligatures w14:val="none"/>
        </w:rPr>
        <w:t xml:space="preserve"> Concilium</w:t>
      </w:r>
      <w:r w:rsidRPr="00521D8F">
        <w:rPr>
          <w:rFonts w:ascii="Arial" w:eastAsia="Times New Roman" w:hAnsi="Arial" w:cs="Arial"/>
          <w:color w:val="333333"/>
          <w:kern w:val="0"/>
          <w:lang w:eastAsia="es-UY"/>
          <w14:ligatures w14:val="none"/>
        </w:rPr>
        <w:fldChar w:fldCharType="end"/>
      </w:r>
      <w:r w:rsidRPr="00521D8F">
        <w:rPr>
          <w:rFonts w:ascii="Arial" w:eastAsia="Times New Roman" w:hAnsi="Arial" w:cs="Arial"/>
          <w:color w:val="333333"/>
          <w:kern w:val="0"/>
          <w:lang w:eastAsia="es-UY"/>
          <w14:ligatures w14:val="none"/>
        </w:rPr>
        <w:t> , aunque persistamos en interpretarla a través del prisma del antiguo derecho canónico, firmemente arraigado en nuestra mente. El enfoque de la teología litúrgica, con toda su novedad, carece hoy de suficiente autoridad y es ignorado por la mayoría de las reconstrucciones magisteriales.</w:t>
      </w:r>
    </w:p>
    <w:p w14:paraId="51B4A416"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p>
    <w:p w14:paraId="1A7FB10D" w14:textId="77777777" w:rsidR="00521D8F" w:rsidRPr="00521D8F" w:rsidRDefault="00521D8F" w:rsidP="00521D8F">
      <w:pPr>
        <w:spacing w:after="0" w:line="240" w:lineRule="auto"/>
        <w:jc w:val="both"/>
        <w:rPr>
          <w:rFonts w:ascii="Arial" w:eastAsia="Times New Roman" w:hAnsi="Arial" w:cs="Arial"/>
          <w:color w:val="333333"/>
          <w:kern w:val="0"/>
          <w:lang w:eastAsia="es-UY"/>
          <w14:ligatures w14:val="none"/>
        </w:rPr>
      </w:pPr>
      <w:r w:rsidRPr="00521D8F">
        <w:rPr>
          <w:rFonts w:ascii="Arial" w:eastAsia="Times New Roman" w:hAnsi="Arial" w:cs="Arial"/>
          <w:color w:val="333333"/>
          <w:kern w:val="0"/>
          <w:lang w:eastAsia="es-UY"/>
          <w14:ligatures w14:val="none"/>
        </w:rPr>
        <w:lastRenderedPageBreak/>
        <w:t>Además, en diálogo con </w:t>
      </w:r>
      <w:r w:rsidRPr="00521D8F">
        <w:rPr>
          <w:rFonts w:ascii="Arial" w:eastAsia="Times New Roman" w:hAnsi="Arial" w:cs="Arial"/>
          <w:b/>
          <w:bCs/>
          <w:color w:val="333333"/>
          <w:kern w:val="0"/>
          <w:lang w:eastAsia="es-UY"/>
          <w14:ligatures w14:val="none"/>
        </w:rPr>
        <w:t>Gamberini</w:t>
      </w:r>
      <w:r w:rsidRPr="00521D8F">
        <w:rPr>
          <w:rFonts w:ascii="Arial" w:eastAsia="Times New Roman" w:hAnsi="Arial" w:cs="Arial"/>
          <w:color w:val="333333"/>
          <w:kern w:val="0"/>
          <w:lang w:eastAsia="es-UY"/>
          <w14:ligatures w14:val="none"/>
        </w:rPr>
        <w:t> , me parece que la correlación diferenciada que animó el debate teológico del siglo XX resurge, bajo una nueva forma, en la que las culturas de inspiración jesuita y benedictina se enfrentaron con orgullo y </w:t>
      </w:r>
      <w:r w:rsidRPr="00521D8F">
        <w:rPr>
          <w:rFonts w:ascii="Arial" w:eastAsia="Times New Roman" w:hAnsi="Arial" w:cs="Arial"/>
          <w:i/>
          <w:iCs/>
          <w:color w:val="333333"/>
          <w:kern w:val="0"/>
          <w:lang w:eastAsia="es-UY"/>
          <w14:ligatures w14:val="none"/>
        </w:rPr>
        <w:t>resentimiento</w:t>
      </w:r>
      <w:r w:rsidRPr="00521D8F">
        <w:rPr>
          <w:rFonts w:ascii="Arial" w:eastAsia="Times New Roman" w:hAnsi="Arial" w:cs="Arial"/>
          <w:color w:val="333333"/>
          <w:kern w:val="0"/>
          <w:lang w:eastAsia="es-UY"/>
          <w14:ligatures w14:val="none"/>
        </w:rPr>
        <w:t> . Las contradicciones que impregnan nuestros debates actuales sobre la homilía, la bendición y la liturgia reformada no provienen de las limitaciones de la teología litúrgica, sino de su completa ignorancia: como si el </w:t>
      </w:r>
      <w:r w:rsidRPr="00521D8F">
        <w:rPr>
          <w:rFonts w:ascii="Arial" w:eastAsia="Times New Roman" w:hAnsi="Arial" w:cs="Arial"/>
          <w:b/>
          <w:bCs/>
          <w:color w:val="333333"/>
          <w:kern w:val="0"/>
          <w:lang w:eastAsia="es-UY"/>
          <w14:ligatures w14:val="none"/>
        </w:rPr>
        <w:t>Concilio</w:t>
      </w:r>
      <w:r w:rsidRPr="00521D8F">
        <w:rPr>
          <w:rFonts w:ascii="Arial" w:eastAsia="Times New Roman" w:hAnsi="Arial" w:cs="Arial"/>
          <w:color w:val="333333"/>
          <w:kern w:val="0"/>
          <w:lang w:eastAsia="es-UY"/>
          <w14:ligatures w14:val="none"/>
        </w:rPr>
        <w:t> (litúrgico y de otro tipo) nunca hubiera existido. Por lo tanto, es urgente redescubrir su relevancia y visión de futuro, sin reducirla a modelos antiguos y asfixiantes que pretenden definir la «naturaleza de la liturgia» con esquemas burocráticos, ignorando su dinámica histórica y sus fenómenos concretos.</w:t>
      </w:r>
    </w:p>
    <w:p w14:paraId="3779681F" w14:textId="77777777" w:rsidR="00521D8F" w:rsidRDefault="00521D8F"/>
    <w:p w14:paraId="36B2E391" w14:textId="79F46987" w:rsidR="00521D8F" w:rsidRDefault="00521D8F">
      <w:hyperlink r:id="rId18" w:history="1">
        <w:r w:rsidRPr="00797EEE">
          <w:rPr>
            <w:rStyle w:val="Hipervnculo"/>
          </w:rPr>
          <w:t>https://www.ihu.unisinos.br/667664-teologia-liturgica-e-as-contradicoes-da-doutrina-catolica-em-dialogo-com-paolo-gamberini-artigo-de-andrea-grillo</w:t>
        </w:r>
      </w:hyperlink>
    </w:p>
    <w:p w14:paraId="03C83DE2" w14:textId="77777777" w:rsidR="00521D8F" w:rsidRDefault="00521D8F"/>
    <w:sectPr w:rsidR="00521D8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8F"/>
    <w:rsid w:val="00521D8F"/>
    <w:rsid w:val="00884C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C0DC"/>
  <w15:chartTrackingRefBased/>
  <w15:docId w15:val="{6D5548C7-8C4F-4413-A28F-0EF2E4F5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1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1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1D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1D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1D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1D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1D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1D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1D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1D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1D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1D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1D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1D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1D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1D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1D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1D8F"/>
    <w:rPr>
      <w:rFonts w:eastAsiaTheme="majorEastAsia" w:cstheme="majorBidi"/>
      <w:color w:val="272727" w:themeColor="text1" w:themeTint="D8"/>
    </w:rPr>
  </w:style>
  <w:style w:type="paragraph" w:styleId="Ttulo">
    <w:name w:val="Title"/>
    <w:basedOn w:val="Normal"/>
    <w:next w:val="Normal"/>
    <w:link w:val="TtuloCar"/>
    <w:uiPriority w:val="10"/>
    <w:qFormat/>
    <w:rsid w:val="00521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1D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1D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1D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1D8F"/>
    <w:pPr>
      <w:spacing w:before="160"/>
      <w:jc w:val="center"/>
    </w:pPr>
    <w:rPr>
      <w:i/>
      <w:iCs/>
      <w:color w:val="404040" w:themeColor="text1" w:themeTint="BF"/>
    </w:rPr>
  </w:style>
  <w:style w:type="character" w:customStyle="1" w:styleId="CitaCar">
    <w:name w:val="Cita Car"/>
    <w:basedOn w:val="Fuentedeprrafopredeter"/>
    <w:link w:val="Cita"/>
    <w:uiPriority w:val="29"/>
    <w:rsid w:val="00521D8F"/>
    <w:rPr>
      <w:i/>
      <w:iCs/>
      <w:color w:val="404040" w:themeColor="text1" w:themeTint="BF"/>
    </w:rPr>
  </w:style>
  <w:style w:type="paragraph" w:styleId="Prrafodelista">
    <w:name w:val="List Paragraph"/>
    <w:basedOn w:val="Normal"/>
    <w:uiPriority w:val="34"/>
    <w:qFormat/>
    <w:rsid w:val="00521D8F"/>
    <w:pPr>
      <w:ind w:left="720"/>
      <w:contextualSpacing/>
    </w:pPr>
  </w:style>
  <w:style w:type="character" w:styleId="nfasisintenso">
    <w:name w:val="Intense Emphasis"/>
    <w:basedOn w:val="Fuentedeprrafopredeter"/>
    <w:uiPriority w:val="21"/>
    <w:qFormat/>
    <w:rsid w:val="00521D8F"/>
    <w:rPr>
      <w:i/>
      <w:iCs/>
      <w:color w:val="0F4761" w:themeColor="accent1" w:themeShade="BF"/>
    </w:rPr>
  </w:style>
  <w:style w:type="paragraph" w:styleId="Citadestacada">
    <w:name w:val="Intense Quote"/>
    <w:basedOn w:val="Normal"/>
    <w:next w:val="Normal"/>
    <w:link w:val="CitadestacadaCar"/>
    <w:uiPriority w:val="30"/>
    <w:qFormat/>
    <w:rsid w:val="00521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1D8F"/>
    <w:rPr>
      <w:i/>
      <w:iCs/>
      <w:color w:val="0F4761" w:themeColor="accent1" w:themeShade="BF"/>
    </w:rPr>
  </w:style>
  <w:style w:type="character" w:styleId="Referenciaintensa">
    <w:name w:val="Intense Reference"/>
    <w:basedOn w:val="Fuentedeprrafopredeter"/>
    <w:uiPriority w:val="32"/>
    <w:qFormat/>
    <w:rsid w:val="00521D8F"/>
    <w:rPr>
      <w:b/>
      <w:bCs/>
      <w:smallCaps/>
      <w:color w:val="0F4761" w:themeColor="accent1" w:themeShade="BF"/>
      <w:spacing w:val="5"/>
    </w:rPr>
  </w:style>
  <w:style w:type="character" w:styleId="Hipervnculo">
    <w:name w:val="Hyperlink"/>
    <w:basedOn w:val="Fuentedeprrafopredeter"/>
    <w:uiPriority w:val="99"/>
    <w:unhideWhenUsed/>
    <w:rsid w:val="00521D8F"/>
    <w:rPr>
      <w:color w:val="467886" w:themeColor="hyperlink"/>
      <w:u w:val="single"/>
    </w:rPr>
  </w:style>
  <w:style w:type="character" w:styleId="Mencinsinresolver">
    <w:name w:val="Unresolved Mention"/>
    <w:basedOn w:val="Fuentedeprrafopredeter"/>
    <w:uiPriority w:val="99"/>
    <w:semiHidden/>
    <w:unhideWhenUsed/>
    <w:rsid w:val="00521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7610-em-edicao-logica-catolica-entre-liturgia-eclesiologia-e-doutrina" TargetMode="External"/><Relationship Id="rId13" Type="http://schemas.openxmlformats.org/officeDocument/2006/relationships/hyperlink" Target="https://www.ihu.unisinos.br/categorias/192-paginas-especiais/651222-um-pastor-papa-francisco-tocou-milhoes-de-pessoas-catolicas-e-nao-catolicas" TargetMode="External"/><Relationship Id="rId18" Type="http://schemas.openxmlformats.org/officeDocument/2006/relationships/hyperlink" Target="https://www.ihu.unisinos.br/667664-teologia-liturgica-e-as-contradicoes-da-doutrina-catolica-em-dialogo-com-paolo-gamberini-artigo-de-andrea-grillo" TargetMode="External"/><Relationship Id="rId3" Type="http://schemas.openxmlformats.org/officeDocument/2006/relationships/webSettings" Target="webSettings.xml"/><Relationship Id="rId7" Type="http://schemas.openxmlformats.org/officeDocument/2006/relationships/hyperlink" Target="https://ihu.unisinos.br/665426-autenticidade-verdade-e-obediencia-eclesial" TargetMode="External"/><Relationship Id="rId12" Type="http://schemas.openxmlformats.org/officeDocument/2006/relationships/hyperlink" Target="https://ihu.unisinos.br/categorias/635803-a-bencao-liturgica-e-as-categorias-da-doutrina-artigo-de-andrea-grillo" TargetMode="External"/><Relationship Id="rId17" Type="http://schemas.openxmlformats.org/officeDocument/2006/relationships/hyperlink" Target="https://ihu.unisinos.br/categorias/633195-essa-nossa-forma-errada-de-orar-artigo-de-andres-torres-queiruga" TargetMode="External"/><Relationship Id="rId2" Type="http://schemas.openxmlformats.org/officeDocument/2006/relationships/settings" Target="settings.xml"/><Relationship Id="rId16" Type="http://schemas.openxmlformats.org/officeDocument/2006/relationships/hyperlink" Target="https://www.ihu.unisinos.br/categorias/192-paginas-especiais/651222-um-pastor-papa-francisco-tocou-milhoes-de-pessoas-catolicas-e-nao-catolica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ittadellaeditrice.com/munera/lomelia-e-la-presidenza-della-assemblea-una-questione-piu-seria-di-quanto-sembra/" TargetMode="External"/><Relationship Id="rId11" Type="http://schemas.openxmlformats.org/officeDocument/2006/relationships/hyperlink" Target="https://www.ihu.unisinos.br/667592-sem-sermao-para-leigos-escolha-certa-argumentos-errados" TargetMode="External"/><Relationship Id="rId5" Type="http://schemas.openxmlformats.org/officeDocument/2006/relationships/hyperlink" Target="https://ihu.unisinos.br/categorias/661935-um-certo-tipo-de-tranquilidade-esta-chegando-ao-fim-o-consistorio-e-a-teologia-numa-perspectiva-conciliar-artigo-de-andrea-grillo" TargetMode="External"/><Relationship Id="rId15" Type="http://schemas.openxmlformats.org/officeDocument/2006/relationships/hyperlink" Target="https://www.ihu.unisinos.br/categorias/636171-fiducia-supplicans-certamente-e-uma-surpresa-mas-mais-do-que-uma-surpresa-e-uma-brecha-artigo-de-laurent-lemoine" TargetMode="External"/><Relationship Id="rId10" Type="http://schemas.openxmlformats.org/officeDocument/2006/relationships/hyperlink" Target="https://www.ihu.unisinos.br/categorias/635783-bencaos-a-casais-irregulares-artigo-de-antonio-stagliano-e-alberto-cozzi"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667636-o-pulpito-proibido-roma-silencia-os-leigos-na-missa-artigo-de-jose-manuel-vidal" TargetMode="External"/><Relationship Id="rId14" Type="http://schemas.openxmlformats.org/officeDocument/2006/relationships/hyperlink" Target="https://www.ihu.unisinos.br/categorias/611372-a-histeria-da-missa-em-lati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1836</Words>
  <Characters>10100</Characters>
  <Application>Microsoft Office Word</Application>
  <DocSecurity>0</DocSecurity>
  <Lines>84</Lines>
  <Paragraphs>23</Paragraphs>
  <ScaleCrop>false</ScaleCrop>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2026-06-30T12:08:00Z</dcterms:created>
  <dcterms:modified xsi:type="dcterms:W3CDTF">2026-06-30T12:10:00Z</dcterms:modified>
</cp:coreProperties>
</file>