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7176C" w14:textId="1E1DB2FE" w:rsidR="00CC2E1E" w:rsidRDefault="00CC2E1E" w:rsidP="00785BDE">
      <w:pPr>
        <w:spacing w:after="0" w:line="240" w:lineRule="auto"/>
        <w:jc w:val="center"/>
        <w:textAlignment w:val="baseline"/>
        <w:outlineLvl w:val="0"/>
        <w:rPr>
          <w:rFonts w:ascii="Arial" w:eastAsia="Times New Roman" w:hAnsi="Arial" w:cs="Arial"/>
          <w:color w:val="000000" w:themeColor="text1"/>
          <w:spacing w:val="-15"/>
          <w:kern w:val="36"/>
          <w:sz w:val="28"/>
          <w:szCs w:val="28"/>
          <w:lang w:val="es-UY" w:eastAsia="es-UY"/>
        </w:rPr>
      </w:pPr>
      <w:r w:rsidRPr="00785BDE">
        <w:rPr>
          <w:rFonts w:ascii="Arial" w:eastAsia="Times New Roman" w:hAnsi="Arial" w:cs="Arial"/>
          <w:color w:val="000000" w:themeColor="text1"/>
          <w:spacing w:val="-15"/>
          <w:kern w:val="36"/>
          <w:sz w:val="28"/>
          <w:szCs w:val="28"/>
          <w:lang w:val="es-UY" w:eastAsia="es-UY"/>
        </w:rPr>
        <w:t>El confronto de dos tipos de poder en la Iglesia</w:t>
      </w:r>
    </w:p>
    <w:p w14:paraId="7468875F" w14:textId="691E4431" w:rsidR="00785BDE" w:rsidRDefault="00785BDE" w:rsidP="00785BDE">
      <w:pPr>
        <w:spacing w:after="0" w:line="240" w:lineRule="auto"/>
        <w:jc w:val="center"/>
        <w:textAlignment w:val="baseline"/>
        <w:outlineLvl w:val="0"/>
        <w:rPr>
          <w:rFonts w:ascii="Arial" w:eastAsia="Times New Roman" w:hAnsi="Arial" w:cs="Arial"/>
          <w:color w:val="000000" w:themeColor="text1"/>
          <w:spacing w:val="-15"/>
          <w:kern w:val="36"/>
          <w:sz w:val="28"/>
          <w:szCs w:val="28"/>
          <w:lang w:val="es-UY" w:eastAsia="es-UY"/>
        </w:rPr>
      </w:pPr>
    </w:p>
    <w:p w14:paraId="492AEF3B" w14:textId="21FB6392" w:rsidR="00785BDE" w:rsidRDefault="00785BDE" w:rsidP="00785BDE">
      <w:pPr>
        <w:spacing w:after="0" w:line="240" w:lineRule="auto"/>
        <w:jc w:val="both"/>
        <w:textAlignment w:val="baseline"/>
        <w:outlineLvl w:val="0"/>
        <w:rPr>
          <w:rFonts w:ascii="Arial" w:eastAsia="Times New Roman" w:hAnsi="Arial" w:cs="Arial"/>
          <w:color w:val="000000" w:themeColor="text1"/>
          <w:spacing w:val="-15"/>
          <w:kern w:val="36"/>
          <w:sz w:val="28"/>
          <w:szCs w:val="28"/>
          <w:lang w:val="es-UY" w:eastAsia="es-UY"/>
        </w:rPr>
      </w:pPr>
      <w:r>
        <w:rPr>
          <w:rFonts w:ascii="Arial" w:eastAsia="Times New Roman" w:hAnsi="Arial" w:cs="Arial"/>
          <w:color w:val="000000" w:themeColor="text1"/>
          <w:spacing w:val="-15"/>
          <w:kern w:val="36"/>
          <w:sz w:val="28"/>
          <w:szCs w:val="28"/>
          <w:lang w:val="es-UY" w:eastAsia="es-UY"/>
        </w:rPr>
        <w:t>[Por: Leonardo Boff]</w:t>
      </w:r>
    </w:p>
    <w:p w14:paraId="33DA50E5" w14:textId="400B4B7E" w:rsidR="00CC2E1E" w:rsidRPr="00785BDE" w:rsidRDefault="00CC2E1E" w:rsidP="00785BDE">
      <w:pPr>
        <w:spacing w:after="0" w:line="240" w:lineRule="auto"/>
        <w:jc w:val="both"/>
        <w:textAlignment w:val="baseline"/>
        <w:rPr>
          <w:rFonts w:ascii="Arial" w:eastAsia="Times New Roman" w:hAnsi="Arial" w:cs="Arial"/>
          <w:caps/>
          <w:color w:val="000000" w:themeColor="text1"/>
          <w:spacing w:val="15"/>
          <w:sz w:val="28"/>
          <w:szCs w:val="28"/>
          <w:lang w:val="es-UY" w:eastAsia="es-UY"/>
        </w:rPr>
      </w:pPr>
    </w:p>
    <w:p w14:paraId="595E1FAE" w14:textId="4489D4CA"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El Centro de Estudios Bíblicos (CEBI) de Sergipe organizó del 25 al 28 de octubre una serie de charlas sobre el libro </w:t>
      </w:r>
      <w:r w:rsidRPr="00785BDE">
        <w:rPr>
          <w:rFonts w:ascii="Arial" w:eastAsia="Times New Roman" w:hAnsi="Arial" w:cs="Arial"/>
          <w:b/>
          <w:bCs/>
          <w:color w:val="000000" w:themeColor="text1"/>
          <w:sz w:val="28"/>
          <w:szCs w:val="28"/>
          <w:bdr w:val="none" w:sz="0" w:space="0" w:color="auto" w:frame="1"/>
          <w:lang w:val="es-UY" w:eastAsia="es-UY"/>
        </w:rPr>
        <w:t>Iglesia: carisma y pode</w:t>
      </w:r>
      <w:r w:rsidRPr="00785BDE">
        <w:rPr>
          <w:rFonts w:ascii="Arial" w:eastAsia="Times New Roman" w:hAnsi="Arial" w:cs="Arial"/>
          <w:color w:val="000000" w:themeColor="text1"/>
          <w:sz w:val="28"/>
          <w:szCs w:val="28"/>
          <w:lang w:val="es-UY" w:eastAsia="es-UY"/>
        </w:rPr>
        <w:t>r, que celebra 40 años desde su publicación en 1981. El CEBI es una organización nacional de grupos populares y ecuménicos que estudian la Biblia en profundidad, como inspiración de prácticas innovadoras dentro de la Iglesia y también libertarias en la sociedad. El propósito era mostrar la actualidad de los temas tratados en el libro, que articulan la Iglesia con la sociedad y los modelos de Iglesia vigentes.</w:t>
      </w:r>
    </w:p>
    <w:p w14:paraId="76B52372"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0AF242C9" w14:textId="0C5BE75C"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Este libro fue enjuiciado en 1984 por la Congregación para la Doctrina de la Fe, llevando a su autor, a mí en este caso, a un verdadero proceso judicial. Este culminó en 1985 con una “notificación” y no un decreto condenatorio, prohibiendo la reedición del libro y la imposición al autor de un tiempo de “silencio obsequioso”. En ella no se hace ninguna condenación doctrinal, solo se dice como conclusión:</w:t>
      </w:r>
    </w:p>
    <w:p w14:paraId="3CC76BF2"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0AF8D411" w14:textId="77777777" w:rsidR="00CC2E1E" w:rsidRPr="00785BDE" w:rsidRDefault="00CC2E1E" w:rsidP="00785BDE">
      <w:pPr>
        <w:spacing w:after="0" w:line="240" w:lineRule="auto"/>
        <w:jc w:val="both"/>
        <w:textAlignment w:val="baseline"/>
        <w:rPr>
          <w:rFonts w:ascii="Arial" w:eastAsia="Times New Roman" w:hAnsi="Arial" w:cs="Arial"/>
          <w:color w:val="0070C0"/>
          <w:sz w:val="28"/>
          <w:szCs w:val="28"/>
          <w:lang w:val="es-UY" w:eastAsia="es-UY"/>
        </w:rPr>
      </w:pPr>
      <w:r w:rsidRPr="00785BDE">
        <w:rPr>
          <w:rFonts w:ascii="Arial" w:eastAsia="Times New Roman" w:hAnsi="Arial" w:cs="Arial"/>
          <w:color w:val="0070C0"/>
          <w:sz w:val="28"/>
          <w:szCs w:val="28"/>
          <w:lang w:val="es-UY" w:eastAsia="es-UY"/>
        </w:rPr>
        <w:t>“</w:t>
      </w:r>
      <w:r w:rsidRPr="00785BDE">
        <w:rPr>
          <w:rFonts w:ascii="Arial" w:eastAsia="Times New Roman" w:hAnsi="Arial" w:cs="Arial"/>
          <w:i/>
          <w:iCs/>
          <w:color w:val="0070C0"/>
          <w:sz w:val="28"/>
          <w:szCs w:val="28"/>
          <w:bdr w:val="none" w:sz="0" w:space="0" w:color="auto" w:frame="1"/>
          <w:lang w:val="es-UY" w:eastAsia="es-UY"/>
        </w:rPr>
        <w:t>Esta Congregación se siente en la obligación de declarar que las </w:t>
      </w:r>
      <w:r w:rsidRPr="00785BDE">
        <w:rPr>
          <w:rFonts w:ascii="Arial" w:eastAsia="Times New Roman" w:hAnsi="Arial" w:cs="Arial"/>
          <w:b/>
          <w:bCs/>
          <w:color w:val="0070C0"/>
          <w:sz w:val="28"/>
          <w:szCs w:val="28"/>
          <w:bdr w:val="none" w:sz="0" w:space="0" w:color="auto" w:frame="1"/>
          <w:lang w:val="es-UY" w:eastAsia="es-UY"/>
        </w:rPr>
        <w:t>opciones</w:t>
      </w:r>
      <w:r w:rsidRPr="00785BDE">
        <w:rPr>
          <w:rFonts w:ascii="Arial" w:eastAsia="Times New Roman" w:hAnsi="Arial" w:cs="Arial"/>
          <w:i/>
          <w:iCs/>
          <w:color w:val="0070C0"/>
          <w:sz w:val="28"/>
          <w:szCs w:val="28"/>
          <w:bdr w:val="none" w:sz="0" w:space="0" w:color="auto" w:frame="1"/>
          <w:lang w:val="es-UY" w:eastAsia="es-UY"/>
        </w:rPr>
        <w:t> aquí analizadas de Fray Leonardo Boff son de tal naturaleza que ponen en </w:t>
      </w:r>
      <w:r w:rsidRPr="00785BDE">
        <w:rPr>
          <w:rFonts w:ascii="Arial" w:eastAsia="Times New Roman" w:hAnsi="Arial" w:cs="Arial"/>
          <w:b/>
          <w:bCs/>
          <w:color w:val="0070C0"/>
          <w:sz w:val="28"/>
          <w:szCs w:val="28"/>
          <w:bdr w:val="none" w:sz="0" w:space="0" w:color="auto" w:frame="1"/>
          <w:lang w:val="es-UY" w:eastAsia="es-UY"/>
        </w:rPr>
        <w:t>peligro</w:t>
      </w:r>
      <w:r w:rsidRPr="00785BDE">
        <w:rPr>
          <w:rFonts w:ascii="Arial" w:eastAsia="Times New Roman" w:hAnsi="Arial" w:cs="Arial"/>
          <w:i/>
          <w:iCs/>
          <w:color w:val="0070C0"/>
          <w:sz w:val="28"/>
          <w:szCs w:val="28"/>
          <w:bdr w:val="none" w:sz="0" w:space="0" w:color="auto" w:frame="1"/>
          <w:lang w:val="es-UY" w:eastAsia="es-UY"/>
        </w:rPr>
        <w:t> la sana doctrina de la fe, que esta Congregación tiene el deber de promover y tutelar”.</w:t>
      </w:r>
    </w:p>
    <w:p w14:paraId="0B8E448F" w14:textId="77777777" w:rsid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06EC48C0" w14:textId="5C2A29F5"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Obsérvese que no se trata de doctrinas (campo de los dogmas) sino de “opciones” (campo de la moral) que pueden significar un “peligro”. Evitado ese peligro, no hay por qué no seguir adelante con las opciones que eran y siguen siendo: la centralidad de los pobres y de su liberación, el poder como servicio y no como centralización, y la constitución legítima de comunidades eclesiales de base, como una reinvención de la Iglesia en los medios populares (eclesiogénesis).</w:t>
      </w:r>
    </w:p>
    <w:p w14:paraId="589875EB"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31AFA68C" w14:textId="6BE8DE0A"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Al leer todo el texto del Card. Joseph Ratzinger exponiendo los tales “peligros” se nota un error de lectura. Se leyó no </w:t>
      </w:r>
      <w:r w:rsidRPr="00785BDE">
        <w:rPr>
          <w:rFonts w:ascii="Arial" w:eastAsia="Times New Roman" w:hAnsi="Arial" w:cs="Arial"/>
          <w:i/>
          <w:iCs/>
          <w:color w:val="000000" w:themeColor="text1"/>
          <w:sz w:val="28"/>
          <w:szCs w:val="28"/>
          <w:bdr w:val="none" w:sz="0" w:space="0" w:color="auto" w:frame="1"/>
          <w:lang w:val="es-UY" w:eastAsia="es-UY"/>
        </w:rPr>
        <w:t>Iglesia: carisma </w:t>
      </w:r>
      <w:r w:rsidRPr="00785BDE">
        <w:rPr>
          <w:rFonts w:ascii="Arial" w:eastAsia="Times New Roman" w:hAnsi="Arial" w:cs="Arial"/>
          <w:b/>
          <w:bCs/>
          <w:color w:val="000000" w:themeColor="text1"/>
          <w:sz w:val="28"/>
          <w:szCs w:val="28"/>
          <w:bdr w:val="none" w:sz="0" w:space="0" w:color="auto" w:frame="1"/>
          <w:lang w:val="es-UY" w:eastAsia="es-UY"/>
        </w:rPr>
        <w:t>y</w:t>
      </w:r>
      <w:r w:rsidRPr="00785BDE">
        <w:rPr>
          <w:rFonts w:ascii="Arial" w:eastAsia="Times New Roman" w:hAnsi="Arial" w:cs="Arial"/>
          <w:i/>
          <w:iCs/>
          <w:color w:val="000000" w:themeColor="text1"/>
          <w:sz w:val="28"/>
          <w:szCs w:val="28"/>
          <w:bdr w:val="none" w:sz="0" w:space="0" w:color="auto" w:frame="1"/>
          <w:lang w:val="es-UY" w:eastAsia="es-UY"/>
        </w:rPr>
        <w:t> poder</w:t>
      </w:r>
      <w:r w:rsidRPr="00785BDE">
        <w:rPr>
          <w:rFonts w:ascii="Arial" w:eastAsia="Times New Roman" w:hAnsi="Arial" w:cs="Arial"/>
          <w:color w:val="000000" w:themeColor="text1"/>
          <w:sz w:val="28"/>
          <w:szCs w:val="28"/>
          <w:lang w:val="es-UY" w:eastAsia="es-UY"/>
        </w:rPr>
        <w:t>, sino </w:t>
      </w:r>
      <w:r w:rsidRPr="00785BDE">
        <w:rPr>
          <w:rFonts w:ascii="Arial" w:eastAsia="Times New Roman" w:hAnsi="Arial" w:cs="Arial"/>
          <w:i/>
          <w:iCs/>
          <w:color w:val="000000" w:themeColor="text1"/>
          <w:sz w:val="28"/>
          <w:szCs w:val="28"/>
          <w:bdr w:val="none" w:sz="0" w:space="0" w:color="auto" w:frame="1"/>
          <w:lang w:val="es-UY" w:eastAsia="es-UY"/>
        </w:rPr>
        <w:t>Iglesia: carisma </w:t>
      </w:r>
      <w:r w:rsidRPr="00785BDE">
        <w:rPr>
          <w:rFonts w:ascii="Arial" w:eastAsia="Times New Roman" w:hAnsi="Arial" w:cs="Arial"/>
          <w:b/>
          <w:bCs/>
          <w:color w:val="000000" w:themeColor="text1"/>
          <w:sz w:val="28"/>
          <w:szCs w:val="28"/>
          <w:bdr w:val="none" w:sz="0" w:space="0" w:color="auto" w:frame="1"/>
          <w:lang w:val="es-UY" w:eastAsia="es-UY"/>
        </w:rPr>
        <w:t>o</w:t>
      </w:r>
      <w:r w:rsidRPr="00785BDE">
        <w:rPr>
          <w:rFonts w:ascii="Arial" w:eastAsia="Times New Roman" w:hAnsi="Arial" w:cs="Arial"/>
          <w:i/>
          <w:iCs/>
          <w:color w:val="000000" w:themeColor="text1"/>
          <w:sz w:val="28"/>
          <w:szCs w:val="28"/>
          <w:bdr w:val="none" w:sz="0" w:space="0" w:color="auto" w:frame="1"/>
          <w:lang w:val="es-UY" w:eastAsia="es-UY"/>
        </w:rPr>
        <w:t> poder</w:t>
      </w:r>
      <w:r w:rsidRPr="00785BDE">
        <w:rPr>
          <w:rFonts w:ascii="Arial" w:eastAsia="Times New Roman" w:hAnsi="Arial" w:cs="Arial"/>
          <w:color w:val="000000" w:themeColor="text1"/>
          <w:sz w:val="28"/>
          <w:szCs w:val="28"/>
          <w:lang w:val="es-UY" w:eastAsia="es-UY"/>
        </w:rPr>
        <w:t>. Esta alternativa no se encuentra en ninguna página del libro, que afirma la legitimidad de un poder en la Iglesia junto con el carisma evidentemente el poder como servicio y no como acumulación em pocas manos.</w:t>
      </w:r>
    </w:p>
    <w:p w14:paraId="5F9B1965"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3A951690" w14:textId="6BF09102"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lastRenderedPageBreak/>
        <w:t>Seguramente el punto central que la Congregación vio como “peligro” fue la confrontación entre un modelo de Iglesia,</w:t>
      </w:r>
      <w:r w:rsidRPr="00785BDE">
        <w:rPr>
          <w:rFonts w:ascii="Arial" w:eastAsia="Times New Roman" w:hAnsi="Arial" w:cs="Arial"/>
          <w:i/>
          <w:iCs/>
          <w:color w:val="000000" w:themeColor="text1"/>
          <w:sz w:val="28"/>
          <w:szCs w:val="28"/>
          <w:bdr w:val="none" w:sz="0" w:space="0" w:color="auto" w:frame="1"/>
          <w:lang w:val="es-UY" w:eastAsia="es-UY"/>
        </w:rPr>
        <w:t> sociedad jerarquizada</w:t>
      </w:r>
      <w:r w:rsidRPr="00785BDE">
        <w:rPr>
          <w:rFonts w:ascii="Arial" w:eastAsia="Times New Roman" w:hAnsi="Arial" w:cs="Arial"/>
          <w:color w:val="000000" w:themeColor="text1"/>
          <w:sz w:val="28"/>
          <w:szCs w:val="28"/>
          <w:lang w:val="es-UY" w:eastAsia="es-UY"/>
        </w:rPr>
        <w:t> de poder sagrado y otro modelo de Iglesia, </w:t>
      </w:r>
      <w:r w:rsidRPr="00785BDE">
        <w:rPr>
          <w:rFonts w:ascii="Arial" w:eastAsia="Times New Roman" w:hAnsi="Arial" w:cs="Arial"/>
          <w:i/>
          <w:iCs/>
          <w:color w:val="000000" w:themeColor="text1"/>
          <w:sz w:val="28"/>
          <w:szCs w:val="28"/>
          <w:bdr w:val="none" w:sz="0" w:space="0" w:color="auto" w:frame="1"/>
          <w:lang w:val="es-UY" w:eastAsia="es-UY"/>
        </w:rPr>
        <w:t>comunidad fraterna</w:t>
      </w:r>
      <w:r w:rsidRPr="00785BDE">
        <w:rPr>
          <w:rFonts w:ascii="Arial" w:eastAsia="Times New Roman" w:hAnsi="Arial" w:cs="Arial"/>
          <w:color w:val="000000" w:themeColor="text1"/>
          <w:sz w:val="28"/>
          <w:szCs w:val="28"/>
          <w:lang w:val="es-UY" w:eastAsia="es-UY"/>
        </w:rPr>
        <w:t> de iguales con funciones diferentes. El primer modelo, dominante, es el de la Iglesia-gran-institución compuesta de clérigos, portadores del poder sagrado, y de laicos y laicas sin ningún poder de decisión. Aquí surgen las desigualdades, especialmente cerrando las puertas del ministerio sacerdotal a las mujeres e imponiendo la ley del celibato obligatorio a todo el cuerpo clerical. El otro modelo es el de la Iglesia-red-de-comunidades, todos sujetos de poder sagrado, ejercido mediante funciones (carismas) diferentes.</w:t>
      </w:r>
    </w:p>
    <w:p w14:paraId="06F7F55D"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048F53A7" w14:textId="718C992B"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Ambos modelos se remiten al pasado de la Iglesia; el primero especialmente al evangelio de San Mateo, que confiere gran importancia a Pedro (Mt 16,18;18,16) que originará la centralización, llamada “cefalización” (todo se concentra en la cabeza). El segundo se refiere a las cartas de San Pablo, que hablan de una Iglesia comunidad de hermanos y hermanas, dotada de muchos carismas (funciones y servicios), especialmente en sus Cartas a los Corintios, a los Romanos y a los Efesios. Para San Pablo el carisma pertenece a la cotidianidad y significa simplemente funciones o servicios, todos animados por el Espíritu Santo y por Cristo resucitado, cabeza en la Iglesia y en el cosmos, lo que implica una descentralización del poder, presente en todos y todas.</w:t>
      </w:r>
    </w:p>
    <w:p w14:paraId="39DD0327"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0988F022" w14:textId="6ECEC4CF"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De manera resumida, el hecho histórico es el siguiente: Hasta el siglo IV la Iglesia era fundamentalmente una comunidad fraternal. Desde el momento en que el cristianismo fue declarado por el emperador Constantino (325) “religión lícita”, por Teodosio (391) “religión obligatoria” para todos, prohibiendo el paganismo, hasta culminar con el emperador Justiniano (529) transformando los preceptos cristianos en leyes civiles, se gestó entonces la Iglesia-gran-institución. De religión perseguida pasó a religión perseguidora de los paganos. Siendo “religión obligatoria”, todos tuvieron que asumir la fe cristiana, creando una Iglesia de masas, no por conversión sino por obligatoriedad bajo el miedo y la amenaza de muerte.</w:t>
      </w:r>
    </w:p>
    <w:p w14:paraId="0D612AA5"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6571003F" w14:textId="63ADAFB7"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Con la decadencia del imperio romano, el obispo de Roma León Magno (440-461) asumió el poder y el título de Papa (abreviación de </w:t>
      </w:r>
      <w:r w:rsidRPr="00785BDE">
        <w:rPr>
          <w:rFonts w:ascii="Arial" w:eastAsia="Times New Roman" w:hAnsi="Arial" w:cs="Arial"/>
          <w:i/>
          <w:iCs/>
          <w:color w:val="000000" w:themeColor="text1"/>
          <w:sz w:val="28"/>
          <w:szCs w:val="28"/>
          <w:bdr w:val="none" w:sz="0" w:space="0" w:color="auto" w:frame="1"/>
          <w:lang w:val="es-UY" w:eastAsia="es-UY"/>
        </w:rPr>
        <w:t>pater patrum, padre de los padres)</w:t>
      </w:r>
      <w:r w:rsidRPr="00785BDE">
        <w:rPr>
          <w:rFonts w:ascii="Arial" w:eastAsia="Times New Roman" w:hAnsi="Arial" w:cs="Arial"/>
          <w:color w:val="000000" w:themeColor="text1"/>
          <w:sz w:val="28"/>
          <w:szCs w:val="28"/>
          <w:lang w:val="es-UY" w:eastAsia="es-UY"/>
        </w:rPr>
        <w:t xml:space="preserve">, reservado hasta entonces a los emperadores. Junto al estilo imperial se asumieron también los palacios, el báculo, la estola, el manto (muceta) símbolo del poder </w:t>
      </w:r>
      <w:r w:rsidRPr="00785BDE">
        <w:rPr>
          <w:rFonts w:ascii="Arial" w:eastAsia="Times New Roman" w:hAnsi="Arial" w:cs="Arial"/>
          <w:color w:val="000000" w:themeColor="text1"/>
          <w:sz w:val="28"/>
          <w:szCs w:val="28"/>
          <w:lang w:val="es-UY" w:eastAsia="es-UY"/>
        </w:rPr>
        <w:lastRenderedPageBreak/>
        <w:t>monárquico, la púrpura y otros símbolos imperiales y paganos que perduran hasta el día de hoy. </w:t>
      </w:r>
    </w:p>
    <w:p w14:paraId="193AED07"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3B235E0F" w14:textId="04A3EE74"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La Iglesia-gran-institución no pasó la prueba del poder. En ella se realizó lo que afirma Thomas Hobbes en el Leviatán (1615): “Señalo, como tendencia general de todos los hombres, un perpetuo e impaciente deseo de poder y más poder que solo cesa con la muerte</w:t>
      </w:r>
      <w:r w:rsidRPr="00785BDE">
        <w:rPr>
          <w:rFonts w:ascii="Arial" w:eastAsia="Times New Roman" w:hAnsi="Arial" w:cs="Arial"/>
          <w:i/>
          <w:iCs/>
          <w:color w:val="000000" w:themeColor="text1"/>
          <w:sz w:val="28"/>
          <w:szCs w:val="28"/>
          <w:bdr w:val="none" w:sz="0" w:space="0" w:color="auto" w:frame="1"/>
          <w:lang w:val="es-UY" w:eastAsia="es-UY"/>
        </w:rPr>
        <w:t>; la razón de eso reside en el hecho de que no se puede garantizar el poder sino buscando más poder todavía” (</w:t>
      </w:r>
      <w:r w:rsidRPr="00785BDE">
        <w:rPr>
          <w:rFonts w:ascii="Arial" w:eastAsia="Times New Roman" w:hAnsi="Arial" w:cs="Arial"/>
          <w:color w:val="000000" w:themeColor="text1"/>
          <w:sz w:val="28"/>
          <w:szCs w:val="28"/>
          <w:lang w:val="es-UY" w:eastAsia="es-UY"/>
        </w:rPr>
        <w:t>cap.X</w:t>
      </w:r>
      <w:r w:rsidRPr="00785BDE">
        <w:rPr>
          <w:rFonts w:ascii="Arial" w:eastAsia="Times New Roman" w:hAnsi="Arial" w:cs="Arial"/>
          <w:i/>
          <w:iCs/>
          <w:color w:val="000000" w:themeColor="text1"/>
          <w:sz w:val="28"/>
          <w:szCs w:val="28"/>
          <w:bdr w:val="none" w:sz="0" w:space="0" w:color="auto" w:frame="1"/>
          <w:lang w:val="es-UY" w:eastAsia="es-UY"/>
        </w:rPr>
        <w:t>).</w:t>
      </w:r>
      <w:r w:rsidRPr="00785BDE">
        <w:rPr>
          <w:rFonts w:ascii="Arial" w:eastAsia="Times New Roman" w:hAnsi="Arial" w:cs="Arial"/>
          <w:color w:val="000000" w:themeColor="text1"/>
          <w:sz w:val="28"/>
          <w:szCs w:val="28"/>
          <w:lang w:val="es-UY" w:eastAsia="es-UY"/>
        </w:rPr>
        <w:t> Los Papas empiezan a acumular poder hasta llegar al Papa Gregorio VII con su </w:t>
      </w:r>
      <w:r w:rsidRPr="00785BDE">
        <w:rPr>
          <w:rFonts w:ascii="Arial" w:eastAsia="Times New Roman" w:hAnsi="Arial" w:cs="Arial"/>
          <w:i/>
          <w:iCs/>
          <w:color w:val="000000" w:themeColor="text1"/>
          <w:sz w:val="28"/>
          <w:szCs w:val="28"/>
          <w:bdr w:val="none" w:sz="0" w:space="0" w:color="auto" w:frame="1"/>
          <w:lang w:val="es-UY" w:eastAsia="es-UY"/>
        </w:rPr>
        <w:t>Dictatus Papae</w:t>
      </w:r>
      <w:r w:rsidRPr="00785BDE">
        <w:rPr>
          <w:rFonts w:ascii="Arial" w:eastAsia="Times New Roman" w:hAnsi="Arial" w:cs="Arial"/>
          <w:color w:val="000000" w:themeColor="text1"/>
          <w:sz w:val="28"/>
          <w:szCs w:val="28"/>
          <w:lang w:val="es-UY" w:eastAsia="es-UY"/>
        </w:rPr>
        <w:t> (la dictadura del Papa), que proclama al Papa como señor absoluto sobre la Iglesia y sobre los emperadores o reyes. Ya no bastaba ser sucesor de Pedro. El Papa Inocencio III(+1216) se anunció como vicario de Cristo y finalmente Inocencio IV(+1254) se estableció como representante de Dios. Todavía hoy se atribuye al Papa, según el derecho canónico, un poder que parece pertenecer solamente a Dios. El Papa es portador de un poder sagrado “s</w:t>
      </w:r>
      <w:r w:rsidRPr="00785BDE">
        <w:rPr>
          <w:rFonts w:ascii="Arial" w:eastAsia="Times New Roman" w:hAnsi="Arial" w:cs="Arial"/>
          <w:i/>
          <w:iCs/>
          <w:color w:val="000000" w:themeColor="text1"/>
          <w:sz w:val="28"/>
          <w:szCs w:val="28"/>
          <w:bdr w:val="none" w:sz="0" w:space="0" w:color="auto" w:frame="1"/>
          <w:lang w:val="es-UY" w:eastAsia="es-UY"/>
        </w:rPr>
        <w:t>upremo, ordinario, pleno, inmediato y universal</w:t>
      </w:r>
      <w:r w:rsidRPr="00785BDE">
        <w:rPr>
          <w:rFonts w:ascii="Arial" w:eastAsia="Times New Roman" w:hAnsi="Arial" w:cs="Arial"/>
          <w:color w:val="000000" w:themeColor="text1"/>
          <w:sz w:val="28"/>
          <w:szCs w:val="28"/>
          <w:lang w:val="es-UY" w:eastAsia="es-UY"/>
        </w:rPr>
        <w:t>” (canon 331). A esto se añadió en 1869 la </w:t>
      </w:r>
      <w:r w:rsidRPr="00785BDE">
        <w:rPr>
          <w:rFonts w:ascii="Arial" w:eastAsia="Times New Roman" w:hAnsi="Arial" w:cs="Arial"/>
          <w:i/>
          <w:iCs/>
          <w:color w:val="000000" w:themeColor="text1"/>
          <w:sz w:val="28"/>
          <w:szCs w:val="28"/>
          <w:bdr w:val="none" w:sz="0" w:space="0" w:color="auto" w:frame="1"/>
          <w:lang w:val="es-UY" w:eastAsia="es-UY"/>
        </w:rPr>
        <w:t>infalibilidad</w:t>
      </w:r>
      <w:r w:rsidRPr="00785BDE">
        <w:rPr>
          <w:rFonts w:ascii="Arial" w:eastAsia="Times New Roman" w:hAnsi="Arial" w:cs="Arial"/>
          <w:color w:val="000000" w:themeColor="text1"/>
          <w:sz w:val="28"/>
          <w:szCs w:val="28"/>
          <w:lang w:val="es-UY" w:eastAsia="es-UY"/>
        </w:rPr>
        <w:t> en asuntos de fe y moral. A más no se podría llegar.</w:t>
      </w:r>
    </w:p>
    <w:p w14:paraId="1FFF8181"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56DC31E0" w14:textId="2817EF88"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La consecuencia ha sido el surgimiento de una Iglesia-sociedad piramidal, monárquica, rígida y rigurosa, que en términos doctrinales de sus inquiridos, fue mi experiencia, </w:t>
      </w:r>
      <w:r w:rsidRPr="00785BDE">
        <w:rPr>
          <w:rFonts w:ascii="Arial" w:eastAsia="Times New Roman" w:hAnsi="Arial" w:cs="Arial"/>
          <w:i/>
          <w:iCs/>
          <w:color w:val="000000" w:themeColor="text1"/>
          <w:sz w:val="28"/>
          <w:szCs w:val="28"/>
          <w:bdr w:val="none" w:sz="0" w:space="0" w:color="auto" w:frame="1"/>
          <w:lang w:val="es-UY" w:eastAsia="es-UY"/>
        </w:rPr>
        <w:t>no olvida nada, no perdona nada y exige todo. En este</w:t>
      </w:r>
      <w:r w:rsidRPr="00785BDE">
        <w:rPr>
          <w:rFonts w:ascii="Arial" w:eastAsia="Times New Roman" w:hAnsi="Arial" w:cs="Arial"/>
          <w:color w:val="000000" w:themeColor="text1"/>
          <w:sz w:val="28"/>
          <w:szCs w:val="28"/>
          <w:lang w:val="es-UY" w:eastAsia="es-UY"/>
        </w:rPr>
        <w:t> modelo de Iglesia se verifica lo que el psicoanalista C.G.Jung afirmaba: «</w:t>
      </w:r>
      <w:r w:rsidRPr="00785BDE">
        <w:rPr>
          <w:rFonts w:ascii="Arial" w:eastAsia="Times New Roman" w:hAnsi="Arial" w:cs="Arial"/>
          <w:i/>
          <w:iCs/>
          <w:color w:val="000000" w:themeColor="text1"/>
          <w:sz w:val="28"/>
          <w:szCs w:val="28"/>
          <w:bdr w:val="none" w:sz="0" w:space="0" w:color="auto" w:frame="1"/>
          <w:lang w:val="es-UY" w:eastAsia="es-UY"/>
        </w:rPr>
        <w:t>Donde prevalece el poder no hay lugar para la ternura ni para el amor</w:t>
      </w:r>
      <w:r w:rsidRPr="00785BDE">
        <w:rPr>
          <w:rFonts w:ascii="Arial" w:eastAsia="Times New Roman" w:hAnsi="Arial" w:cs="Arial"/>
          <w:color w:val="000000" w:themeColor="text1"/>
          <w:sz w:val="28"/>
          <w:szCs w:val="28"/>
          <w:lang w:val="es-UY" w:eastAsia="es-UY"/>
        </w:rPr>
        <w:t>».</w:t>
      </w:r>
    </w:p>
    <w:p w14:paraId="394CFAB1"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587242B4" w14:textId="593A1A50"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Los únicos Papas que rompieron con esta tradición, celosa de su poder sagrado y monárquico, fue el Papa bueno Juan XXIII y explícitamente el Papa Francisco que, en sus primeras palabras, dijo gobernar la Iglesia en la caridad y no en el poder sagrado. Por eso pide a los pastores la “revolución de la ternura”. </w:t>
      </w:r>
    </w:p>
    <w:p w14:paraId="251049E1"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3275D58C" w14:textId="7CEEF5E8"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 xml:space="preserve">Frente a ese modelo, hoy en profunda crisis estructural, surgió otro modelo de Iglesia red-de-comunidades fraternas. En la historia de la Iglesia siempre ha existido, especialmente en las órdenes y congregaciones religiosas, aunque nunca consiguió ser hegemónico. Pero adquirió densidad en la amplia red de comunidades eclesiales de base, extendidas actualmente por todo el universo cristiano y ecuménico. En ellas el poder es servicio real, cotidiano y participado por todas las personas en la medida en que cada una tiene su lugar en la comunidad. Hay muchos servicios y funciones (carismas): quien </w:t>
      </w:r>
      <w:r w:rsidRPr="00785BDE">
        <w:rPr>
          <w:rFonts w:ascii="Arial" w:eastAsia="Times New Roman" w:hAnsi="Arial" w:cs="Arial"/>
          <w:color w:val="000000" w:themeColor="text1"/>
          <w:sz w:val="28"/>
          <w:szCs w:val="28"/>
          <w:lang w:val="es-UY" w:eastAsia="es-UY"/>
        </w:rPr>
        <w:lastRenderedPageBreak/>
        <w:t>reza, quien enseña, quien organiza la liturgia, quien visita a los enfermos, quien trabaja con los jóvenes, todos en pie de igualdad, según dice San Pablo (1Cor 7,7;12,29). Hay una función (carisma) singular que es la de crear unidad y cohesión en la comunidad haciendo que todos los servicios (carismas) confluyan al bien común: es el servicio de presidir la comunidad. Como tal, preside también la eucaristía, no como función exclusiva, sino simultánea con las demás. Su función no es concentrar sino coordinar.</w:t>
      </w:r>
    </w:p>
    <w:p w14:paraId="765CB5D2"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6D8E33BF" w14:textId="5DB832E5"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Este modelo traduce mejor el mensaje y el ejemplo del Jesús histórico que no quiso ningún poder y que estableció todo el poder como servicio y no como dominación (Mt 23,11). Este modelo se presenta como otra forma de organizar la herencia de Jesús, de gestar una Iglesia más conforme con su sueño de todos hermanos y hermanas (Mt 23,8).</w:t>
      </w:r>
    </w:p>
    <w:p w14:paraId="7E8573E6"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03642911" w14:textId="60BC304B" w:rsidR="00CC2E1E" w:rsidRDefault="00CC2E1E" w:rsidP="00785BDE">
      <w:pPr>
        <w:spacing w:after="0" w:line="240" w:lineRule="auto"/>
        <w:jc w:val="both"/>
        <w:textAlignment w:val="baseline"/>
        <w:rPr>
          <w:rFonts w:ascii="Arial" w:eastAsia="Times New Roman" w:hAnsi="Arial" w:cs="Arial"/>
          <w:color w:val="000000" w:themeColor="text1"/>
          <w:sz w:val="28"/>
          <w:szCs w:val="28"/>
          <w:lang w:val="es-UY" w:eastAsia="es-UY"/>
        </w:rPr>
      </w:pPr>
      <w:r w:rsidRPr="00785BDE">
        <w:rPr>
          <w:rFonts w:ascii="Arial" w:eastAsia="Times New Roman" w:hAnsi="Arial" w:cs="Arial"/>
          <w:color w:val="000000" w:themeColor="text1"/>
          <w:sz w:val="28"/>
          <w:szCs w:val="28"/>
          <w:lang w:val="es-UY" w:eastAsia="es-UY"/>
        </w:rPr>
        <w:t>Este modelo comunional se presenta más adecuado a la verdadera evangelización, que significa encarnar  mensaje cristiano en las diferentes culturas, asimilando sus modos de ser. La Iglesia sería como un inmenso tapete de colores, hecho con un tejido inmenso de comunidades cristianas, diferentes en sus cuerpos, pero todas unidas en el mismo testimonio de la vida nueva traída por Jesús muerto y resucitado. Caminaría junto con el proceso de mundialización que lentamente construye la Casa Común, el mundo necesario, dentro del cual están los varios mundos culturales (asiático, africano, latino, indígena etc). Ahí estará la Iglesia-gran-institución, que seguramente pervivirá pero sin la hegemonía actual, y principalmente la red inmensa de comunidades cristianas diversas y unidas en el mismo testimonio del Resucitado y de su Espíritu, junto con otras iglesias y caminos espirituales al servicio unos de otros y de la única Casa Común que tenemos, la Madre Tierra.</w:t>
      </w:r>
    </w:p>
    <w:p w14:paraId="2E95A342" w14:textId="77777777" w:rsidR="00785BDE" w:rsidRPr="00785BDE" w:rsidRDefault="00785BDE" w:rsidP="00785BDE">
      <w:pPr>
        <w:spacing w:after="0" w:line="240" w:lineRule="auto"/>
        <w:jc w:val="both"/>
        <w:textAlignment w:val="baseline"/>
        <w:rPr>
          <w:rFonts w:ascii="Arial" w:eastAsia="Times New Roman" w:hAnsi="Arial" w:cs="Arial"/>
          <w:color w:val="000000" w:themeColor="text1"/>
          <w:sz w:val="28"/>
          <w:szCs w:val="28"/>
          <w:lang w:val="es-UY" w:eastAsia="es-UY"/>
        </w:rPr>
      </w:pPr>
    </w:p>
    <w:p w14:paraId="34881C43" w14:textId="77777777" w:rsidR="00CC2E1E" w:rsidRPr="00785BDE" w:rsidRDefault="00CC2E1E" w:rsidP="00785BDE">
      <w:pPr>
        <w:spacing w:after="0" w:line="240" w:lineRule="auto"/>
        <w:jc w:val="both"/>
        <w:textAlignment w:val="baseline"/>
        <w:rPr>
          <w:rFonts w:ascii="Arial" w:eastAsia="Times New Roman" w:hAnsi="Arial" w:cs="Arial"/>
          <w:i/>
          <w:iCs/>
          <w:color w:val="0070C0"/>
          <w:sz w:val="28"/>
          <w:szCs w:val="28"/>
          <w:lang w:val="es-UY" w:eastAsia="es-UY"/>
        </w:rPr>
      </w:pPr>
      <w:r w:rsidRPr="00785BDE">
        <w:rPr>
          <w:rFonts w:ascii="Arial" w:eastAsia="Times New Roman" w:hAnsi="Arial" w:cs="Arial"/>
          <w:i/>
          <w:iCs/>
          <w:color w:val="0070C0"/>
          <w:sz w:val="28"/>
          <w:szCs w:val="28"/>
          <w:lang w:val="es-UY" w:eastAsia="es-UY"/>
        </w:rPr>
        <w:t>*Leonardo Boff ha escrito </w:t>
      </w:r>
      <w:r w:rsidRPr="00785BDE">
        <w:rPr>
          <w:rFonts w:ascii="Arial" w:eastAsia="Times New Roman" w:hAnsi="Arial" w:cs="Arial"/>
          <w:i/>
          <w:iCs/>
          <w:color w:val="0070C0"/>
          <w:sz w:val="28"/>
          <w:szCs w:val="28"/>
          <w:bdr w:val="none" w:sz="0" w:space="0" w:color="auto" w:frame="1"/>
          <w:lang w:val="es-UY" w:eastAsia="es-UY"/>
        </w:rPr>
        <w:t>Iglesia: carisma y poder, </w:t>
      </w:r>
      <w:r w:rsidRPr="00785BDE">
        <w:rPr>
          <w:rFonts w:ascii="Arial" w:eastAsia="Times New Roman" w:hAnsi="Arial" w:cs="Arial"/>
          <w:i/>
          <w:iCs/>
          <w:color w:val="0070C0"/>
          <w:sz w:val="28"/>
          <w:szCs w:val="28"/>
          <w:lang w:val="es-UY" w:eastAsia="es-UY"/>
        </w:rPr>
        <w:t>Record, Rio de Janeiro 2005</w:t>
      </w:r>
      <w:r w:rsidRPr="00785BDE">
        <w:rPr>
          <w:rFonts w:ascii="Arial" w:eastAsia="Times New Roman" w:hAnsi="Arial" w:cs="Arial"/>
          <w:i/>
          <w:iCs/>
          <w:color w:val="0070C0"/>
          <w:sz w:val="28"/>
          <w:szCs w:val="28"/>
          <w:bdr w:val="none" w:sz="0" w:space="0" w:color="auto" w:frame="1"/>
          <w:lang w:val="es-UY" w:eastAsia="es-UY"/>
        </w:rPr>
        <w:t>; Eclesiogénesis: la reinvención de la Iglesia, </w:t>
      </w:r>
      <w:r w:rsidRPr="00785BDE">
        <w:rPr>
          <w:rFonts w:ascii="Arial" w:eastAsia="Times New Roman" w:hAnsi="Arial" w:cs="Arial"/>
          <w:i/>
          <w:iCs/>
          <w:color w:val="0070C0"/>
          <w:sz w:val="28"/>
          <w:szCs w:val="28"/>
          <w:lang w:val="es-UY" w:eastAsia="es-UY"/>
        </w:rPr>
        <w:t>Record, Rio de Janeiro 2008; </w:t>
      </w:r>
      <w:r w:rsidRPr="00785BDE">
        <w:rPr>
          <w:rFonts w:ascii="Arial" w:eastAsia="Times New Roman" w:hAnsi="Arial" w:cs="Arial"/>
          <w:i/>
          <w:iCs/>
          <w:color w:val="0070C0"/>
          <w:sz w:val="28"/>
          <w:szCs w:val="28"/>
          <w:bdr w:val="none" w:sz="0" w:space="0" w:color="auto" w:frame="1"/>
          <w:lang w:val="es-UY" w:eastAsia="es-UY"/>
        </w:rPr>
        <w:t>Francisco de Asís y Francisco de Roma</w:t>
      </w:r>
      <w:r w:rsidRPr="00785BDE">
        <w:rPr>
          <w:rFonts w:ascii="Arial" w:eastAsia="Times New Roman" w:hAnsi="Arial" w:cs="Arial"/>
          <w:i/>
          <w:iCs/>
          <w:color w:val="0070C0"/>
          <w:sz w:val="28"/>
          <w:szCs w:val="28"/>
          <w:lang w:val="es-UY" w:eastAsia="es-UY"/>
        </w:rPr>
        <w:t>: una nueva primavera en la Iglesia, Mar de Ideias, Rio de Janeiro 2015.</w:t>
      </w:r>
    </w:p>
    <w:p w14:paraId="38110C9D" w14:textId="77777777" w:rsidR="00785BDE" w:rsidRDefault="00785BDE" w:rsidP="00785BDE">
      <w:pPr>
        <w:spacing w:after="0" w:line="240" w:lineRule="auto"/>
        <w:jc w:val="both"/>
        <w:textAlignment w:val="baseline"/>
        <w:rPr>
          <w:rFonts w:ascii="Arial" w:eastAsia="Times New Roman" w:hAnsi="Arial" w:cs="Arial"/>
          <w:i/>
          <w:iCs/>
          <w:color w:val="0070C0"/>
          <w:sz w:val="28"/>
          <w:szCs w:val="28"/>
          <w:lang w:val="es-UY" w:eastAsia="es-UY"/>
        </w:rPr>
      </w:pPr>
    </w:p>
    <w:p w14:paraId="64B0FAD3" w14:textId="011DA3DA" w:rsidR="00CC2E1E" w:rsidRDefault="00CC2E1E" w:rsidP="00785BDE">
      <w:pPr>
        <w:spacing w:after="0" w:line="240" w:lineRule="auto"/>
        <w:jc w:val="both"/>
        <w:textAlignment w:val="baseline"/>
        <w:rPr>
          <w:rFonts w:ascii="Arial" w:eastAsia="Times New Roman" w:hAnsi="Arial" w:cs="Arial"/>
          <w:i/>
          <w:iCs/>
          <w:color w:val="0070C0"/>
          <w:sz w:val="28"/>
          <w:szCs w:val="28"/>
          <w:lang w:val="es-UY" w:eastAsia="es-UY"/>
        </w:rPr>
      </w:pPr>
      <w:r w:rsidRPr="00785BDE">
        <w:rPr>
          <w:rFonts w:ascii="Arial" w:eastAsia="Times New Roman" w:hAnsi="Arial" w:cs="Arial"/>
          <w:i/>
          <w:iCs/>
          <w:color w:val="0070C0"/>
          <w:sz w:val="28"/>
          <w:szCs w:val="28"/>
          <w:lang w:val="es-UY" w:eastAsia="es-UY"/>
        </w:rPr>
        <w:t>Traducción de Mª José Gavito Milano</w:t>
      </w:r>
    </w:p>
    <w:p w14:paraId="69239A3D" w14:textId="77777777" w:rsidR="00785BDE" w:rsidRPr="00785BDE" w:rsidRDefault="00785BDE" w:rsidP="00785BDE">
      <w:pPr>
        <w:spacing w:after="0" w:line="240" w:lineRule="auto"/>
        <w:jc w:val="both"/>
        <w:textAlignment w:val="baseline"/>
        <w:rPr>
          <w:rFonts w:ascii="Arial" w:eastAsia="Times New Roman" w:hAnsi="Arial" w:cs="Arial"/>
          <w:i/>
          <w:iCs/>
          <w:color w:val="0070C0"/>
          <w:sz w:val="28"/>
          <w:szCs w:val="28"/>
          <w:lang w:val="es-UY" w:eastAsia="es-UY"/>
        </w:rPr>
      </w:pPr>
    </w:p>
    <w:p w14:paraId="74934B3D" w14:textId="65BEF337" w:rsidR="002E2F5B" w:rsidRPr="00785BDE" w:rsidRDefault="00785BDE" w:rsidP="00785BDE">
      <w:pPr>
        <w:spacing w:after="0" w:line="240" w:lineRule="auto"/>
        <w:jc w:val="both"/>
        <w:rPr>
          <w:rFonts w:ascii="Arial" w:hAnsi="Arial" w:cs="Arial"/>
          <w:i/>
          <w:iCs/>
          <w:color w:val="0070C0"/>
          <w:sz w:val="28"/>
          <w:szCs w:val="28"/>
        </w:rPr>
      </w:pPr>
      <w:r>
        <w:rPr>
          <w:rFonts w:ascii="Arial" w:hAnsi="Arial" w:cs="Arial"/>
          <w:i/>
          <w:iCs/>
          <w:color w:val="0070C0"/>
          <w:sz w:val="28"/>
          <w:szCs w:val="28"/>
          <w:lang w:val="es-UY"/>
        </w:rPr>
        <w:t xml:space="preserve">Publicado en: </w:t>
      </w:r>
      <w:hyperlink r:id="rId4" w:history="1">
        <w:r w:rsidRPr="00BA2834">
          <w:rPr>
            <w:rStyle w:val="Hipervnculo"/>
            <w:rFonts w:ascii="Arial" w:hAnsi="Arial" w:cs="Arial"/>
            <w:i/>
            <w:iCs/>
            <w:sz w:val="28"/>
            <w:szCs w:val="28"/>
          </w:rPr>
          <w:t>https://leonardoboff.org/2021/10/31/el-confronto-de-dos-tipos-de-poder-en-la-iglesia/?fbclid=IwAR0ro6LWSvX6vwrfTy9D2_YgiBkg8Nvra1q_i9znBtRvd2BqU1FJrGTYGgk</w:t>
        </w:r>
      </w:hyperlink>
    </w:p>
    <w:p w14:paraId="4EB7D23E" w14:textId="77777777" w:rsidR="006804E5" w:rsidRPr="00785BDE" w:rsidRDefault="006804E5" w:rsidP="00785BDE">
      <w:pPr>
        <w:spacing w:after="0" w:line="240" w:lineRule="auto"/>
        <w:jc w:val="both"/>
        <w:rPr>
          <w:rFonts w:ascii="Arial" w:hAnsi="Arial" w:cs="Arial"/>
          <w:i/>
          <w:iCs/>
          <w:color w:val="0070C0"/>
          <w:sz w:val="28"/>
          <w:szCs w:val="28"/>
        </w:rPr>
      </w:pPr>
    </w:p>
    <w:sectPr w:rsidR="006804E5" w:rsidRPr="00785BD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1E"/>
    <w:rsid w:val="00111194"/>
    <w:rsid w:val="002E2F5B"/>
    <w:rsid w:val="006804E5"/>
    <w:rsid w:val="00785BDE"/>
    <w:rsid w:val="00CC2E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CD8DB"/>
  <w15:chartTrackingRefBased/>
  <w15:docId w15:val="{EAF62647-084B-473F-930C-3BCA6CED5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804E5"/>
    <w:rPr>
      <w:color w:val="0563C1" w:themeColor="hyperlink"/>
      <w:u w:val="single"/>
    </w:rPr>
  </w:style>
  <w:style w:type="character" w:styleId="Mencinsinresolver">
    <w:name w:val="Unresolved Mention"/>
    <w:basedOn w:val="Fuentedeprrafopredeter"/>
    <w:uiPriority w:val="99"/>
    <w:semiHidden/>
    <w:unhideWhenUsed/>
    <w:rsid w:val="00680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521">
      <w:bodyDiv w:val="1"/>
      <w:marLeft w:val="0"/>
      <w:marRight w:val="0"/>
      <w:marTop w:val="0"/>
      <w:marBottom w:val="0"/>
      <w:divBdr>
        <w:top w:val="none" w:sz="0" w:space="0" w:color="auto"/>
        <w:left w:val="none" w:sz="0" w:space="0" w:color="auto"/>
        <w:bottom w:val="none" w:sz="0" w:space="0" w:color="auto"/>
        <w:right w:val="none" w:sz="0" w:space="0" w:color="auto"/>
      </w:divBdr>
      <w:divsChild>
        <w:div w:id="1040058006">
          <w:marLeft w:val="0"/>
          <w:marRight w:val="0"/>
          <w:marTop w:val="0"/>
          <w:marBottom w:val="0"/>
          <w:divBdr>
            <w:top w:val="none" w:sz="0" w:space="10" w:color="auto"/>
            <w:left w:val="none" w:sz="0" w:space="0" w:color="auto"/>
            <w:bottom w:val="dotted" w:sz="6" w:space="10" w:color="auto"/>
            <w:right w:val="none" w:sz="0" w:space="0" w:color="auto"/>
          </w:divBdr>
        </w:div>
        <w:div w:id="902371043">
          <w:marLeft w:val="0"/>
          <w:marRight w:val="0"/>
          <w:marTop w:val="38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onardoboff.org/2021/10/31/el-confronto-de-dos-tipos-de-poder-en-la-iglesia/?fbclid=IwAR0ro6LWSvX6vwrfTy9D2_YgiBkg8Nvra1q_i9znBtRvd2BqU1FJrGTYGg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1476</Words>
  <Characters>8122</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2021-11-08T19:03:00Z</dcterms:created>
  <dcterms:modified xsi:type="dcterms:W3CDTF">2021-11-15T11:28:00Z</dcterms:modified>
</cp:coreProperties>
</file>