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1DC" w:rsidRPr="00B111DC" w:rsidRDefault="00B111DC" w:rsidP="00B111DC">
      <w:pPr>
        <w:spacing w:after="90" w:line="351" w:lineRule="atLeast"/>
        <w:jc w:val="center"/>
        <w:textAlignment w:val="baseline"/>
        <w:outlineLvl w:val="0"/>
        <w:rPr>
          <w:rFonts w:ascii="Arial" w:eastAsia="Times New Roman" w:hAnsi="Arial" w:cs="Arial"/>
          <w:b/>
          <w:bCs/>
          <w:color w:val="4D5C7D"/>
          <w:kern w:val="36"/>
          <w:sz w:val="48"/>
          <w:szCs w:val="48"/>
          <w:lang w:eastAsia="es-ES"/>
        </w:rPr>
      </w:pPr>
      <w:r w:rsidRPr="00B111DC">
        <w:rPr>
          <w:rFonts w:ascii="Arial" w:eastAsia="Times New Roman" w:hAnsi="Arial" w:cs="Arial"/>
          <w:b/>
          <w:bCs/>
          <w:color w:val="4D5C7D"/>
          <w:kern w:val="36"/>
          <w:sz w:val="48"/>
          <w:szCs w:val="48"/>
          <w:lang w:eastAsia="es-ES"/>
        </w:rPr>
        <w:t>Interminable ola de ataques contra activistas y defensores</w:t>
      </w:r>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hyperlink r:id="rId5" w:history="1">
        <w:r w:rsidRPr="00B111DC">
          <w:rPr>
            <w:rFonts w:ascii="Arial" w:eastAsia="Times New Roman" w:hAnsi="Arial" w:cs="Arial"/>
            <w:i/>
            <w:iCs/>
            <w:color w:val="DE0000"/>
            <w:sz w:val="20"/>
            <w:lang w:eastAsia="es-ES"/>
          </w:rPr>
          <w:t xml:space="preserve">Giorgio </w:t>
        </w:r>
        <w:proofErr w:type="spellStart"/>
        <w:r w:rsidRPr="00B111DC">
          <w:rPr>
            <w:rFonts w:ascii="Arial" w:eastAsia="Times New Roman" w:hAnsi="Arial" w:cs="Arial"/>
            <w:i/>
            <w:iCs/>
            <w:color w:val="DE0000"/>
            <w:sz w:val="20"/>
            <w:lang w:eastAsia="es-ES"/>
          </w:rPr>
          <w:t>Trucchi</w:t>
        </w:r>
        <w:proofErr w:type="spellEnd"/>
      </w:hyperlink>
    </w:p>
    <w:p w:rsidR="00B111DC" w:rsidRPr="00B111DC" w:rsidRDefault="00B111DC" w:rsidP="00B111DC">
      <w:pPr>
        <w:spacing w:after="0" w:line="0" w:lineRule="atLeast"/>
        <w:ind w:left="45" w:right="45"/>
        <w:jc w:val="right"/>
        <w:textAlignment w:val="baseline"/>
        <w:rPr>
          <w:rFonts w:ascii="Times New Roman" w:eastAsia="Times New Roman" w:hAnsi="Times New Roman" w:cs="Times New Roman"/>
          <w:sz w:val="17"/>
          <w:szCs w:val="17"/>
          <w:bdr w:val="none" w:sz="0" w:space="0" w:color="auto" w:frame="1"/>
          <w:lang w:eastAsia="es-ES"/>
        </w:rPr>
      </w:pP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r w:rsidRPr="00B111DC">
        <w:rPr>
          <w:rFonts w:ascii="Verdana" w:eastAsia="Times New Roman" w:hAnsi="Verdana" w:cs="Arial"/>
          <w:color w:val="000000"/>
          <w:sz w:val="17"/>
          <w:lang w:eastAsia="es-ES"/>
        </w:rPr>
        <w:t> </w:t>
      </w:r>
      <w:r w:rsidRPr="00B111DC">
        <w:rPr>
          <w:rFonts w:ascii="Arial" w:eastAsia="Times New Roman" w:hAnsi="Arial" w:cs="Arial"/>
          <w:color w:val="000000"/>
          <w:sz w:val="18"/>
          <w:lang w:eastAsia="es-ES"/>
        </w:rPr>
        <w:t> </w:t>
      </w:r>
    </w:p>
    <w:p w:rsidR="00B111DC" w:rsidRPr="00B111DC" w:rsidRDefault="00B111DC" w:rsidP="00B111DC">
      <w:pPr>
        <w:spacing w:after="0" w:line="312" w:lineRule="atLeast"/>
        <w:textAlignment w:val="baseline"/>
        <w:rPr>
          <w:rFonts w:ascii="Times New Roman" w:eastAsia="Times New Roman" w:hAnsi="Times New Roman" w:cs="Times New Roman"/>
          <w:sz w:val="18"/>
          <w:szCs w:val="18"/>
          <w:lang w:eastAsia="es-ES"/>
        </w:rPr>
      </w:pPr>
      <w:r w:rsidRPr="00B111DC">
        <w:rPr>
          <w:rFonts w:ascii="Arial" w:eastAsia="Times New Roman" w:hAnsi="Arial" w:cs="Arial"/>
          <w:color w:val="000000"/>
          <w:sz w:val="18"/>
          <w:szCs w:val="18"/>
          <w:lang w:eastAsia="es-ES"/>
        </w:rPr>
        <w:t>08/07/2016</w:t>
      </w:r>
    </w:p>
    <w:p w:rsidR="00B111DC" w:rsidRPr="00B111DC" w:rsidRDefault="00B111DC" w:rsidP="00B111DC">
      <w:pPr>
        <w:spacing w:after="0" w:line="312" w:lineRule="atLeast"/>
        <w:jc w:val="right"/>
        <w:textAlignment w:val="baseline"/>
        <w:rPr>
          <w:rFonts w:ascii="Arial" w:eastAsia="Times New Roman" w:hAnsi="Arial" w:cs="Arial"/>
          <w:color w:val="000000"/>
          <w:sz w:val="18"/>
          <w:szCs w:val="18"/>
          <w:lang w:eastAsia="es-ES"/>
        </w:rPr>
      </w:pPr>
      <w:r>
        <w:rPr>
          <w:rFonts w:ascii="Arial" w:eastAsia="Times New Roman" w:hAnsi="Arial" w:cs="Arial"/>
          <w:noProof/>
          <w:color w:val="000000"/>
          <w:sz w:val="18"/>
          <w:szCs w:val="18"/>
          <w:lang w:eastAsia="es-ES"/>
        </w:rPr>
        <w:drawing>
          <wp:anchor distT="0" distB="0" distL="114300" distR="114300" simplePos="0" relativeHeight="251658240" behindDoc="1" locked="0" layoutInCell="1" allowOverlap="1">
            <wp:simplePos x="0" y="0"/>
            <wp:positionH relativeFrom="column">
              <wp:posOffset>81915</wp:posOffset>
            </wp:positionH>
            <wp:positionV relativeFrom="paragraph">
              <wp:posOffset>55245</wp:posOffset>
            </wp:positionV>
            <wp:extent cx="4967605" cy="2400300"/>
            <wp:effectExtent l="19050" t="0" r="4445" b="0"/>
            <wp:wrapTight wrapText="bothSides">
              <wp:wrapPolygon edited="0">
                <wp:start x="-83" y="0"/>
                <wp:lineTo x="-83" y="21429"/>
                <wp:lineTo x="21619" y="21429"/>
                <wp:lineTo x="21619" y="0"/>
                <wp:lineTo x="-83" y="0"/>
              </wp:wrapPolygon>
            </wp:wrapTight>
            <wp:docPr id="2" name="Imagen 2" descr="Foto: Prens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rensa Libre"/>
                    <pic:cNvPicPr>
                      <a:picLocks noChangeAspect="1" noChangeArrowheads="1"/>
                    </pic:cNvPicPr>
                  </pic:nvPicPr>
                  <pic:blipFill>
                    <a:blip r:embed="rId6"/>
                    <a:srcRect/>
                    <a:stretch>
                      <a:fillRect/>
                    </a:stretch>
                  </pic:blipFill>
                  <pic:spPr bwMode="auto">
                    <a:xfrm>
                      <a:off x="0" y="0"/>
                      <a:ext cx="4967605" cy="2400300"/>
                    </a:xfrm>
                    <a:prstGeom prst="rect">
                      <a:avLst/>
                    </a:prstGeom>
                    <a:noFill/>
                    <a:ln w="9525">
                      <a:noFill/>
                      <a:miter lim="800000"/>
                      <a:headEnd/>
                      <a:tailEnd/>
                    </a:ln>
                  </pic:spPr>
                </pic:pic>
              </a:graphicData>
            </a:graphic>
          </wp:anchor>
        </w:drawing>
      </w:r>
      <w:r w:rsidRPr="00B111DC">
        <w:rPr>
          <w:rFonts w:ascii="Arial" w:eastAsia="Times New Roman" w:hAnsi="Arial" w:cs="Arial"/>
          <w:color w:val="000000"/>
          <w:sz w:val="18"/>
          <w:szCs w:val="18"/>
          <w:lang w:eastAsia="es-ES"/>
        </w:rPr>
        <w:t>Opinión</w:t>
      </w:r>
    </w:p>
    <w:p w:rsidR="00B111DC" w:rsidRPr="00B111DC" w:rsidRDefault="00B111DC" w:rsidP="00B111DC">
      <w:pPr>
        <w:spacing w:after="0" w:line="312" w:lineRule="atLeast"/>
        <w:ind w:left="1500" w:right="-7196"/>
        <w:textAlignment w:val="baseline"/>
        <w:rPr>
          <w:rFonts w:ascii="Arial" w:eastAsia="Times New Roman" w:hAnsi="Arial" w:cs="Arial"/>
          <w:color w:val="000000"/>
          <w:sz w:val="18"/>
          <w:szCs w:val="18"/>
          <w:lang w:eastAsia="es-ES"/>
        </w:rPr>
      </w:pPr>
    </w:p>
    <w:p w:rsidR="00B111DC" w:rsidRP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b/>
          <w:bCs/>
          <w:i/>
          <w:iCs/>
          <w:color w:val="000000"/>
          <w:sz w:val="24"/>
          <w:szCs w:val="24"/>
          <w:lang w:eastAsia="es-ES"/>
        </w:rPr>
        <w:t>El asesinato de Brenda Estrada es sólo el último de una larga lista de crímenes</w:t>
      </w:r>
    </w:p>
    <w:p w:rsidR="00B111DC" w:rsidRP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t> </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Defender los derechos laborales, la tierra, los recursos naturales y ejercer el periodismo siguen siendo actividades de altísimo riesgo en Guatemala. Según la Red de Defensores de Derechos Laborales, entre 2004 y 2013 fueron asesinados al menos 70 sindicalistas. Sólo 18 de estos casos fueron juzgados y cuentan con una sentencia firme.</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 xml:space="preserve">El último asesinato ocurrió el pasado 19 de junio, cuando Brenda </w:t>
      </w:r>
      <w:proofErr w:type="spellStart"/>
      <w:r w:rsidRPr="00B111DC">
        <w:rPr>
          <w:rFonts w:ascii="Arial" w:eastAsia="Times New Roman" w:hAnsi="Arial" w:cs="Arial"/>
          <w:color w:val="000000"/>
          <w:sz w:val="24"/>
          <w:szCs w:val="24"/>
          <w:lang w:eastAsia="es-ES"/>
        </w:rPr>
        <w:t>Marleni</w:t>
      </w:r>
      <w:proofErr w:type="spellEnd"/>
      <w:r w:rsidRPr="00B111DC">
        <w:rPr>
          <w:rFonts w:ascii="Arial" w:eastAsia="Times New Roman" w:hAnsi="Arial" w:cs="Arial"/>
          <w:color w:val="000000"/>
          <w:sz w:val="24"/>
          <w:szCs w:val="24"/>
          <w:lang w:eastAsia="es-ES"/>
        </w:rPr>
        <w:t xml:space="preserve"> Estrada Tambito, subcoordinadora de la Comisión de Asesoría Jurídica de la Unidad Sindical de Trabajadores de Guatemala (</w:t>
      </w:r>
      <w:proofErr w:type="spellStart"/>
      <w:r w:rsidRPr="00B111DC">
        <w:rPr>
          <w:rFonts w:ascii="Arial" w:eastAsia="Times New Roman" w:hAnsi="Arial" w:cs="Arial"/>
          <w:color w:val="000000"/>
          <w:sz w:val="24"/>
          <w:szCs w:val="24"/>
          <w:lang w:eastAsia="es-ES"/>
        </w:rPr>
        <w:t>Unsitragua</w:t>
      </w:r>
      <w:proofErr w:type="spellEnd"/>
      <w:r w:rsidRPr="00B111DC">
        <w:rPr>
          <w:rFonts w:ascii="Arial" w:eastAsia="Times New Roman" w:hAnsi="Arial" w:cs="Arial"/>
          <w:color w:val="000000"/>
          <w:sz w:val="24"/>
          <w:szCs w:val="24"/>
          <w:lang w:eastAsia="es-ES"/>
        </w:rPr>
        <w:t xml:space="preserve"> Histórica) e hija del reconocido sindicalista Jorge Estrada, fue ultimada por unos desconocidos.</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La defensora de los derechos laborales conducía por la Zona 1 de la capital guatemalteca cuando un vehículo se le acercó y los ocupantes abrieron fuego. Brenda Estrada recibió cinco impactos de bala que le quitaron la vida.</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Antes de ser asesinada, Estrada estaba asesorando, junto con su padre, la negociación de pactos colectivos en fincas bananeras del Departamento de Izabal.</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lastRenderedPageBreak/>
        <w:t>El grave atentado generó el repudio de organizaciones nacionales e internacionales.</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t>La Federación Sindical de Trabajadores de la Alimentación, Agro Industria y Similares (</w:t>
      </w:r>
      <w:proofErr w:type="spellStart"/>
      <w:r w:rsidRPr="00B111DC">
        <w:rPr>
          <w:rFonts w:ascii="Arial" w:eastAsia="Times New Roman" w:hAnsi="Arial" w:cs="Arial"/>
          <w:color w:val="000000"/>
          <w:sz w:val="24"/>
          <w:szCs w:val="24"/>
          <w:lang w:eastAsia="es-ES"/>
        </w:rPr>
        <w:t>Festras</w:t>
      </w:r>
      <w:proofErr w:type="spellEnd"/>
      <w:r w:rsidRPr="00B111DC">
        <w:rPr>
          <w:rFonts w:ascii="Arial" w:eastAsia="Times New Roman" w:hAnsi="Arial" w:cs="Arial"/>
          <w:color w:val="000000"/>
          <w:sz w:val="24"/>
          <w:szCs w:val="24"/>
          <w:lang w:eastAsia="es-ES"/>
        </w:rPr>
        <w:t>) expresó su “más enérgico rechazo y condena” por el asesinato, y se solidarizó tanto con la familia de la sindicalista como con el Movimiento Sindical y Popular Autónomo Guatemalteco [1].</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Asimismo, instó al Ministerio Público y a la Comisión Internacional Contra la Impunidad en Guatemala (CICIG) a investigar y castigar a los responsables materiales e intelectuales del atroz crimen.</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Por otro lado, el Sindicato de Trabajadores de Embotelladora Central S.A. (STECSA) solicitó a las organizaciones sindicales nacionales e internacionales, entidades de derechos humanos y al pueblo guatemalteco, “sumarse a la condena y la exigencia para que este hecho no sea otro crimen contra el movimiento sindical y social guatemalteco que quede en la impunidad”.</w:t>
      </w:r>
    </w:p>
    <w:p w:rsidR="00B111DC" w:rsidRDefault="00B111DC" w:rsidP="00B111DC">
      <w:pPr>
        <w:spacing w:after="0" w:line="312" w:lineRule="atLeast"/>
        <w:jc w:val="both"/>
        <w:textAlignment w:val="baseline"/>
        <w:rPr>
          <w:rFonts w:ascii="Arial" w:eastAsia="Times New Roman" w:hAnsi="Arial" w:cs="Arial"/>
          <w:b/>
          <w:bCs/>
          <w:color w:val="000000"/>
          <w:sz w:val="24"/>
          <w:szCs w:val="24"/>
          <w:lang w:eastAsia="es-ES"/>
        </w:rPr>
      </w:pPr>
      <w:r w:rsidRPr="00B111DC">
        <w:rPr>
          <w:rFonts w:ascii="Arial" w:eastAsia="Times New Roman" w:hAnsi="Arial" w:cs="Arial"/>
          <w:color w:val="000000"/>
          <w:sz w:val="24"/>
          <w:szCs w:val="24"/>
          <w:lang w:eastAsia="es-ES"/>
        </w:rPr>
        <w:br/>
      </w:r>
      <w:r w:rsidRPr="00B111DC">
        <w:rPr>
          <w:rFonts w:ascii="Arial" w:eastAsia="Times New Roman" w:hAnsi="Arial" w:cs="Arial"/>
          <w:b/>
          <w:bCs/>
          <w:color w:val="000000"/>
          <w:sz w:val="24"/>
          <w:szCs w:val="24"/>
          <w:lang w:eastAsia="es-ES"/>
        </w:rPr>
        <w:t>Condena internacional</w:t>
      </w:r>
    </w:p>
    <w:p w:rsidR="00B111DC" w:rsidRDefault="00B111DC" w:rsidP="00B111DC">
      <w:pPr>
        <w:spacing w:after="0" w:line="312" w:lineRule="atLeast"/>
        <w:jc w:val="both"/>
        <w:textAlignment w:val="baseline"/>
        <w:rPr>
          <w:rFonts w:ascii="Arial" w:eastAsia="Times New Roman" w:hAnsi="Arial" w:cs="Arial"/>
          <w:b/>
          <w:bCs/>
          <w:color w:val="000000"/>
          <w:sz w:val="24"/>
          <w:szCs w:val="24"/>
          <w:lang w:eastAsia="es-ES"/>
        </w:rPr>
      </w:pPr>
      <w:r w:rsidRPr="00B111DC">
        <w:rPr>
          <w:rFonts w:ascii="Arial" w:eastAsia="Times New Roman" w:hAnsi="Arial" w:cs="Arial"/>
          <w:b/>
          <w:bCs/>
          <w:color w:val="000000"/>
          <w:sz w:val="24"/>
          <w:szCs w:val="24"/>
          <w:lang w:eastAsia="es-ES"/>
        </w:rPr>
        <w:t>No más impunidad</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El Observatorio para la Protección de los Defensores de Derechos Humanos, programa conjunto de la Organización Mundial Contra la Tortura (OMCT) y de la Federación Internacional de Derechos Humanos (FIDH), se pronunció con fuerza contra el asesinato de Brenda Estrada.</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En un comunicado expresó su “absoluto rechazo” y exigió que las autoridades competentes emprendan “una investigación inmediata, exhaustiva e imparcial sobre los hechos ocurridos, así como sobre los demás asesinatos de personas defensoras de derechos humanos en Guatemala”.</w:t>
      </w:r>
    </w:p>
    <w:p w:rsid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br/>
        <w:t xml:space="preserve">Señaló que este nuevo ataque mortal se produce poco tiempo después de los asesinatos del dirigente social Daniel </w:t>
      </w:r>
      <w:proofErr w:type="spellStart"/>
      <w:r w:rsidRPr="00B111DC">
        <w:rPr>
          <w:rFonts w:ascii="Arial" w:eastAsia="Times New Roman" w:hAnsi="Arial" w:cs="Arial"/>
          <w:color w:val="000000"/>
          <w:sz w:val="24"/>
          <w:szCs w:val="24"/>
          <w:lang w:eastAsia="es-ES"/>
        </w:rPr>
        <w:t>Choc</w:t>
      </w:r>
      <w:proofErr w:type="spellEnd"/>
      <w:r w:rsidRPr="00B111DC">
        <w:rPr>
          <w:rFonts w:ascii="Arial" w:eastAsia="Times New Roman" w:hAnsi="Arial" w:cs="Arial"/>
          <w:color w:val="000000"/>
          <w:sz w:val="24"/>
          <w:szCs w:val="24"/>
          <w:lang w:eastAsia="es-ES"/>
        </w:rPr>
        <w:t xml:space="preserve"> Pop, de los periodistas Víctor Hugo Valdés Cardona y Diego Salomón Esteban Gaspar, y de los defensores de derechos humanos Walter </w:t>
      </w:r>
      <w:proofErr w:type="spellStart"/>
      <w:r w:rsidRPr="00B111DC">
        <w:rPr>
          <w:rFonts w:ascii="Arial" w:eastAsia="Times New Roman" w:hAnsi="Arial" w:cs="Arial"/>
          <w:color w:val="000000"/>
          <w:sz w:val="24"/>
          <w:szCs w:val="24"/>
          <w:lang w:eastAsia="es-ES"/>
        </w:rPr>
        <w:t>Manfredo</w:t>
      </w:r>
      <w:proofErr w:type="spellEnd"/>
      <w:r w:rsidRPr="00B111DC">
        <w:rPr>
          <w:rFonts w:ascii="Arial" w:eastAsia="Times New Roman" w:hAnsi="Arial" w:cs="Arial"/>
          <w:color w:val="000000"/>
          <w:sz w:val="24"/>
          <w:szCs w:val="24"/>
          <w:lang w:eastAsia="es-ES"/>
        </w:rPr>
        <w:t xml:space="preserve"> Méndez Barrios, Rigoberto Lima </w:t>
      </w:r>
      <w:proofErr w:type="spellStart"/>
      <w:r w:rsidRPr="00B111DC">
        <w:rPr>
          <w:rFonts w:ascii="Arial" w:eastAsia="Times New Roman" w:hAnsi="Arial" w:cs="Arial"/>
          <w:color w:val="000000"/>
          <w:sz w:val="24"/>
          <w:szCs w:val="24"/>
          <w:lang w:eastAsia="es-ES"/>
        </w:rPr>
        <w:t>Choc</w:t>
      </w:r>
      <w:proofErr w:type="spellEnd"/>
      <w:r w:rsidRPr="00B111DC">
        <w:rPr>
          <w:rFonts w:ascii="Arial" w:eastAsia="Times New Roman" w:hAnsi="Arial" w:cs="Arial"/>
          <w:color w:val="000000"/>
          <w:sz w:val="24"/>
          <w:szCs w:val="24"/>
          <w:lang w:eastAsia="es-ES"/>
        </w:rPr>
        <w:t xml:space="preserve"> y </w:t>
      </w:r>
      <w:proofErr w:type="spellStart"/>
      <w:r w:rsidRPr="00B111DC">
        <w:rPr>
          <w:rFonts w:ascii="Arial" w:eastAsia="Times New Roman" w:hAnsi="Arial" w:cs="Arial"/>
          <w:color w:val="000000"/>
          <w:sz w:val="24"/>
          <w:szCs w:val="24"/>
          <w:lang w:eastAsia="es-ES"/>
        </w:rPr>
        <w:t>Sebastian</w:t>
      </w:r>
      <w:proofErr w:type="spellEnd"/>
      <w:r w:rsidRPr="00B111DC">
        <w:rPr>
          <w:rFonts w:ascii="Arial" w:eastAsia="Times New Roman" w:hAnsi="Arial" w:cs="Arial"/>
          <w:color w:val="000000"/>
          <w:sz w:val="24"/>
          <w:szCs w:val="24"/>
          <w:lang w:eastAsia="es-ES"/>
        </w:rPr>
        <w:t xml:space="preserve"> Córdova </w:t>
      </w:r>
      <w:proofErr w:type="spellStart"/>
      <w:r w:rsidRPr="00B111DC">
        <w:rPr>
          <w:rFonts w:ascii="Arial" w:eastAsia="Times New Roman" w:hAnsi="Arial" w:cs="Arial"/>
          <w:color w:val="000000"/>
          <w:sz w:val="24"/>
          <w:szCs w:val="24"/>
          <w:lang w:eastAsia="es-ES"/>
        </w:rPr>
        <w:t>Sajic</w:t>
      </w:r>
      <w:proofErr w:type="spellEnd"/>
      <w:r w:rsidRPr="00B111DC">
        <w:rPr>
          <w:rFonts w:ascii="Arial" w:eastAsia="Times New Roman" w:hAnsi="Arial" w:cs="Arial"/>
          <w:color w:val="000000"/>
          <w:sz w:val="24"/>
          <w:szCs w:val="24"/>
          <w:lang w:eastAsia="es-ES"/>
        </w:rPr>
        <w:t>.</w:t>
      </w:r>
    </w:p>
    <w:p w:rsidR="00B111DC" w:rsidRDefault="00B111DC" w:rsidP="00B111DC">
      <w:pPr>
        <w:spacing w:after="0" w:line="312" w:lineRule="atLeast"/>
        <w:jc w:val="both"/>
        <w:textAlignment w:val="baseline"/>
        <w:rPr>
          <w:rFonts w:ascii="Arial" w:eastAsia="Times New Roman" w:hAnsi="Arial" w:cs="Arial"/>
          <w:b/>
          <w:bCs/>
          <w:color w:val="000000"/>
          <w:sz w:val="24"/>
          <w:szCs w:val="24"/>
          <w:lang w:eastAsia="es-ES"/>
        </w:rPr>
      </w:pPr>
      <w:r w:rsidRPr="00B111DC">
        <w:rPr>
          <w:rFonts w:ascii="Arial" w:eastAsia="Times New Roman" w:hAnsi="Arial" w:cs="Arial"/>
          <w:color w:val="000000"/>
          <w:sz w:val="24"/>
          <w:szCs w:val="24"/>
          <w:lang w:eastAsia="es-ES"/>
        </w:rPr>
        <w:br/>
      </w:r>
      <w:r w:rsidRPr="00B111DC">
        <w:rPr>
          <w:rFonts w:ascii="Arial" w:eastAsia="Times New Roman" w:hAnsi="Arial" w:cs="Arial"/>
          <w:b/>
          <w:bCs/>
          <w:color w:val="000000"/>
          <w:sz w:val="24"/>
          <w:szCs w:val="24"/>
          <w:lang w:eastAsia="es-ES"/>
        </w:rPr>
        <w:t>Ataque indiscriminado</w:t>
      </w:r>
    </w:p>
    <w:p w:rsidR="00B111DC" w:rsidRP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b/>
          <w:bCs/>
          <w:color w:val="000000"/>
          <w:sz w:val="24"/>
          <w:szCs w:val="24"/>
          <w:lang w:eastAsia="es-ES"/>
        </w:rPr>
        <w:t>Defensores y defensoras bajo ataque</w:t>
      </w:r>
    </w:p>
    <w:p w:rsidR="00B111DC" w:rsidRPr="00B111DC" w:rsidRDefault="00B111DC" w:rsidP="00B111DC">
      <w:pPr>
        <w:spacing w:after="0" w:line="312" w:lineRule="atLeast"/>
        <w:jc w:val="both"/>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t> </w:t>
      </w:r>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r w:rsidRPr="00B111DC">
        <w:rPr>
          <w:rFonts w:ascii="Arial" w:eastAsia="Times New Roman" w:hAnsi="Arial" w:cs="Arial"/>
          <w:color w:val="000000"/>
          <w:sz w:val="18"/>
          <w:szCs w:val="18"/>
          <w:lang w:eastAsia="es-ES"/>
        </w:rPr>
        <w:t> </w:t>
      </w:r>
    </w:p>
    <w:p w:rsidR="00B111DC" w:rsidRPr="00B111DC" w:rsidRDefault="00B111DC" w:rsidP="00B111DC">
      <w:pPr>
        <w:spacing w:after="0" w:line="312" w:lineRule="atLeast"/>
        <w:jc w:val="center"/>
        <w:textAlignment w:val="baseline"/>
        <w:rPr>
          <w:rFonts w:ascii="Arial" w:eastAsia="Times New Roman" w:hAnsi="Arial" w:cs="Arial"/>
          <w:color w:val="000000"/>
          <w:sz w:val="18"/>
          <w:szCs w:val="18"/>
          <w:lang w:eastAsia="es-ES"/>
        </w:rPr>
      </w:pPr>
      <w:r>
        <w:rPr>
          <w:rFonts w:ascii="Arial" w:eastAsia="Times New Roman" w:hAnsi="Arial" w:cs="Arial"/>
          <w:noProof/>
          <w:color w:val="000000"/>
          <w:sz w:val="18"/>
          <w:szCs w:val="18"/>
          <w:lang w:eastAsia="es-ES"/>
        </w:rPr>
        <w:lastRenderedPageBreak/>
        <w:drawing>
          <wp:inline distT="0" distB="0" distL="0" distR="0">
            <wp:extent cx="3219450" cy="2414588"/>
            <wp:effectExtent l="19050" t="0" r="0" b="0"/>
            <wp:docPr id="3" name="Imagen 3" descr="Lesbia  Urquía, dirigente social asesinada el 6 de julio. Foto: Tele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bia  Urquía, dirigente social asesinada el 6 de julio. Foto: Telesur"/>
                    <pic:cNvPicPr>
                      <a:picLocks noChangeAspect="1" noChangeArrowheads="1"/>
                    </pic:cNvPicPr>
                  </pic:nvPicPr>
                  <pic:blipFill>
                    <a:blip r:embed="rId7"/>
                    <a:srcRect/>
                    <a:stretch>
                      <a:fillRect/>
                    </a:stretch>
                  </pic:blipFill>
                  <pic:spPr bwMode="auto">
                    <a:xfrm>
                      <a:off x="0" y="0"/>
                      <a:ext cx="3219450" cy="2414588"/>
                    </a:xfrm>
                    <a:prstGeom prst="rect">
                      <a:avLst/>
                    </a:prstGeom>
                    <a:noFill/>
                    <a:ln w="9525">
                      <a:noFill/>
                      <a:miter lim="800000"/>
                      <a:headEnd/>
                      <a:tailEnd/>
                    </a:ln>
                  </pic:spPr>
                </pic:pic>
              </a:graphicData>
            </a:graphic>
          </wp:inline>
        </w:drawing>
      </w:r>
    </w:p>
    <w:p w:rsidR="00B111DC" w:rsidRPr="00B111DC" w:rsidRDefault="00B111DC" w:rsidP="00B111DC">
      <w:pPr>
        <w:spacing w:after="0" w:line="312" w:lineRule="atLeast"/>
        <w:jc w:val="center"/>
        <w:textAlignment w:val="baseline"/>
        <w:rPr>
          <w:rFonts w:ascii="Arial" w:eastAsia="Times New Roman" w:hAnsi="Arial" w:cs="Arial"/>
          <w:color w:val="000000"/>
          <w:sz w:val="18"/>
          <w:szCs w:val="18"/>
          <w:lang w:eastAsia="es-ES"/>
        </w:rPr>
      </w:pPr>
      <w:r w:rsidRPr="00B111DC">
        <w:rPr>
          <w:rFonts w:ascii="Arial" w:eastAsia="Times New Roman" w:hAnsi="Arial" w:cs="Arial"/>
          <w:i/>
          <w:iCs/>
          <w:color w:val="000000"/>
          <w:sz w:val="18"/>
          <w:lang w:eastAsia="es-ES"/>
        </w:rPr>
        <w:t xml:space="preserve">Lesbia  </w:t>
      </w:r>
      <w:proofErr w:type="spellStart"/>
      <w:r w:rsidRPr="00B111DC">
        <w:rPr>
          <w:rFonts w:ascii="Arial" w:eastAsia="Times New Roman" w:hAnsi="Arial" w:cs="Arial"/>
          <w:i/>
          <w:iCs/>
          <w:color w:val="000000"/>
          <w:sz w:val="18"/>
          <w:lang w:eastAsia="es-ES"/>
        </w:rPr>
        <w:t>Urquía</w:t>
      </w:r>
      <w:proofErr w:type="spellEnd"/>
      <w:r w:rsidRPr="00B111DC">
        <w:rPr>
          <w:rFonts w:ascii="Arial" w:eastAsia="Times New Roman" w:hAnsi="Arial" w:cs="Arial"/>
          <w:i/>
          <w:iCs/>
          <w:color w:val="000000"/>
          <w:sz w:val="18"/>
          <w:lang w:eastAsia="es-ES"/>
        </w:rPr>
        <w:t xml:space="preserve">, dirigente social asesinada el 6 de julio. Foto: </w:t>
      </w:r>
      <w:proofErr w:type="spellStart"/>
      <w:r w:rsidRPr="00B111DC">
        <w:rPr>
          <w:rFonts w:ascii="Arial" w:eastAsia="Times New Roman" w:hAnsi="Arial" w:cs="Arial"/>
          <w:i/>
          <w:iCs/>
          <w:color w:val="000000"/>
          <w:sz w:val="18"/>
          <w:lang w:eastAsia="es-ES"/>
        </w:rPr>
        <w:t>Telesur</w:t>
      </w:r>
      <w:proofErr w:type="spellEnd"/>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r w:rsidRPr="00B111DC">
        <w:rPr>
          <w:rFonts w:ascii="Arial" w:eastAsia="Times New Roman" w:hAnsi="Arial" w:cs="Arial"/>
          <w:color w:val="000000"/>
          <w:sz w:val="18"/>
          <w:szCs w:val="18"/>
          <w:lang w:eastAsia="es-ES"/>
        </w:rPr>
        <w:t> </w:t>
      </w:r>
    </w:p>
    <w:p w:rsidR="00B111DC" w:rsidRPr="00B111DC" w:rsidRDefault="00B111DC" w:rsidP="00B111DC">
      <w:pPr>
        <w:spacing w:after="0" w:line="312" w:lineRule="atLeast"/>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t xml:space="preserve">De acuerdo con Global </w:t>
      </w:r>
      <w:proofErr w:type="spellStart"/>
      <w:r w:rsidRPr="00B111DC">
        <w:rPr>
          <w:rFonts w:ascii="Arial" w:eastAsia="Times New Roman" w:hAnsi="Arial" w:cs="Arial"/>
          <w:color w:val="000000"/>
          <w:sz w:val="24"/>
          <w:szCs w:val="24"/>
          <w:lang w:eastAsia="es-ES"/>
        </w:rPr>
        <w:t>Witness</w:t>
      </w:r>
      <w:proofErr w:type="spellEnd"/>
      <w:r w:rsidRPr="00B111DC">
        <w:rPr>
          <w:rFonts w:ascii="Arial" w:eastAsia="Times New Roman" w:hAnsi="Arial" w:cs="Arial"/>
          <w:color w:val="000000"/>
          <w:sz w:val="24"/>
          <w:szCs w:val="24"/>
          <w:lang w:eastAsia="es-ES"/>
        </w:rPr>
        <w:t>, en 2015 más de tres personas a la semana murieron asesinadas por defender su tierra, sus bosques y sus ríos frente a industrias destructivas.</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t>En su informe </w:t>
      </w:r>
      <w:hyperlink r:id="rId8" w:history="1">
        <w:r w:rsidRPr="00B111DC">
          <w:rPr>
            <w:rFonts w:ascii="Arial" w:eastAsia="Times New Roman" w:hAnsi="Arial" w:cs="Arial"/>
            <w:color w:val="A52A2A"/>
            <w:sz w:val="24"/>
            <w:szCs w:val="24"/>
            <w:u w:val="single"/>
            <w:lang w:eastAsia="es-ES"/>
          </w:rPr>
          <w:t>Terreno peligroso</w:t>
        </w:r>
      </w:hyperlink>
      <w:r w:rsidRPr="00B111DC">
        <w:rPr>
          <w:rFonts w:ascii="Arial" w:eastAsia="Times New Roman" w:hAnsi="Arial" w:cs="Arial"/>
          <w:color w:val="000000"/>
          <w:sz w:val="24"/>
          <w:szCs w:val="24"/>
          <w:lang w:eastAsia="es-ES"/>
        </w:rPr>
        <w:t> se documentan 185 muertes que acaecieron el año pasado en el mundo, un 60 por ciento más respecto al año anterior. De estos asesinatos, el 66 por ciento (122) ocurrió en América Latina.</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t>El </w:t>
      </w:r>
      <w:hyperlink r:id="rId9" w:history="1">
        <w:r w:rsidRPr="00B111DC">
          <w:rPr>
            <w:rFonts w:ascii="Arial" w:eastAsia="Times New Roman" w:hAnsi="Arial" w:cs="Arial"/>
            <w:color w:val="A52A2A"/>
            <w:sz w:val="24"/>
            <w:szCs w:val="24"/>
            <w:u w:val="single"/>
            <w:lang w:eastAsia="es-ES"/>
          </w:rPr>
          <w:t>último ataque mortal</w:t>
        </w:r>
      </w:hyperlink>
      <w:r w:rsidRPr="00B111DC">
        <w:rPr>
          <w:rFonts w:ascii="Arial" w:eastAsia="Times New Roman" w:hAnsi="Arial" w:cs="Arial"/>
          <w:color w:val="000000"/>
          <w:sz w:val="24"/>
          <w:szCs w:val="24"/>
          <w:lang w:eastAsia="es-ES"/>
        </w:rPr>
        <w:t xml:space="preserve"> se dio este 6 de julio en Honduras, donde la lideresa comunitaria y defensora ambiental Lesbia Yaneth </w:t>
      </w:r>
      <w:proofErr w:type="spellStart"/>
      <w:r w:rsidRPr="00B111DC">
        <w:rPr>
          <w:rFonts w:ascii="Arial" w:eastAsia="Times New Roman" w:hAnsi="Arial" w:cs="Arial"/>
          <w:color w:val="000000"/>
          <w:sz w:val="24"/>
          <w:szCs w:val="24"/>
          <w:lang w:eastAsia="es-ES"/>
        </w:rPr>
        <w:t>Urquía</w:t>
      </w:r>
      <w:proofErr w:type="spellEnd"/>
      <w:r w:rsidRPr="00B111DC">
        <w:rPr>
          <w:rFonts w:ascii="Arial" w:eastAsia="Times New Roman" w:hAnsi="Arial" w:cs="Arial"/>
          <w:color w:val="000000"/>
          <w:sz w:val="24"/>
          <w:szCs w:val="24"/>
          <w:lang w:eastAsia="es-ES"/>
        </w:rPr>
        <w:t xml:space="preserve"> </w:t>
      </w:r>
      <w:proofErr w:type="spellStart"/>
      <w:r w:rsidRPr="00B111DC">
        <w:rPr>
          <w:rFonts w:ascii="Arial" w:eastAsia="Times New Roman" w:hAnsi="Arial" w:cs="Arial"/>
          <w:color w:val="000000"/>
          <w:sz w:val="24"/>
          <w:szCs w:val="24"/>
          <w:lang w:eastAsia="es-ES"/>
        </w:rPr>
        <w:t>Urquía</w:t>
      </w:r>
      <w:proofErr w:type="spellEnd"/>
      <w:r w:rsidRPr="00B111DC">
        <w:rPr>
          <w:rFonts w:ascii="Arial" w:eastAsia="Times New Roman" w:hAnsi="Arial" w:cs="Arial"/>
          <w:color w:val="000000"/>
          <w:sz w:val="24"/>
          <w:szCs w:val="24"/>
          <w:lang w:eastAsia="es-ES"/>
        </w:rPr>
        <w:t xml:space="preserve"> fue brutalmente asesinada por desconocidos.</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r>
      <w:proofErr w:type="spellStart"/>
      <w:r w:rsidRPr="00B111DC">
        <w:rPr>
          <w:rFonts w:ascii="Arial" w:eastAsia="Times New Roman" w:hAnsi="Arial" w:cs="Arial"/>
          <w:color w:val="000000"/>
          <w:sz w:val="24"/>
          <w:szCs w:val="24"/>
          <w:lang w:eastAsia="es-ES"/>
        </w:rPr>
        <w:t>Urquía</w:t>
      </w:r>
      <w:proofErr w:type="spellEnd"/>
      <w:r w:rsidRPr="00B111DC">
        <w:rPr>
          <w:rFonts w:ascii="Arial" w:eastAsia="Times New Roman" w:hAnsi="Arial" w:cs="Arial"/>
          <w:color w:val="000000"/>
          <w:sz w:val="24"/>
          <w:szCs w:val="24"/>
          <w:lang w:eastAsia="es-ES"/>
        </w:rPr>
        <w:t xml:space="preserve"> era una firme opositora del </w:t>
      </w:r>
      <w:proofErr w:type="spellStart"/>
      <w:r w:rsidRPr="00B111DC">
        <w:rPr>
          <w:rFonts w:ascii="Arial" w:eastAsia="Times New Roman" w:hAnsi="Arial" w:cs="Arial"/>
          <w:color w:val="000000"/>
          <w:sz w:val="24"/>
          <w:szCs w:val="24"/>
          <w:lang w:eastAsia="es-ES"/>
        </w:rPr>
        <w:t>concesionamiento</w:t>
      </w:r>
      <w:proofErr w:type="spellEnd"/>
      <w:r w:rsidRPr="00B111DC">
        <w:rPr>
          <w:rFonts w:ascii="Arial" w:eastAsia="Times New Roman" w:hAnsi="Arial" w:cs="Arial"/>
          <w:color w:val="000000"/>
          <w:sz w:val="24"/>
          <w:szCs w:val="24"/>
          <w:lang w:eastAsia="es-ES"/>
        </w:rPr>
        <w:t xml:space="preserve"> y privatización de los ríos en el departamento de La Paz y estaba directamente vinculada al Consejo Cívico de Organizaciones Populares e Indígenas de Honduras (</w:t>
      </w:r>
      <w:proofErr w:type="spellStart"/>
      <w:r w:rsidRPr="00B111DC">
        <w:rPr>
          <w:rFonts w:ascii="Arial" w:eastAsia="Times New Roman" w:hAnsi="Arial" w:cs="Arial"/>
          <w:color w:val="000000"/>
          <w:sz w:val="24"/>
          <w:szCs w:val="24"/>
          <w:lang w:eastAsia="es-ES"/>
        </w:rPr>
        <w:t>Copinh</w:t>
      </w:r>
      <w:proofErr w:type="spellEnd"/>
      <w:r w:rsidRPr="00B111DC">
        <w:rPr>
          <w:rFonts w:ascii="Arial" w:eastAsia="Times New Roman" w:hAnsi="Arial" w:cs="Arial"/>
          <w:color w:val="000000"/>
          <w:sz w:val="24"/>
          <w:szCs w:val="24"/>
          <w:lang w:eastAsia="es-ES"/>
        </w:rPr>
        <w:t>), cuya coordinadora Berta Cáceres también </w:t>
      </w:r>
      <w:hyperlink r:id="rId10" w:history="1">
        <w:r w:rsidRPr="00B111DC">
          <w:rPr>
            <w:rFonts w:ascii="Arial" w:eastAsia="Times New Roman" w:hAnsi="Arial" w:cs="Arial"/>
            <w:color w:val="A52A2A"/>
            <w:sz w:val="24"/>
            <w:szCs w:val="24"/>
            <w:u w:val="single"/>
            <w:lang w:eastAsia="es-ES"/>
          </w:rPr>
          <w:t>fue asesinada</w:t>
        </w:r>
      </w:hyperlink>
      <w:r w:rsidRPr="00B111DC">
        <w:rPr>
          <w:rFonts w:ascii="Arial" w:eastAsia="Times New Roman" w:hAnsi="Arial" w:cs="Arial"/>
          <w:color w:val="000000"/>
          <w:sz w:val="24"/>
          <w:szCs w:val="24"/>
          <w:lang w:eastAsia="es-ES"/>
        </w:rPr>
        <w:t> el pasado 2 de marzo.</w:t>
      </w:r>
      <w:r w:rsidRPr="00B111DC">
        <w:rPr>
          <w:rFonts w:ascii="Arial" w:eastAsia="Times New Roman" w:hAnsi="Arial" w:cs="Arial"/>
          <w:color w:val="000000"/>
          <w:sz w:val="24"/>
          <w:szCs w:val="24"/>
          <w:lang w:eastAsia="es-ES"/>
        </w:rPr>
        <w:br/>
      </w:r>
      <w:r w:rsidRPr="00B111DC">
        <w:rPr>
          <w:rFonts w:ascii="Arial" w:eastAsia="Times New Roman" w:hAnsi="Arial" w:cs="Arial"/>
          <w:color w:val="000000"/>
          <w:sz w:val="24"/>
          <w:szCs w:val="24"/>
          <w:lang w:eastAsia="es-ES"/>
        </w:rPr>
        <w:br/>
      </w:r>
      <w:r w:rsidRPr="00B111DC">
        <w:rPr>
          <w:rFonts w:ascii="Arial" w:eastAsia="Times New Roman" w:hAnsi="Arial" w:cs="Arial"/>
          <w:b/>
          <w:bCs/>
          <w:color w:val="000000"/>
          <w:sz w:val="24"/>
          <w:szCs w:val="24"/>
          <w:lang w:eastAsia="es-ES"/>
        </w:rPr>
        <w:t>Nota</w:t>
      </w:r>
    </w:p>
    <w:p w:rsidR="00B111DC" w:rsidRPr="00B111DC" w:rsidRDefault="00B111DC" w:rsidP="00B111DC">
      <w:pPr>
        <w:spacing w:after="0" w:line="312" w:lineRule="atLeast"/>
        <w:textAlignment w:val="baseline"/>
        <w:rPr>
          <w:rFonts w:ascii="Arial" w:eastAsia="Times New Roman" w:hAnsi="Arial" w:cs="Arial"/>
          <w:color w:val="000000"/>
          <w:sz w:val="24"/>
          <w:szCs w:val="24"/>
          <w:lang w:eastAsia="es-ES"/>
        </w:rPr>
      </w:pPr>
      <w:r w:rsidRPr="00B111DC">
        <w:rPr>
          <w:rFonts w:ascii="Arial" w:eastAsia="Times New Roman" w:hAnsi="Arial" w:cs="Arial"/>
          <w:b/>
          <w:bCs/>
          <w:color w:val="000000"/>
          <w:sz w:val="24"/>
          <w:szCs w:val="24"/>
          <w:lang w:eastAsia="es-ES"/>
        </w:rPr>
        <w:t>[1</w:t>
      </w:r>
      <w:r w:rsidRPr="00B111DC">
        <w:rPr>
          <w:rFonts w:ascii="Arial" w:eastAsia="Times New Roman" w:hAnsi="Arial" w:cs="Arial"/>
          <w:color w:val="000000"/>
          <w:sz w:val="24"/>
          <w:szCs w:val="24"/>
          <w:lang w:eastAsia="es-ES"/>
        </w:rPr>
        <w:t>] -Confederación de Unidad Sindical de Guatemala (CUSG), Central General de Trabajadores de Guatemala (CGTG), Unión Sindical de Trabajadores de Guatemala (UNSITRAGUA), Movimiento de Trabajadores Campesinos y Campesinas de San Marcos (MTC).</w:t>
      </w:r>
    </w:p>
    <w:p w:rsidR="00B111DC" w:rsidRPr="00B111DC" w:rsidRDefault="00B111DC" w:rsidP="00B111DC">
      <w:pPr>
        <w:spacing w:after="0" w:line="312" w:lineRule="atLeast"/>
        <w:textAlignment w:val="baseline"/>
        <w:rPr>
          <w:rFonts w:ascii="Arial" w:eastAsia="Times New Roman" w:hAnsi="Arial" w:cs="Arial"/>
          <w:color w:val="000000"/>
          <w:sz w:val="24"/>
          <w:szCs w:val="24"/>
          <w:lang w:eastAsia="es-ES"/>
        </w:rPr>
      </w:pPr>
      <w:r w:rsidRPr="00B111DC">
        <w:rPr>
          <w:rFonts w:ascii="Arial" w:eastAsia="Times New Roman" w:hAnsi="Arial" w:cs="Arial"/>
          <w:color w:val="000000"/>
          <w:sz w:val="24"/>
          <w:szCs w:val="24"/>
          <w:lang w:eastAsia="es-ES"/>
        </w:rPr>
        <w:t> </w:t>
      </w:r>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r w:rsidRPr="00B111DC">
        <w:rPr>
          <w:rFonts w:ascii="Arial" w:eastAsia="Times New Roman" w:hAnsi="Arial" w:cs="Arial"/>
          <w:color w:val="000000"/>
          <w:sz w:val="18"/>
          <w:szCs w:val="18"/>
          <w:lang w:eastAsia="es-ES"/>
        </w:rPr>
        <w:t>Fuente:</w:t>
      </w:r>
      <w:r w:rsidRPr="00B111DC">
        <w:rPr>
          <w:rFonts w:ascii="Arial" w:eastAsia="Times New Roman" w:hAnsi="Arial" w:cs="Arial"/>
          <w:color w:val="000000"/>
          <w:sz w:val="18"/>
          <w:lang w:eastAsia="es-ES"/>
        </w:rPr>
        <w:t> </w:t>
      </w:r>
      <w:hyperlink r:id="rId11" w:history="1">
        <w:proofErr w:type="spellStart"/>
        <w:r w:rsidRPr="00B111DC">
          <w:rPr>
            <w:rFonts w:ascii="Arial" w:eastAsia="Times New Roman" w:hAnsi="Arial" w:cs="Arial"/>
            <w:color w:val="A52A2A"/>
            <w:sz w:val="18"/>
            <w:u w:val="single"/>
            <w:lang w:eastAsia="es-ES"/>
          </w:rPr>
          <w:t>Rel</w:t>
        </w:r>
        <w:proofErr w:type="spellEnd"/>
        <w:r w:rsidRPr="00B111DC">
          <w:rPr>
            <w:rFonts w:ascii="Arial" w:eastAsia="Times New Roman" w:hAnsi="Arial" w:cs="Arial"/>
            <w:color w:val="A52A2A"/>
            <w:sz w:val="18"/>
            <w:u w:val="single"/>
            <w:lang w:eastAsia="es-ES"/>
          </w:rPr>
          <w:t>-UITA</w:t>
        </w:r>
      </w:hyperlink>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hyperlink r:id="rId12" w:history="1">
        <w:r w:rsidRPr="00B111DC">
          <w:rPr>
            <w:rFonts w:ascii="Arial" w:eastAsia="Times New Roman" w:hAnsi="Arial" w:cs="Arial"/>
            <w:color w:val="A52A2A"/>
            <w:sz w:val="18"/>
            <w:u w:val="single"/>
            <w:lang w:eastAsia="es-ES"/>
          </w:rPr>
          <w:t>http://informes.rel-uita.org/index.php/sociedad/item/interminable-ola-de-ataques-contra-activistas-y-defensores</w:t>
        </w:r>
      </w:hyperlink>
    </w:p>
    <w:p w:rsidR="00B111DC" w:rsidRPr="00B111DC" w:rsidRDefault="00B111DC" w:rsidP="00B111DC">
      <w:pPr>
        <w:spacing w:after="0" w:line="312" w:lineRule="atLeast"/>
        <w:textAlignment w:val="baseline"/>
        <w:rPr>
          <w:rFonts w:ascii="Arial" w:eastAsia="Times New Roman" w:hAnsi="Arial" w:cs="Arial"/>
          <w:color w:val="000000"/>
          <w:sz w:val="18"/>
          <w:szCs w:val="18"/>
          <w:lang w:eastAsia="es-ES"/>
        </w:rPr>
      </w:pPr>
      <w:r w:rsidRPr="00B111DC">
        <w:rPr>
          <w:rFonts w:ascii="Arial" w:eastAsia="Times New Roman" w:hAnsi="Arial" w:cs="Arial"/>
          <w:color w:val="000000"/>
          <w:sz w:val="18"/>
          <w:szCs w:val="18"/>
          <w:lang w:eastAsia="es-ES"/>
        </w:rPr>
        <w:t>http://www.alainet.org/es/articulo/178673</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D12A85"/>
    <w:multiLevelType w:val="multilevel"/>
    <w:tmpl w:val="F462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242936"/>
    <w:multiLevelType w:val="multilevel"/>
    <w:tmpl w:val="3E54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111DC"/>
    <w:rsid w:val="00590F50"/>
    <w:rsid w:val="00B111DC"/>
    <w:rsid w:val="00EC42B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111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11DC"/>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B111DC"/>
    <w:rPr>
      <w:color w:val="0000FF"/>
      <w:u w:val="single"/>
    </w:rPr>
  </w:style>
  <w:style w:type="character" w:customStyle="1" w:styleId="printhtml">
    <w:name w:val="print_html"/>
    <w:basedOn w:val="Fuentedeprrafopredeter"/>
    <w:rsid w:val="00B111DC"/>
  </w:style>
  <w:style w:type="character" w:customStyle="1" w:styleId="chicklets">
    <w:name w:val="chicklets"/>
    <w:basedOn w:val="Fuentedeprrafopredeter"/>
    <w:rsid w:val="00B111DC"/>
  </w:style>
  <w:style w:type="character" w:customStyle="1" w:styleId="apple-converted-space">
    <w:name w:val="apple-converted-space"/>
    <w:basedOn w:val="Fuentedeprrafopredeter"/>
    <w:rsid w:val="00B111DC"/>
  </w:style>
  <w:style w:type="character" w:customStyle="1" w:styleId="stfblike">
    <w:name w:val="st_fblike"/>
    <w:basedOn w:val="Fuentedeprrafopredeter"/>
    <w:rsid w:val="00B111DC"/>
  </w:style>
  <w:style w:type="paragraph" w:styleId="NormalWeb">
    <w:name w:val="Normal (Web)"/>
    <w:basedOn w:val="Normal"/>
    <w:uiPriority w:val="99"/>
    <w:semiHidden/>
    <w:unhideWhenUsed/>
    <w:rsid w:val="00B111D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B111DC"/>
    <w:rPr>
      <w:b/>
      <w:bCs/>
    </w:rPr>
  </w:style>
  <w:style w:type="character" w:styleId="nfasis">
    <w:name w:val="Emphasis"/>
    <w:basedOn w:val="Fuentedeprrafopredeter"/>
    <w:uiPriority w:val="20"/>
    <w:qFormat/>
    <w:rsid w:val="00B111DC"/>
    <w:rPr>
      <w:i/>
      <w:iCs/>
    </w:rPr>
  </w:style>
  <w:style w:type="paragraph" w:styleId="Textodeglobo">
    <w:name w:val="Balloon Text"/>
    <w:basedOn w:val="Normal"/>
    <w:link w:val="TextodegloboCar"/>
    <w:uiPriority w:val="99"/>
    <w:semiHidden/>
    <w:unhideWhenUsed/>
    <w:rsid w:val="00B11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11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7621112">
      <w:bodyDiv w:val="1"/>
      <w:marLeft w:val="0"/>
      <w:marRight w:val="0"/>
      <w:marTop w:val="0"/>
      <w:marBottom w:val="0"/>
      <w:divBdr>
        <w:top w:val="none" w:sz="0" w:space="0" w:color="auto"/>
        <w:left w:val="none" w:sz="0" w:space="0" w:color="auto"/>
        <w:bottom w:val="none" w:sz="0" w:space="0" w:color="auto"/>
        <w:right w:val="none" w:sz="0" w:space="0" w:color="auto"/>
      </w:divBdr>
      <w:divsChild>
        <w:div w:id="1013923757">
          <w:marLeft w:val="0"/>
          <w:marRight w:val="0"/>
          <w:marTop w:val="195"/>
          <w:marBottom w:val="90"/>
          <w:divBdr>
            <w:top w:val="none" w:sz="0" w:space="0" w:color="auto"/>
            <w:left w:val="none" w:sz="0" w:space="0" w:color="auto"/>
            <w:bottom w:val="none" w:sz="0" w:space="0" w:color="auto"/>
            <w:right w:val="none" w:sz="0" w:space="0" w:color="auto"/>
          </w:divBdr>
          <w:divsChild>
            <w:div w:id="580066271">
              <w:marLeft w:val="0"/>
              <w:marRight w:val="0"/>
              <w:marTop w:val="0"/>
              <w:marBottom w:val="0"/>
              <w:divBdr>
                <w:top w:val="none" w:sz="0" w:space="0" w:color="auto"/>
                <w:left w:val="none" w:sz="0" w:space="0" w:color="auto"/>
                <w:bottom w:val="none" w:sz="0" w:space="0" w:color="auto"/>
                <w:right w:val="none" w:sz="0" w:space="0" w:color="auto"/>
              </w:divBdr>
              <w:divsChild>
                <w:div w:id="1419135209">
                  <w:marLeft w:val="0"/>
                  <w:marRight w:val="0"/>
                  <w:marTop w:val="0"/>
                  <w:marBottom w:val="0"/>
                  <w:divBdr>
                    <w:top w:val="none" w:sz="0" w:space="0" w:color="auto"/>
                    <w:left w:val="none" w:sz="0" w:space="0" w:color="auto"/>
                    <w:bottom w:val="none" w:sz="0" w:space="0" w:color="auto"/>
                    <w:right w:val="none" w:sz="0" w:space="0" w:color="auto"/>
                  </w:divBdr>
                  <w:divsChild>
                    <w:div w:id="500121920">
                      <w:marLeft w:val="0"/>
                      <w:marRight w:val="0"/>
                      <w:marTop w:val="0"/>
                      <w:marBottom w:val="0"/>
                      <w:divBdr>
                        <w:top w:val="none" w:sz="0" w:space="0" w:color="auto"/>
                        <w:left w:val="none" w:sz="0" w:space="0" w:color="auto"/>
                        <w:bottom w:val="none" w:sz="0" w:space="0" w:color="auto"/>
                        <w:right w:val="none" w:sz="0" w:space="0" w:color="auto"/>
                      </w:divBdr>
                      <w:divsChild>
                        <w:div w:id="113849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85100">
          <w:marLeft w:val="0"/>
          <w:marRight w:val="0"/>
          <w:marTop w:val="0"/>
          <w:marBottom w:val="0"/>
          <w:divBdr>
            <w:top w:val="none" w:sz="0" w:space="0" w:color="auto"/>
            <w:left w:val="none" w:sz="0" w:space="0" w:color="auto"/>
            <w:bottom w:val="none" w:sz="0" w:space="0" w:color="auto"/>
            <w:right w:val="none" w:sz="0" w:space="0" w:color="auto"/>
          </w:divBdr>
          <w:divsChild>
            <w:div w:id="919867362">
              <w:marLeft w:val="0"/>
              <w:marRight w:val="0"/>
              <w:marTop w:val="0"/>
              <w:marBottom w:val="0"/>
              <w:divBdr>
                <w:top w:val="none" w:sz="0" w:space="0" w:color="auto"/>
                <w:left w:val="none" w:sz="0" w:space="0" w:color="auto"/>
                <w:bottom w:val="none" w:sz="0" w:space="0" w:color="auto"/>
                <w:right w:val="none" w:sz="0" w:space="0" w:color="auto"/>
              </w:divBdr>
              <w:divsChild>
                <w:div w:id="362681227">
                  <w:marLeft w:val="0"/>
                  <w:marRight w:val="0"/>
                  <w:marTop w:val="0"/>
                  <w:marBottom w:val="0"/>
                  <w:divBdr>
                    <w:top w:val="none" w:sz="0" w:space="0" w:color="auto"/>
                    <w:left w:val="none" w:sz="0" w:space="0" w:color="auto"/>
                    <w:bottom w:val="none" w:sz="0" w:space="0" w:color="auto"/>
                    <w:right w:val="none" w:sz="0" w:space="0" w:color="auto"/>
                  </w:divBdr>
                  <w:divsChild>
                    <w:div w:id="1663006712">
                      <w:marLeft w:val="0"/>
                      <w:marRight w:val="0"/>
                      <w:marTop w:val="0"/>
                      <w:marBottom w:val="0"/>
                      <w:divBdr>
                        <w:top w:val="none" w:sz="0" w:space="0" w:color="auto"/>
                        <w:left w:val="none" w:sz="0" w:space="0" w:color="auto"/>
                        <w:bottom w:val="none" w:sz="0" w:space="0" w:color="auto"/>
                        <w:right w:val="none" w:sz="0" w:space="0" w:color="auto"/>
                      </w:divBdr>
                      <w:divsChild>
                        <w:div w:id="151691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350534">
          <w:marLeft w:val="0"/>
          <w:marRight w:val="0"/>
          <w:marTop w:val="0"/>
          <w:marBottom w:val="90"/>
          <w:divBdr>
            <w:top w:val="none" w:sz="0" w:space="0" w:color="auto"/>
            <w:left w:val="none" w:sz="0" w:space="0" w:color="auto"/>
            <w:bottom w:val="none" w:sz="0" w:space="0" w:color="auto"/>
            <w:right w:val="none" w:sz="0" w:space="0" w:color="auto"/>
          </w:divBdr>
          <w:divsChild>
            <w:div w:id="1295521892">
              <w:marLeft w:val="0"/>
              <w:marRight w:val="0"/>
              <w:marTop w:val="0"/>
              <w:marBottom w:val="0"/>
              <w:divBdr>
                <w:top w:val="none" w:sz="0" w:space="0" w:color="auto"/>
                <w:left w:val="none" w:sz="0" w:space="0" w:color="auto"/>
                <w:bottom w:val="none" w:sz="0" w:space="0" w:color="auto"/>
                <w:right w:val="none" w:sz="0" w:space="0" w:color="auto"/>
              </w:divBdr>
            </w:div>
          </w:divsChild>
        </w:div>
        <w:div w:id="414208555">
          <w:marLeft w:val="0"/>
          <w:marRight w:val="0"/>
          <w:marTop w:val="150"/>
          <w:marBottom w:val="0"/>
          <w:divBdr>
            <w:top w:val="none" w:sz="0" w:space="0" w:color="auto"/>
            <w:left w:val="none" w:sz="0" w:space="0" w:color="auto"/>
            <w:bottom w:val="none" w:sz="0" w:space="0" w:color="auto"/>
            <w:right w:val="none" w:sz="0" w:space="0" w:color="auto"/>
          </w:divBdr>
          <w:divsChild>
            <w:div w:id="2144692185">
              <w:marLeft w:val="0"/>
              <w:marRight w:val="0"/>
              <w:marTop w:val="0"/>
              <w:marBottom w:val="0"/>
              <w:divBdr>
                <w:top w:val="none" w:sz="0" w:space="0" w:color="auto"/>
                <w:left w:val="none" w:sz="0" w:space="0" w:color="auto"/>
                <w:bottom w:val="none" w:sz="0" w:space="0" w:color="auto"/>
                <w:right w:val="none" w:sz="0" w:space="0" w:color="auto"/>
              </w:divBdr>
            </w:div>
          </w:divsChild>
        </w:div>
        <w:div w:id="265622347">
          <w:marLeft w:val="0"/>
          <w:marRight w:val="0"/>
          <w:marTop w:val="0"/>
          <w:marBottom w:val="0"/>
          <w:divBdr>
            <w:top w:val="none" w:sz="0" w:space="0" w:color="auto"/>
            <w:left w:val="none" w:sz="0" w:space="0" w:color="auto"/>
            <w:bottom w:val="none" w:sz="0" w:space="0" w:color="auto"/>
            <w:right w:val="none" w:sz="0" w:space="0" w:color="auto"/>
          </w:divBdr>
          <w:divsChild>
            <w:div w:id="1803230901">
              <w:marLeft w:val="0"/>
              <w:marRight w:val="0"/>
              <w:marTop w:val="0"/>
              <w:marBottom w:val="0"/>
              <w:divBdr>
                <w:top w:val="none" w:sz="0" w:space="0" w:color="auto"/>
                <w:left w:val="none" w:sz="0" w:space="0" w:color="auto"/>
                <w:bottom w:val="none" w:sz="0" w:space="0" w:color="auto"/>
                <w:right w:val="none" w:sz="0" w:space="0" w:color="auto"/>
              </w:divBdr>
            </w:div>
          </w:divsChild>
        </w:div>
        <w:div w:id="1449816422">
          <w:marLeft w:val="0"/>
          <w:marRight w:val="0"/>
          <w:marTop w:val="0"/>
          <w:marBottom w:val="0"/>
          <w:divBdr>
            <w:top w:val="none" w:sz="0" w:space="0" w:color="auto"/>
            <w:left w:val="none" w:sz="0" w:space="0" w:color="auto"/>
            <w:bottom w:val="none" w:sz="0" w:space="0" w:color="auto"/>
            <w:right w:val="none" w:sz="0" w:space="0" w:color="auto"/>
          </w:divBdr>
          <w:divsChild>
            <w:div w:id="459110394">
              <w:marLeft w:val="0"/>
              <w:marRight w:val="0"/>
              <w:marTop w:val="0"/>
              <w:marBottom w:val="0"/>
              <w:divBdr>
                <w:top w:val="none" w:sz="0" w:space="0" w:color="auto"/>
                <w:left w:val="none" w:sz="0" w:space="0" w:color="auto"/>
                <w:bottom w:val="none" w:sz="0" w:space="0" w:color="auto"/>
                <w:right w:val="none" w:sz="0" w:space="0" w:color="auto"/>
              </w:divBdr>
              <w:divsChild>
                <w:div w:id="437024530">
                  <w:marLeft w:val="0"/>
                  <w:marRight w:val="0"/>
                  <w:marTop w:val="0"/>
                  <w:marBottom w:val="0"/>
                  <w:divBdr>
                    <w:top w:val="none" w:sz="0" w:space="0" w:color="auto"/>
                    <w:left w:val="none" w:sz="0" w:space="0" w:color="auto"/>
                    <w:bottom w:val="none" w:sz="0" w:space="0" w:color="auto"/>
                    <w:right w:val="none" w:sz="0" w:space="0" w:color="auto"/>
                  </w:divBdr>
                  <w:divsChild>
                    <w:div w:id="67511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182523">
          <w:marLeft w:val="1500"/>
          <w:marRight w:val="0"/>
          <w:marTop w:val="0"/>
          <w:marBottom w:val="0"/>
          <w:divBdr>
            <w:top w:val="none" w:sz="0" w:space="0" w:color="auto"/>
            <w:left w:val="none" w:sz="0" w:space="0" w:color="auto"/>
            <w:bottom w:val="none" w:sz="0" w:space="0" w:color="auto"/>
            <w:right w:val="none" w:sz="0" w:space="0" w:color="auto"/>
          </w:divBdr>
          <w:divsChild>
            <w:div w:id="36048244">
              <w:marLeft w:val="0"/>
              <w:marRight w:val="0"/>
              <w:marTop w:val="0"/>
              <w:marBottom w:val="0"/>
              <w:divBdr>
                <w:top w:val="none" w:sz="0" w:space="0" w:color="auto"/>
                <w:left w:val="none" w:sz="0" w:space="0" w:color="auto"/>
                <w:bottom w:val="none" w:sz="0" w:space="0" w:color="auto"/>
                <w:right w:val="none" w:sz="0" w:space="0" w:color="auto"/>
              </w:divBdr>
              <w:divsChild>
                <w:div w:id="1592621908">
                  <w:marLeft w:val="0"/>
                  <w:marRight w:val="0"/>
                  <w:marTop w:val="0"/>
                  <w:marBottom w:val="150"/>
                  <w:divBdr>
                    <w:top w:val="single" w:sz="24" w:space="0" w:color="FFFFFF"/>
                    <w:left w:val="single" w:sz="24" w:space="0" w:color="FFFFFF"/>
                    <w:bottom w:val="single" w:sz="24" w:space="0" w:color="FFFFFF"/>
                    <w:right w:val="single" w:sz="24" w:space="0" w:color="FFFFFF"/>
                  </w:divBdr>
                  <w:divsChild>
                    <w:div w:id="16015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5022">
          <w:marLeft w:val="0"/>
          <w:marRight w:val="0"/>
          <w:marTop w:val="0"/>
          <w:marBottom w:val="0"/>
          <w:divBdr>
            <w:top w:val="none" w:sz="0" w:space="0" w:color="auto"/>
            <w:left w:val="none" w:sz="0" w:space="0" w:color="auto"/>
            <w:bottom w:val="none" w:sz="0" w:space="0" w:color="auto"/>
            <w:right w:val="none" w:sz="0" w:space="0" w:color="auto"/>
          </w:divBdr>
          <w:divsChild>
            <w:div w:id="188186424">
              <w:marLeft w:val="0"/>
              <w:marRight w:val="0"/>
              <w:marTop w:val="0"/>
              <w:marBottom w:val="0"/>
              <w:divBdr>
                <w:top w:val="none" w:sz="0" w:space="0" w:color="auto"/>
                <w:left w:val="none" w:sz="0" w:space="0" w:color="auto"/>
                <w:bottom w:val="none" w:sz="0" w:space="0" w:color="auto"/>
                <w:right w:val="none" w:sz="0" w:space="0" w:color="auto"/>
              </w:divBdr>
            </w:div>
          </w:divsChild>
        </w:div>
        <w:div w:id="349920355">
          <w:marLeft w:val="0"/>
          <w:marRight w:val="0"/>
          <w:marTop w:val="0"/>
          <w:marBottom w:val="0"/>
          <w:divBdr>
            <w:top w:val="none" w:sz="0" w:space="0" w:color="auto"/>
            <w:left w:val="none" w:sz="0" w:space="0" w:color="auto"/>
            <w:bottom w:val="none" w:sz="0" w:space="0" w:color="auto"/>
            <w:right w:val="none" w:sz="0" w:space="0" w:color="auto"/>
          </w:divBdr>
          <w:divsChild>
            <w:div w:id="1224410773">
              <w:marLeft w:val="0"/>
              <w:marRight w:val="0"/>
              <w:marTop w:val="0"/>
              <w:marBottom w:val="0"/>
              <w:divBdr>
                <w:top w:val="none" w:sz="0" w:space="0" w:color="auto"/>
                <w:left w:val="none" w:sz="0" w:space="0" w:color="auto"/>
                <w:bottom w:val="none" w:sz="0" w:space="0" w:color="auto"/>
                <w:right w:val="none" w:sz="0" w:space="0" w:color="auto"/>
              </w:divBdr>
              <w:divsChild>
                <w:div w:id="347026628">
                  <w:marLeft w:val="0"/>
                  <w:marRight w:val="0"/>
                  <w:marTop w:val="0"/>
                  <w:marBottom w:val="0"/>
                  <w:divBdr>
                    <w:top w:val="none" w:sz="0" w:space="0" w:color="auto"/>
                    <w:left w:val="none" w:sz="0" w:space="0" w:color="auto"/>
                    <w:bottom w:val="none" w:sz="0" w:space="0" w:color="auto"/>
                    <w:right w:val="none" w:sz="0" w:space="0" w:color="auto"/>
                  </w:divBdr>
                  <w:divsChild>
                    <w:div w:id="678894835">
                      <w:marLeft w:val="0"/>
                      <w:marRight w:val="0"/>
                      <w:marTop w:val="0"/>
                      <w:marBottom w:val="0"/>
                      <w:divBdr>
                        <w:top w:val="none" w:sz="0" w:space="0" w:color="auto"/>
                        <w:left w:val="none" w:sz="0" w:space="0" w:color="auto"/>
                        <w:bottom w:val="none" w:sz="0" w:space="0" w:color="auto"/>
                        <w:right w:val="none" w:sz="0" w:space="0" w:color="auto"/>
                      </w:divBdr>
                      <w:divsChild>
                        <w:div w:id="20211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97037">
          <w:marLeft w:val="375"/>
          <w:marRight w:val="0"/>
          <w:marTop w:val="30"/>
          <w:marBottom w:val="0"/>
          <w:divBdr>
            <w:top w:val="none" w:sz="0" w:space="0" w:color="auto"/>
            <w:left w:val="none" w:sz="0" w:space="0" w:color="auto"/>
            <w:bottom w:val="none" w:sz="0" w:space="0" w:color="auto"/>
            <w:right w:val="none" w:sz="0" w:space="0" w:color="auto"/>
          </w:divBdr>
          <w:divsChild>
            <w:div w:id="19558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lobalwitness.org/en/reports/terreno-peligros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informes.rel-uita.org/index.php/sociedad/item/interminable-ola-de-ataques-contra-activistas-y-defenso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informes.rel-uita.org/index.php/sociedad/item/interminable-ola-de-ataques-contra-activistas-y-defensores" TargetMode="External"/><Relationship Id="rId5" Type="http://schemas.openxmlformats.org/officeDocument/2006/relationships/hyperlink" Target="http://www.alainet.org/es/autores/giorgio-trucchi" TargetMode="External"/><Relationship Id="rId10" Type="http://schemas.openxmlformats.org/officeDocument/2006/relationships/hyperlink" Target="http://informes.rel-uita.org/index.php/sociedad/item/asesinaron-a-un-alma-indomable" TargetMode="External"/><Relationship Id="rId4" Type="http://schemas.openxmlformats.org/officeDocument/2006/relationships/webSettings" Target="webSettings.xml"/><Relationship Id="rId9" Type="http://schemas.openxmlformats.org/officeDocument/2006/relationships/hyperlink" Target="http://copinhonduras.blogspot.com/2016/07/comunicado-sobre-el-asesinato-de-la.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782</Words>
  <Characters>4302</Characters>
  <Application>Microsoft Office Word</Application>
  <DocSecurity>0</DocSecurity>
  <Lines>35</Lines>
  <Paragraphs>10</Paragraphs>
  <ScaleCrop>false</ScaleCrop>
  <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2016-07-11T13:31:00Z</dcterms:created>
  <dcterms:modified xsi:type="dcterms:W3CDTF">2016-07-11T13:33:00Z</dcterms:modified>
</cp:coreProperties>
</file>