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034" w:rsidRPr="002648A8" w:rsidRDefault="002D3A4A" w:rsidP="00AE1BC3">
      <w:pPr>
        <w:spacing w:line="240" w:lineRule="auto"/>
        <w:jc w:val="both"/>
        <w:rPr>
          <w:rFonts w:ascii="Times New Roman" w:hAnsi="Times New Roman"/>
          <w:b/>
          <w:sz w:val="32"/>
          <w:szCs w:val="32"/>
          <w:lang w:val="es-MX"/>
        </w:rPr>
      </w:pPr>
      <w:r w:rsidRPr="002648A8">
        <w:rPr>
          <w:rFonts w:ascii="Times New Roman" w:hAnsi="Times New Roman"/>
          <w:b/>
          <w:sz w:val="32"/>
          <w:szCs w:val="32"/>
          <w:lang w:val="es-MX"/>
        </w:rPr>
        <w:t>¿</w:t>
      </w:r>
      <w:r w:rsidR="0051176F" w:rsidRPr="002648A8">
        <w:rPr>
          <w:rFonts w:ascii="Times New Roman" w:hAnsi="Times New Roman"/>
          <w:b/>
          <w:sz w:val="32"/>
          <w:szCs w:val="32"/>
          <w:lang w:val="es-MX"/>
        </w:rPr>
        <w:t>R</w:t>
      </w:r>
      <w:r w:rsidRPr="002648A8">
        <w:rPr>
          <w:rFonts w:ascii="Times New Roman" w:hAnsi="Times New Roman"/>
          <w:b/>
          <w:sz w:val="32"/>
          <w:szCs w:val="32"/>
          <w:lang w:val="es-MX"/>
        </w:rPr>
        <w:t xml:space="preserve">umbo a </w:t>
      </w:r>
      <w:r w:rsidR="0051176F" w:rsidRPr="002648A8">
        <w:rPr>
          <w:rFonts w:ascii="Times New Roman" w:hAnsi="Times New Roman"/>
          <w:b/>
          <w:sz w:val="32"/>
          <w:szCs w:val="32"/>
          <w:lang w:val="es-MX"/>
        </w:rPr>
        <w:t>la recesión</w:t>
      </w:r>
      <w:r w:rsidRPr="002648A8">
        <w:rPr>
          <w:rFonts w:ascii="Times New Roman" w:hAnsi="Times New Roman"/>
          <w:b/>
          <w:sz w:val="32"/>
          <w:szCs w:val="32"/>
          <w:lang w:val="es-MX"/>
        </w:rPr>
        <w:t>?</w:t>
      </w:r>
    </w:p>
    <w:p w:rsidR="00B07E8E" w:rsidRDefault="006D65B5" w:rsidP="00AE1BC3">
      <w:pPr>
        <w:spacing w:line="240" w:lineRule="auto"/>
        <w:jc w:val="both"/>
        <w:rPr>
          <w:rFonts w:ascii="Times New Roman" w:hAnsi="Times New Roman"/>
          <w:sz w:val="24"/>
          <w:szCs w:val="24"/>
          <w:lang w:val="es-MX"/>
        </w:rPr>
      </w:pPr>
      <w:r w:rsidRPr="00DA25D6">
        <w:rPr>
          <w:rFonts w:ascii="Times New Roman" w:hAnsi="Times New Roman"/>
          <w:sz w:val="24"/>
          <w:szCs w:val="24"/>
          <w:lang w:val="es-MX"/>
        </w:rPr>
        <w:t>Ya no se puede hablar simplemente de desaceleración o bajo crecimiento. Luego de crecer un 1,9% en 2014 y un 2,1% en 2015, l</w:t>
      </w:r>
      <w:r w:rsidR="0051176F" w:rsidRPr="00DA25D6">
        <w:rPr>
          <w:rFonts w:ascii="Times New Roman" w:hAnsi="Times New Roman"/>
          <w:sz w:val="24"/>
          <w:szCs w:val="24"/>
          <w:lang w:val="es-MX"/>
        </w:rPr>
        <w:t>a economía chilena en 2016 se encamina a una prolongación del ciclo inici</w:t>
      </w:r>
      <w:r w:rsidRPr="00DA25D6">
        <w:rPr>
          <w:rFonts w:ascii="Times New Roman" w:hAnsi="Times New Roman"/>
          <w:sz w:val="24"/>
          <w:szCs w:val="24"/>
          <w:lang w:val="es-MX"/>
        </w:rPr>
        <w:t xml:space="preserve">ado dos años atrás con un crecimiento que el FMI estima en no más de un 1,5%. Peor aún, </w:t>
      </w:r>
      <w:r w:rsidR="0051176F" w:rsidRPr="00DA25D6">
        <w:rPr>
          <w:rFonts w:ascii="Times New Roman" w:hAnsi="Times New Roman"/>
          <w:sz w:val="24"/>
          <w:szCs w:val="24"/>
          <w:lang w:val="es-MX"/>
        </w:rPr>
        <w:t>voces autorizadas</w:t>
      </w:r>
      <w:r w:rsidRPr="00DA25D6">
        <w:rPr>
          <w:rFonts w:ascii="Times New Roman" w:hAnsi="Times New Roman"/>
          <w:sz w:val="24"/>
          <w:szCs w:val="24"/>
          <w:lang w:val="es-MX"/>
        </w:rPr>
        <w:t xml:space="preserve"> alertan que estamos en un escenario que amenaza con extenderse por al menos dos años más.</w:t>
      </w:r>
      <w:r w:rsidR="0098507B" w:rsidRPr="00DA25D6">
        <w:rPr>
          <w:rStyle w:val="Refdenotaalpie"/>
          <w:rFonts w:ascii="Times New Roman" w:hAnsi="Times New Roman"/>
          <w:sz w:val="24"/>
          <w:szCs w:val="24"/>
          <w:lang w:val="es-MX"/>
        </w:rPr>
        <w:footnoteReference w:id="2"/>
      </w:r>
      <w:r w:rsidR="00B07E8E">
        <w:rPr>
          <w:rFonts w:ascii="Times New Roman" w:hAnsi="Times New Roman"/>
          <w:sz w:val="24"/>
          <w:szCs w:val="24"/>
          <w:lang w:val="es-MX"/>
        </w:rPr>
        <w:t xml:space="preserve"> </w:t>
      </w:r>
      <w:r w:rsidR="0051176F" w:rsidRPr="00DA25D6">
        <w:rPr>
          <w:rFonts w:ascii="Times New Roman" w:hAnsi="Times New Roman"/>
          <w:sz w:val="24"/>
          <w:szCs w:val="24"/>
          <w:lang w:val="es-MX"/>
        </w:rPr>
        <w:t xml:space="preserve">Se trata del ciclo de más bajo promedio de crecimiento anual desde el término de la dictadura. </w:t>
      </w:r>
      <w:r w:rsidR="0098507B" w:rsidRPr="00DA25D6">
        <w:rPr>
          <w:rFonts w:ascii="Times New Roman" w:hAnsi="Times New Roman"/>
          <w:sz w:val="24"/>
          <w:szCs w:val="24"/>
          <w:lang w:val="es-MX"/>
        </w:rPr>
        <w:t xml:space="preserve">Por debajo aún </w:t>
      </w:r>
      <w:r w:rsidR="00B07E8E">
        <w:rPr>
          <w:rFonts w:ascii="Times New Roman" w:hAnsi="Times New Roman"/>
          <w:sz w:val="24"/>
          <w:szCs w:val="24"/>
          <w:lang w:val="es-MX"/>
        </w:rPr>
        <w:t xml:space="preserve">del </w:t>
      </w:r>
      <w:r w:rsidR="00B07E8E" w:rsidRPr="00DA25D6">
        <w:rPr>
          <w:rFonts w:ascii="Times New Roman" w:hAnsi="Times New Roman"/>
          <w:sz w:val="24"/>
          <w:szCs w:val="24"/>
          <w:lang w:val="es-MX"/>
        </w:rPr>
        <w:t xml:space="preserve">2,7%, </w:t>
      </w:r>
      <w:r w:rsidR="0098507B" w:rsidRPr="00DA25D6">
        <w:rPr>
          <w:rFonts w:ascii="Times New Roman" w:hAnsi="Times New Roman"/>
          <w:sz w:val="24"/>
          <w:szCs w:val="24"/>
          <w:lang w:val="es-MX"/>
        </w:rPr>
        <w:t>del período 1998-2003, el a</w:t>
      </w:r>
      <w:r w:rsidR="00B07E8E">
        <w:rPr>
          <w:rFonts w:ascii="Times New Roman" w:hAnsi="Times New Roman"/>
          <w:sz w:val="24"/>
          <w:szCs w:val="24"/>
          <w:lang w:val="es-MX"/>
        </w:rPr>
        <w:t xml:space="preserve">ctual lleva un promedio de </w:t>
      </w:r>
      <w:r w:rsidR="0098507B" w:rsidRPr="00DA25D6">
        <w:rPr>
          <w:rFonts w:ascii="Times New Roman" w:hAnsi="Times New Roman"/>
          <w:sz w:val="24"/>
          <w:szCs w:val="24"/>
          <w:lang w:val="es-MX"/>
        </w:rPr>
        <w:t xml:space="preserve">2% y podría ser inferior a eso. </w:t>
      </w:r>
    </w:p>
    <w:p w:rsidR="0051176F" w:rsidRPr="00DA25D6" w:rsidRDefault="00E05F7A" w:rsidP="00AE1BC3">
      <w:pPr>
        <w:spacing w:line="240" w:lineRule="auto"/>
        <w:jc w:val="both"/>
        <w:rPr>
          <w:rFonts w:ascii="Times New Roman" w:hAnsi="Times New Roman"/>
          <w:sz w:val="24"/>
          <w:szCs w:val="24"/>
        </w:rPr>
      </w:pPr>
      <w:r w:rsidRPr="00DA25D6">
        <w:rPr>
          <w:rFonts w:ascii="Times New Roman" w:hAnsi="Times New Roman"/>
          <w:sz w:val="24"/>
          <w:szCs w:val="24"/>
        </w:rPr>
        <w:t>Explicando lo que está ocurriendo, el BC señala que “el ciclo de desaceleración que ha vivido la economía chilena en los últimos años está asociado a varios elementos. El fin del súper ciclo de los precios de las materias primas ha redundado en una caída de la inversión y la producción minera. La economía mundial no ha repuntado como se esperaba, las condiciones financieras globales para las economías emergentes se han estrechado. Se suma que los niveles de confianza locales han permanecido pesimistas por bastante tiempo”</w:t>
      </w:r>
      <w:r w:rsidRPr="00DA25D6">
        <w:rPr>
          <w:rStyle w:val="Refdenotaalpie"/>
          <w:rFonts w:ascii="Times New Roman" w:hAnsi="Times New Roman"/>
          <w:sz w:val="24"/>
          <w:szCs w:val="24"/>
        </w:rPr>
        <w:footnoteReference w:id="3"/>
      </w:r>
      <w:r w:rsidRPr="00DA25D6">
        <w:rPr>
          <w:rFonts w:ascii="Times New Roman" w:hAnsi="Times New Roman"/>
          <w:sz w:val="24"/>
          <w:szCs w:val="24"/>
        </w:rPr>
        <w:t xml:space="preserve">.Es preciso desmenuzar esta explicación y controvertirla con los hechos. </w:t>
      </w:r>
    </w:p>
    <w:p w:rsidR="000F58C8" w:rsidRPr="00DA25D6" w:rsidRDefault="00EC1972"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En primer lugar, sin lugar a dudas, este ciclo de la economía chilena está determinado por el ciclo de la economía capitalista mundial y por el viraje que se ha operado en ella en los últimos 3 años. </w:t>
      </w:r>
    </w:p>
    <w:p w:rsidR="008706F6" w:rsidRPr="00DA25D6" w:rsidRDefault="000F58C8" w:rsidP="00AE1BC3">
      <w:pPr>
        <w:spacing w:line="240" w:lineRule="auto"/>
        <w:jc w:val="both"/>
        <w:rPr>
          <w:rFonts w:ascii="Times New Roman" w:hAnsi="Times New Roman"/>
          <w:sz w:val="24"/>
          <w:szCs w:val="24"/>
        </w:rPr>
      </w:pPr>
      <w:r w:rsidRPr="00DA25D6">
        <w:rPr>
          <w:rFonts w:ascii="Times New Roman" w:hAnsi="Times New Roman"/>
          <w:sz w:val="24"/>
          <w:szCs w:val="24"/>
        </w:rPr>
        <w:t>E</w:t>
      </w:r>
      <w:r w:rsidR="00776C6E" w:rsidRPr="00DA25D6">
        <w:rPr>
          <w:rFonts w:ascii="Times New Roman" w:hAnsi="Times New Roman"/>
          <w:sz w:val="24"/>
          <w:szCs w:val="24"/>
        </w:rPr>
        <w:t>l anémico crecimiento anual de la economía mundial en el período 2009-2015</w:t>
      </w:r>
      <w:r w:rsidRPr="00DA25D6">
        <w:rPr>
          <w:rFonts w:ascii="Times New Roman" w:hAnsi="Times New Roman"/>
          <w:sz w:val="24"/>
          <w:szCs w:val="24"/>
        </w:rPr>
        <w:t xml:space="preserve"> </w:t>
      </w:r>
      <w:r w:rsidR="00ED20B5" w:rsidRPr="00DA25D6">
        <w:rPr>
          <w:rFonts w:ascii="Times New Roman" w:hAnsi="Times New Roman"/>
          <w:sz w:val="24"/>
          <w:szCs w:val="24"/>
        </w:rPr>
        <w:t xml:space="preserve">(2%) </w:t>
      </w:r>
      <w:r w:rsidRPr="00DA25D6">
        <w:rPr>
          <w:rFonts w:ascii="Times New Roman" w:hAnsi="Times New Roman"/>
          <w:sz w:val="24"/>
          <w:szCs w:val="24"/>
        </w:rPr>
        <w:t>-post-crisis internacional detonada con la quiebra del Lehman Brothers-</w:t>
      </w:r>
      <w:r w:rsidR="00776C6E" w:rsidRPr="00DA25D6">
        <w:rPr>
          <w:rFonts w:ascii="Times New Roman" w:hAnsi="Times New Roman"/>
          <w:sz w:val="24"/>
          <w:szCs w:val="24"/>
        </w:rPr>
        <w:t xml:space="preserve">, </w:t>
      </w:r>
      <w:r w:rsidRPr="00DA25D6">
        <w:rPr>
          <w:rFonts w:ascii="Times New Roman" w:hAnsi="Times New Roman"/>
          <w:sz w:val="24"/>
          <w:szCs w:val="24"/>
        </w:rPr>
        <w:t xml:space="preserve">se compuso de una recesión prolongada en los países del capitalismo central </w:t>
      </w:r>
      <w:r w:rsidR="00ED20B5" w:rsidRPr="00DA25D6">
        <w:rPr>
          <w:rFonts w:ascii="Times New Roman" w:hAnsi="Times New Roman"/>
          <w:sz w:val="24"/>
          <w:szCs w:val="24"/>
        </w:rPr>
        <w:t xml:space="preserve">(0,8%) </w:t>
      </w:r>
      <w:r w:rsidRPr="00DA25D6">
        <w:rPr>
          <w:rFonts w:ascii="Times New Roman" w:hAnsi="Times New Roman"/>
          <w:sz w:val="24"/>
          <w:szCs w:val="24"/>
        </w:rPr>
        <w:t xml:space="preserve">y de un crecimiento </w:t>
      </w:r>
      <w:r w:rsidR="00ED20B5" w:rsidRPr="00DA25D6">
        <w:rPr>
          <w:rFonts w:ascii="Times New Roman" w:hAnsi="Times New Roman"/>
          <w:sz w:val="24"/>
          <w:szCs w:val="24"/>
        </w:rPr>
        <w:t xml:space="preserve">cada vez menos </w:t>
      </w:r>
      <w:r w:rsidRPr="00DA25D6">
        <w:rPr>
          <w:rFonts w:ascii="Times New Roman" w:hAnsi="Times New Roman"/>
          <w:sz w:val="24"/>
          <w:szCs w:val="24"/>
        </w:rPr>
        <w:t>dinámico de los países del capitalismo asiático y periférico</w:t>
      </w:r>
      <w:r w:rsidR="00ED20B5" w:rsidRPr="00DA25D6">
        <w:rPr>
          <w:rFonts w:ascii="Times New Roman" w:hAnsi="Times New Roman"/>
          <w:sz w:val="24"/>
          <w:szCs w:val="24"/>
        </w:rPr>
        <w:t xml:space="preserve"> (4,7%)</w:t>
      </w:r>
      <w:r w:rsidRPr="00DA25D6">
        <w:rPr>
          <w:rFonts w:ascii="Times New Roman" w:hAnsi="Times New Roman"/>
          <w:sz w:val="24"/>
          <w:szCs w:val="24"/>
        </w:rPr>
        <w:t xml:space="preserve">. </w:t>
      </w:r>
    </w:p>
    <w:p w:rsidR="000F58C8" w:rsidRPr="00DA25D6" w:rsidRDefault="000F58C8"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En los hechos, en el corazón del sistema, la recesión no ha sido superada. </w:t>
      </w:r>
      <w:r w:rsidR="008706F6" w:rsidRPr="00DA25D6">
        <w:rPr>
          <w:rFonts w:ascii="Times New Roman" w:hAnsi="Times New Roman"/>
          <w:sz w:val="24"/>
          <w:szCs w:val="24"/>
        </w:rPr>
        <w:t xml:space="preserve">Y aunque los bancos centrales de EEUU, Europa y Japón han creado masas </w:t>
      </w:r>
      <w:r w:rsidR="00675851" w:rsidRPr="00DA25D6">
        <w:rPr>
          <w:rFonts w:ascii="Times New Roman" w:hAnsi="Times New Roman"/>
          <w:sz w:val="24"/>
          <w:szCs w:val="24"/>
        </w:rPr>
        <w:t xml:space="preserve">siderales </w:t>
      </w:r>
      <w:r w:rsidR="008706F6" w:rsidRPr="00DA25D6">
        <w:rPr>
          <w:rFonts w:ascii="Times New Roman" w:hAnsi="Times New Roman"/>
          <w:sz w:val="24"/>
          <w:szCs w:val="24"/>
        </w:rPr>
        <w:t xml:space="preserve">de dinero para tapar los hoyos de la economía real y estimular la demanda, la verdad es que sólo han conseguido multiplicar el endeudamiento en todo el mundo y elevar tanto </w:t>
      </w:r>
      <w:r w:rsidR="00ED20B5" w:rsidRPr="00DA25D6">
        <w:rPr>
          <w:rFonts w:ascii="Times New Roman" w:hAnsi="Times New Roman"/>
          <w:sz w:val="24"/>
          <w:szCs w:val="24"/>
        </w:rPr>
        <w:t xml:space="preserve">los índices de </w:t>
      </w:r>
      <w:r w:rsidR="008706F6" w:rsidRPr="00DA25D6">
        <w:rPr>
          <w:rFonts w:ascii="Times New Roman" w:hAnsi="Times New Roman"/>
          <w:sz w:val="24"/>
          <w:szCs w:val="24"/>
        </w:rPr>
        <w:t xml:space="preserve">las bolsas de valores como el precio de activos de riesgo, incluyendo hasta 3 años atrás el precio de las materias primas. Y </w:t>
      </w:r>
      <w:r w:rsidR="00675851" w:rsidRPr="00DA25D6">
        <w:rPr>
          <w:rFonts w:ascii="Times New Roman" w:hAnsi="Times New Roman"/>
          <w:sz w:val="24"/>
          <w:szCs w:val="24"/>
        </w:rPr>
        <w:t>hoy están presos de su maniobra de creación ilimitada de capital ficticio. Los bancos centrales de estos países están obligados a mantener tasas de interés negativo porque en el momento en que las alcen</w:t>
      </w:r>
      <w:r w:rsidR="00AE5B5F" w:rsidRPr="00DA25D6">
        <w:rPr>
          <w:rFonts w:ascii="Times New Roman" w:hAnsi="Times New Roman"/>
          <w:sz w:val="24"/>
          <w:szCs w:val="24"/>
        </w:rPr>
        <w:t xml:space="preserve"> en forma mínimamente significativa y continuada</w:t>
      </w:r>
      <w:r w:rsidR="00675851" w:rsidRPr="00DA25D6">
        <w:rPr>
          <w:rFonts w:ascii="Times New Roman" w:hAnsi="Times New Roman"/>
          <w:sz w:val="24"/>
          <w:szCs w:val="24"/>
        </w:rPr>
        <w:t xml:space="preserve">, asoma de inmediato una nueva crisis financiera generalizada. </w:t>
      </w:r>
    </w:p>
    <w:p w:rsidR="00675851" w:rsidRPr="00DA25D6" w:rsidRDefault="00766447"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Mención especial merece el capitalismo estadounidense, para explicar la actual coyuntura. </w:t>
      </w:r>
      <w:r w:rsidR="00A90FEA" w:rsidRPr="00DA25D6">
        <w:rPr>
          <w:rFonts w:ascii="Times New Roman" w:hAnsi="Times New Roman"/>
          <w:sz w:val="24"/>
          <w:szCs w:val="24"/>
        </w:rPr>
        <w:t xml:space="preserve">Luego de la crisis 2008, la Reserva Federal </w:t>
      </w:r>
      <w:r w:rsidR="008036CC" w:rsidRPr="00DA25D6">
        <w:rPr>
          <w:rFonts w:ascii="Times New Roman" w:hAnsi="Times New Roman"/>
          <w:sz w:val="24"/>
          <w:szCs w:val="24"/>
        </w:rPr>
        <w:t xml:space="preserve">(Fed) </w:t>
      </w:r>
      <w:r w:rsidR="00A90FEA" w:rsidRPr="00DA25D6">
        <w:rPr>
          <w:rFonts w:ascii="Times New Roman" w:hAnsi="Times New Roman"/>
          <w:sz w:val="24"/>
          <w:szCs w:val="24"/>
        </w:rPr>
        <w:t>de los EEUU no se limitó a bajar sus tasas de interés al rango ínfimo de 0,0% a 0,25%. Hizo más. Hasta fines de 2014, mediante programas llamados “Facilidad Cuantitativa”</w:t>
      </w:r>
      <w:r w:rsidR="008036CC" w:rsidRPr="00DA25D6">
        <w:rPr>
          <w:rFonts w:ascii="Times New Roman" w:hAnsi="Times New Roman"/>
          <w:sz w:val="24"/>
          <w:szCs w:val="24"/>
        </w:rPr>
        <w:t xml:space="preserve"> (FC)</w:t>
      </w:r>
      <w:r w:rsidR="00A90FEA" w:rsidRPr="00DA25D6">
        <w:rPr>
          <w:rFonts w:ascii="Times New Roman" w:hAnsi="Times New Roman"/>
          <w:sz w:val="24"/>
          <w:szCs w:val="24"/>
        </w:rPr>
        <w:t xml:space="preserve">, multiplicó la liquidez comprando mensualmente hasta 85 mil millones de dólares en Bonos del Tesoro de los EEUU. Esa enorme liquidez fue determinante de un abaratamiento inusitado del crédito internacional a </w:t>
      </w:r>
      <w:r w:rsidR="00A90FEA" w:rsidRPr="00DA25D6">
        <w:rPr>
          <w:rFonts w:ascii="Times New Roman" w:hAnsi="Times New Roman"/>
          <w:sz w:val="24"/>
          <w:szCs w:val="24"/>
        </w:rPr>
        <w:lastRenderedPageBreak/>
        <w:t xml:space="preserve">partir de entonces y también de compras especulativas de materias primas como el cobre y el petróleo que vieron así reforzada la tendencia alcista de sus precios post-crisis del 2008. </w:t>
      </w:r>
    </w:p>
    <w:p w:rsidR="00BD37F8" w:rsidRDefault="00A90FEA"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Ambos efectos resultaron benéficos para </w:t>
      </w:r>
      <w:r w:rsidR="00476C31" w:rsidRPr="00DA25D6">
        <w:rPr>
          <w:rFonts w:ascii="Times New Roman" w:hAnsi="Times New Roman"/>
          <w:sz w:val="24"/>
          <w:szCs w:val="24"/>
        </w:rPr>
        <w:t xml:space="preserve">el crecimiento de </w:t>
      </w:r>
      <w:r w:rsidRPr="00DA25D6">
        <w:rPr>
          <w:rFonts w:ascii="Times New Roman" w:hAnsi="Times New Roman"/>
          <w:sz w:val="24"/>
          <w:szCs w:val="24"/>
        </w:rPr>
        <w:t xml:space="preserve">las economías suramericanas. </w:t>
      </w:r>
      <w:r w:rsidR="00F57492">
        <w:rPr>
          <w:rFonts w:ascii="Times New Roman" w:hAnsi="Times New Roman"/>
          <w:sz w:val="24"/>
          <w:szCs w:val="24"/>
        </w:rPr>
        <w:t>Sus</w:t>
      </w:r>
      <w:r w:rsidR="00476C31" w:rsidRPr="00DA25D6">
        <w:rPr>
          <w:rFonts w:ascii="Times New Roman" w:hAnsi="Times New Roman"/>
          <w:sz w:val="24"/>
          <w:szCs w:val="24"/>
        </w:rPr>
        <w:t xml:space="preserve"> ingresos de exportación </w:t>
      </w:r>
      <w:r w:rsidR="00BD37F8">
        <w:rPr>
          <w:rFonts w:ascii="Times New Roman" w:hAnsi="Times New Roman"/>
          <w:sz w:val="24"/>
          <w:szCs w:val="24"/>
        </w:rPr>
        <w:t xml:space="preserve">crecieron </w:t>
      </w:r>
      <w:r w:rsidR="00F57492">
        <w:rPr>
          <w:rFonts w:ascii="Times New Roman" w:hAnsi="Times New Roman"/>
          <w:sz w:val="24"/>
          <w:szCs w:val="24"/>
        </w:rPr>
        <w:t xml:space="preserve">alentados </w:t>
      </w:r>
      <w:r w:rsidR="00476C31" w:rsidRPr="00DA25D6">
        <w:rPr>
          <w:rFonts w:ascii="Times New Roman" w:hAnsi="Times New Roman"/>
          <w:sz w:val="24"/>
          <w:szCs w:val="24"/>
        </w:rPr>
        <w:t xml:space="preserve">por el precio de las materias primas, -aunque fuese </w:t>
      </w:r>
      <w:r w:rsidR="00BD37F8">
        <w:rPr>
          <w:rFonts w:ascii="Times New Roman" w:hAnsi="Times New Roman"/>
          <w:sz w:val="24"/>
          <w:szCs w:val="24"/>
        </w:rPr>
        <w:t xml:space="preserve">éste un estímulo </w:t>
      </w:r>
      <w:r w:rsidR="00476C31" w:rsidRPr="00DA25D6">
        <w:rPr>
          <w:rFonts w:ascii="Times New Roman" w:hAnsi="Times New Roman"/>
          <w:sz w:val="24"/>
          <w:szCs w:val="24"/>
        </w:rPr>
        <w:t xml:space="preserve">decreciente luego de 2011-, </w:t>
      </w:r>
      <w:r w:rsidR="00F57492">
        <w:rPr>
          <w:rFonts w:ascii="Times New Roman" w:hAnsi="Times New Roman"/>
          <w:sz w:val="24"/>
          <w:szCs w:val="24"/>
        </w:rPr>
        <w:t xml:space="preserve">al tiempo </w:t>
      </w:r>
      <w:r w:rsidR="00476C31" w:rsidRPr="00DA25D6">
        <w:rPr>
          <w:rFonts w:ascii="Times New Roman" w:hAnsi="Times New Roman"/>
          <w:sz w:val="24"/>
          <w:szCs w:val="24"/>
        </w:rPr>
        <w:t xml:space="preserve">que el crédito internacional </w:t>
      </w:r>
      <w:r w:rsidR="00BD37F8">
        <w:rPr>
          <w:rFonts w:ascii="Times New Roman" w:hAnsi="Times New Roman"/>
          <w:sz w:val="24"/>
          <w:szCs w:val="24"/>
        </w:rPr>
        <w:t xml:space="preserve">apoyó la expansión </w:t>
      </w:r>
      <w:r w:rsidR="00476C31" w:rsidRPr="00DA25D6">
        <w:rPr>
          <w:rFonts w:ascii="Times New Roman" w:hAnsi="Times New Roman"/>
          <w:sz w:val="24"/>
          <w:szCs w:val="24"/>
        </w:rPr>
        <w:t xml:space="preserve">del consumo interno y el apalancamiento de la inversión. </w:t>
      </w:r>
    </w:p>
    <w:p w:rsidR="00476C31" w:rsidRPr="00DA25D6" w:rsidRDefault="00476C31"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Pero los vientos empezaron a cambiar en 2013. </w:t>
      </w:r>
      <w:r w:rsidR="00BD37F8">
        <w:rPr>
          <w:rFonts w:ascii="Times New Roman" w:hAnsi="Times New Roman"/>
          <w:sz w:val="24"/>
          <w:szCs w:val="24"/>
        </w:rPr>
        <w:t xml:space="preserve">En marzo de ese año, </w:t>
      </w:r>
      <w:r w:rsidR="008036CC" w:rsidRPr="00DA25D6">
        <w:rPr>
          <w:rFonts w:ascii="Times New Roman" w:hAnsi="Times New Roman"/>
          <w:sz w:val="24"/>
          <w:szCs w:val="24"/>
        </w:rPr>
        <w:t xml:space="preserve">la Fed anunció el término progresivo de su programa de “Facilidad Cuantitativa”. </w:t>
      </w:r>
      <w:r w:rsidR="00F57492">
        <w:rPr>
          <w:rFonts w:ascii="Times New Roman" w:hAnsi="Times New Roman"/>
          <w:sz w:val="24"/>
          <w:szCs w:val="24"/>
        </w:rPr>
        <w:t xml:space="preserve">Esto </w:t>
      </w:r>
      <w:r w:rsidR="008036CC" w:rsidRPr="00DA25D6">
        <w:rPr>
          <w:rFonts w:ascii="Times New Roman" w:hAnsi="Times New Roman"/>
          <w:sz w:val="24"/>
          <w:szCs w:val="24"/>
        </w:rPr>
        <w:t xml:space="preserve">bastó para que se iniciara una tendencia al alza del dólar  y paralelamente a la caída de los </w:t>
      </w:r>
      <w:r w:rsidR="00F57492">
        <w:rPr>
          <w:rFonts w:ascii="Times New Roman" w:hAnsi="Times New Roman"/>
          <w:sz w:val="24"/>
          <w:szCs w:val="24"/>
        </w:rPr>
        <w:t xml:space="preserve">precios de las materias primas. </w:t>
      </w:r>
      <w:r w:rsidR="008036CC" w:rsidRPr="00DA25D6">
        <w:rPr>
          <w:rFonts w:ascii="Times New Roman" w:hAnsi="Times New Roman"/>
          <w:sz w:val="24"/>
          <w:szCs w:val="24"/>
        </w:rPr>
        <w:t>Ya durante 2014, la Fed efectivamente redujo hasta eliminar por completo el programa de FC y fue más allá</w:t>
      </w:r>
      <w:r w:rsidR="00BD37F8">
        <w:rPr>
          <w:rFonts w:ascii="Times New Roman" w:hAnsi="Times New Roman"/>
          <w:sz w:val="24"/>
          <w:szCs w:val="24"/>
        </w:rPr>
        <w:t>,</w:t>
      </w:r>
      <w:r w:rsidR="008036CC" w:rsidRPr="00DA25D6">
        <w:rPr>
          <w:rFonts w:ascii="Times New Roman" w:hAnsi="Times New Roman"/>
          <w:sz w:val="24"/>
          <w:szCs w:val="24"/>
        </w:rPr>
        <w:t xml:space="preserve"> al anunciar </w:t>
      </w:r>
      <w:r w:rsidR="00F1304B">
        <w:rPr>
          <w:rFonts w:ascii="Times New Roman" w:hAnsi="Times New Roman"/>
          <w:sz w:val="24"/>
          <w:szCs w:val="24"/>
        </w:rPr>
        <w:t xml:space="preserve">en </w:t>
      </w:r>
      <w:r w:rsidR="008036CC" w:rsidRPr="00DA25D6">
        <w:rPr>
          <w:rFonts w:ascii="Times New Roman" w:hAnsi="Times New Roman"/>
          <w:sz w:val="24"/>
          <w:szCs w:val="24"/>
        </w:rPr>
        <w:t xml:space="preserve">2015 </w:t>
      </w:r>
      <w:r w:rsidR="00BD37F8">
        <w:rPr>
          <w:rFonts w:ascii="Times New Roman" w:hAnsi="Times New Roman"/>
          <w:sz w:val="24"/>
          <w:szCs w:val="24"/>
        </w:rPr>
        <w:t xml:space="preserve">que </w:t>
      </w:r>
      <w:r w:rsidR="008036CC" w:rsidRPr="00DA25D6">
        <w:rPr>
          <w:rFonts w:ascii="Times New Roman" w:hAnsi="Times New Roman"/>
          <w:sz w:val="24"/>
          <w:szCs w:val="24"/>
        </w:rPr>
        <w:t>evalua</w:t>
      </w:r>
      <w:r w:rsidR="00BD37F8">
        <w:rPr>
          <w:rFonts w:ascii="Times New Roman" w:hAnsi="Times New Roman"/>
          <w:sz w:val="24"/>
          <w:szCs w:val="24"/>
        </w:rPr>
        <w:t xml:space="preserve">ba </w:t>
      </w:r>
      <w:r w:rsidR="008036CC" w:rsidRPr="00DA25D6">
        <w:rPr>
          <w:rFonts w:ascii="Times New Roman" w:hAnsi="Times New Roman"/>
          <w:sz w:val="24"/>
          <w:szCs w:val="24"/>
        </w:rPr>
        <w:t xml:space="preserve">iniciar un alza de sus tasas de interés. </w:t>
      </w:r>
    </w:p>
    <w:p w:rsidR="00795CCF" w:rsidRPr="00DA25D6" w:rsidRDefault="008036CC"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El efecto de estas medidas para las economías suramericanas a partir de 2014 fue demoledor. </w:t>
      </w:r>
      <w:r w:rsidR="006F77C5" w:rsidRPr="00DA25D6">
        <w:rPr>
          <w:rFonts w:ascii="Times New Roman" w:hAnsi="Times New Roman"/>
          <w:sz w:val="24"/>
          <w:szCs w:val="24"/>
        </w:rPr>
        <w:t xml:space="preserve">Su crecimiento </w:t>
      </w:r>
      <w:r w:rsidR="0020133C" w:rsidRPr="00DA25D6">
        <w:rPr>
          <w:rFonts w:ascii="Times New Roman" w:hAnsi="Times New Roman"/>
          <w:sz w:val="24"/>
          <w:szCs w:val="24"/>
        </w:rPr>
        <w:t xml:space="preserve">promedio </w:t>
      </w:r>
      <w:r w:rsidR="006F77C5" w:rsidRPr="00DA25D6">
        <w:rPr>
          <w:rFonts w:ascii="Times New Roman" w:hAnsi="Times New Roman"/>
          <w:sz w:val="24"/>
          <w:szCs w:val="24"/>
        </w:rPr>
        <w:t>en 2014 fue de tan sólo un</w:t>
      </w:r>
      <w:r w:rsidR="0020133C" w:rsidRPr="00DA25D6">
        <w:rPr>
          <w:rFonts w:ascii="Times New Roman" w:hAnsi="Times New Roman"/>
          <w:sz w:val="24"/>
          <w:szCs w:val="24"/>
        </w:rPr>
        <w:t xml:space="preserve"> 0,6% en 2014 </w:t>
      </w:r>
      <w:r w:rsidR="006F77C5" w:rsidRPr="00DA25D6">
        <w:rPr>
          <w:rFonts w:ascii="Times New Roman" w:hAnsi="Times New Roman"/>
          <w:sz w:val="24"/>
          <w:szCs w:val="24"/>
        </w:rPr>
        <w:t>y el de 2015, u</w:t>
      </w:r>
      <w:r w:rsidR="0020133C" w:rsidRPr="00DA25D6">
        <w:rPr>
          <w:rFonts w:ascii="Times New Roman" w:hAnsi="Times New Roman"/>
          <w:sz w:val="24"/>
          <w:szCs w:val="24"/>
        </w:rPr>
        <w:t>na caída de</w:t>
      </w:r>
      <w:r w:rsidR="006F77C5" w:rsidRPr="00DA25D6">
        <w:rPr>
          <w:rFonts w:ascii="Times New Roman" w:hAnsi="Times New Roman"/>
          <w:sz w:val="24"/>
          <w:szCs w:val="24"/>
        </w:rPr>
        <w:t xml:space="preserve"> -</w:t>
      </w:r>
      <w:r w:rsidR="0020133C" w:rsidRPr="00DA25D6">
        <w:rPr>
          <w:rFonts w:ascii="Times New Roman" w:hAnsi="Times New Roman"/>
          <w:sz w:val="24"/>
          <w:szCs w:val="24"/>
        </w:rPr>
        <w:t>1,6%</w:t>
      </w:r>
      <w:r w:rsidR="006F77C5" w:rsidRPr="00DA25D6">
        <w:rPr>
          <w:rFonts w:ascii="Times New Roman" w:hAnsi="Times New Roman"/>
          <w:sz w:val="24"/>
          <w:szCs w:val="24"/>
        </w:rPr>
        <w:t>. Es cierto que al cuadro externo desfavorable se sumó la desaceleración del crecimiento de China</w:t>
      </w:r>
      <w:r w:rsidR="00D83DC6" w:rsidRPr="00DA25D6">
        <w:rPr>
          <w:rFonts w:ascii="Times New Roman" w:hAnsi="Times New Roman"/>
          <w:sz w:val="24"/>
          <w:szCs w:val="24"/>
        </w:rPr>
        <w:t xml:space="preserve">; hacia un promedio anual por primera vez en décadas por debajo del 7%; con la consiguiente menor presión de demanda por las materias primas. Pero sin duda, el mayor impacto negativo provino del creado por las medidas adoptadas por EEUU. </w:t>
      </w:r>
      <w:r w:rsidR="00795CCF" w:rsidRPr="00DA25D6">
        <w:rPr>
          <w:rFonts w:ascii="Times New Roman" w:hAnsi="Times New Roman"/>
          <w:sz w:val="24"/>
          <w:szCs w:val="24"/>
        </w:rPr>
        <w:t xml:space="preserve">Y la continuidad de la recesión en Europa y el Japón. El crédito internacional hacia América Latina se restringió, se hizo más costoso y el flujo de capitales tanto especulativos como de inversión extranjera directa decayó. </w:t>
      </w:r>
    </w:p>
    <w:p w:rsidR="00D83DC6" w:rsidRPr="00DA25D6" w:rsidRDefault="00F57492" w:rsidP="00AE1BC3">
      <w:pPr>
        <w:spacing w:line="240" w:lineRule="auto"/>
        <w:jc w:val="both"/>
        <w:rPr>
          <w:rFonts w:ascii="Times New Roman" w:hAnsi="Times New Roman"/>
          <w:sz w:val="24"/>
          <w:szCs w:val="24"/>
        </w:rPr>
      </w:pPr>
      <w:r>
        <w:rPr>
          <w:rFonts w:ascii="Times New Roman" w:hAnsi="Times New Roman"/>
          <w:sz w:val="24"/>
          <w:szCs w:val="24"/>
        </w:rPr>
        <w:t>E</w:t>
      </w:r>
      <w:r w:rsidR="00795CCF" w:rsidRPr="00DA25D6">
        <w:rPr>
          <w:rFonts w:ascii="Times New Roman" w:hAnsi="Times New Roman"/>
          <w:sz w:val="24"/>
          <w:szCs w:val="24"/>
        </w:rPr>
        <w:t xml:space="preserve">n diciembre de 2015, la Fed hizo efectiva una primera alza de su tasa de interés </w:t>
      </w:r>
      <w:r>
        <w:rPr>
          <w:rFonts w:ascii="Times New Roman" w:hAnsi="Times New Roman"/>
          <w:sz w:val="24"/>
          <w:szCs w:val="24"/>
        </w:rPr>
        <w:t xml:space="preserve">lo </w:t>
      </w:r>
      <w:r w:rsidR="00795CCF" w:rsidRPr="00DA25D6">
        <w:rPr>
          <w:rFonts w:ascii="Times New Roman" w:hAnsi="Times New Roman"/>
          <w:sz w:val="24"/>
          <w:szCs w:val="24"/>
        </w:rPr>
        <w:t>que provocó un remezón bursátil, caídas adicionales en los precios de las materias primas, en particular del petróleo, y un reforzamiento del precio del dólar</w:t>
      </w:r>
      <w:r w:rsidR="005032EA" w:rsidRPr="00DA25D6">
        <w:rPr>
          <w:rFonts w:ascii="Times New Roman" w:hAnsi="Times New Roman"/>
          <w:sz w:val="24"/>
          <w:szCs w:val="24"/>
        </w:rPr>
        <w:t>, con elevada volatilidad e incertidumbre de lo que esto podría generar</w:t>
      </w:r>
      <w:r w:rsidR="00795CCF" w:rsidRPr="00DA25D6">
        <w:rPr>
          <w:rFonts w:ascii="Times New Roman" w:hAnsi="Times New Roman"/>
          <w:sz w:val="24"/>
          <w:szCs w:val="24"/>
        </w:rPr>
        <w:t xml:space="preserve">. Si bien en marzo de </w:t>
      </w:r>
      <w:r w:rsidR="00BD37F8">
        <w:rPr>
          <w:rFonts w:ascii="Times New Roman" w:hAnsi="Times New Roman"/>
          <w:sz w:val="24"/>
          <w:szCs w:val="24"/>
        </w:rPr>
        <w:t>2016</w:t>
      </w:r>
      <w:r w:rsidR="00FD1BFB" w:rsidRPr="00DA25D6">
        <w:rPr>
          <w:rFonts w:ascii="Times New Roman" w:hAnsi="Times New Roman"/>
          <w:sz w:val="24"/>
          <w:szCs w:val="24"/>
        </w:rPr>
        <w:t xml:space="preserve"> esas tendencias se morigeraron y revirtieron muy parcialmente, ello se debió a la postergación -por ahora indefinida- de nuevas alzas de la tasa de interés por parte de la Reserva Federal. </w:t>
      </w:r>
      <w:r w:rsidR="00A74D35" w:rsidRPr="00DA25D6">
        <w:rPr>
          <w:rFonts w:ascii="Times New Roman" w:hAnsi="Times New Roman"/>
          <w:sz w:val="24"/>
          <w:szCs w:val="24"/>
        </w:rPr>
        <w:t>Y si el pronóstico de Cepal para América del Sur en 2016, realizado en diciembre pasado, era de una caída de -0,8%</w:t>
      </w:r>
      <w:r w:rsidR="005032EA" w:rsidRPr="00DA25D6">
        <w:rPr>
          <w:rStyle w:val="Refdenotaalpie"/>
          <w:rFonts w:ascii="Times New Roman" w:hAnsi="Times New Roman"/>
          <w:sz w:val="24"/>
          <w:szCs w:val="24"/>
        </w:rPr>
        <w:footnoteReference w:id="4"/>
      </w:r>
      <w:r w:rsidR="00A74D35" w:rsidRPr="00DA25D6">
        <w:rPr>
          <w:rFonts w:ascii="Times New Roman" w:hAnsi="Times New Roman"/>
          <w:sz w:val="24"/>
          <w:szCs w:val="24"/>
        </w:rPr>
        <w:t>, hoy ya se avizora u</w:t>
      </w:r>
      <w:r w:rsidR="00117E00">
        <w:rPr>
          <w:rFonts w:ascii="Times New Roman" w:hAnsi="Times New Roman"/>
          <w:sz w:val="24"/>
          <w:szCs w:val="24"/>
        </w:rPr>
        <w:t>na recesión mayor (-1,9</w:t>
      </w:r>
      <w:r w:rsidR="00A74D35" w:rsidRPr="00DA25D6">
        <w:rPr>
          <w:rFonts w:ascii="Times New Roman" w:hAnsi="Times New Roman"/>
          <w:sz w:val="24"/>
          <w:szCs w:val="24"/>
        </w:rPr>
        <w:t>%</w:t>
      </w:r>
      <w:r w:rsidR="00117E00">
        <w:rPr>
          <w:rFonts w:ascii="Times New Roman" w:hAnsi="Times New Roman"/>
          <w:sz w:val="24"/>
          <w:szCs w:val="24"/>
        </w:rPr>
        <w:t>)</w:t>
      </w:r>
      <w:r w:rsidR="005032EA" w:rsidRPr="00DA25D6">
        <w:rPr>
          <w:rFonts w:ascii="Times New Roman" w:hAnsi="Times New Roman"/>
          <w:sz w:val="24"/>
          <w:szCs w:val="24"/>
        </w:rPr>
        <w:t>, agravada</w:t>
      </w:r>
      <w:r w:rsidR="00A74D35" w:rsidRPr="00DA25D6">
        <w:rPr>
          <w:rFonts w:ascii="Times New Roman" w:hAnsi="Times New Roman"/>
          <w:sz w:val="24"/>
          <w:szCs w:val="24"/>
        </w:rPr>
        <w:t xml:space="preserve"> sobre todo por las caídas de las mayores economías de la región: Argentina, Brasil y Venezuela. </w:t>
      </w:r>
      <w:r w:rsidR="005032EA" w:rsidRPr="00DA25D6">
        <w:rPr>
          <w:rFonts w:ascii="Times New Roman" w:hAnsi="Times New Roman"/>
          <w:sz w:val="24"/>
          <w:szCs w:val="24"/>
        </w:rPr>
        <w:t xml:space="preserve">Y está aún </w:t>
      </w:r>
      <w:r w:rsidR="00736E1D" w:rsidRPr="00DA25D6">
        <w:rPr>
          <w:rFonts w:ascii="Times New Roman" w:hAnsi="Times New Roman"/>
          <w:sz w:val="24"/>
          <w:szCs w:val="24"/>
        </w:rPr>
        <w:t xml:space="preserve">por </w:t>
      </w:r>
      <w:r w:rsidR="005032EA" w:rsidRPr="00DA25D6">
        <w:rPr>
          <w:rFonts w:ascii="Times New Roman" w:hAnsi="Times New Roman"/>
          <w:sz w:val="24"/>
          <w:szCs w:val="24"/>
        </w:rPr>
        <w:t xml:space="preserve">verse </w:t>
      </w:r>
      <w:r w:rsidR="00736E1D" w:rsidRPr="00DA25D6">
        <w:rPr>
          <w:rFonts w:ascii="Times New Roman" w:hAnsi="Times New Roman"/>
          <w:sz w:val="24"/>
          <w:szCs w:val="24"/>
        </w:rPr>
        <w:t>si EEUU no detona un nuevo episodio de crisis financiera mundial, con oscuros propósitos.</w:t>
      </w:r>
      <w:r w:rsidR="00443090" w:rsidRPr="00DA25D6">
        <w:rPr>
          <w:rFonts w:ascii="Times New Roman" w:hAnsi="Times New Roman"/>
          <w:sz w:val="24"/>
          <w:szCs w:val="24"/>
        </w:rPr>
        <w:t xml:space="preserve"> O si China no se desacelera más.</w:t>
      </w:r>
    </w:p>
    <w:p w:rsidR="00A74D35" w:rsidRPr="00DA25D6" w:rsidRDefault="00736E1D"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En segundo lugar, </w:t>
      </w:r>
      <w:r w:rsidR="00AE5B5F" w:rsidRPr="00DA25D6">
        <w:rPr>
          <w:rFonts w:ascii="Times New Roman" w:hAnsi="Times New Roman"/>
          <w:sz w:val="24"/>
          <w:szCs w:val="24"/>
        </w:rPr>
        <w:t xml:space="preserve">cabe examinar el comportamiento de los </w:t>
      </w:r>
      <w:r w:rsidR="000537A1" w:rsidRPr="00DA25D6">
        <w:rPr>
          <w:rFonts w:ascii="Times New Roman" w:hAnsi="Times New Roman"/>
          <w:sz w:val="24"/>
          <w:szCs w:val="24"/>
        </w:rPr>
        <w:t>“</w:t>
      </w:r>
      <w:r w:rsidR="00AE5B5F" w:rsidRPr="00DA25D6">
        <w:rPr>
          <w:rFonts w:ascii="Times New Roman" w:hAnsi="Times New Roman"/>
          <w:sz w:val="24"/>
          <w:szCs w:val="24"/>
        </w:rPr>
        <w:t>agentes internos</w:t>
      </w:r>
      <w:r w:rsidR="000537A1" w:rsidRPr="00DA25D6">
        <w:rPr>
          <w:rFonts w:ascii="Times New Roman" w:hAnsi="Times New Roman"/>
          <w:sz w:val="24"/>
          <w:szCs w:val="24"/>
        </w:rPr>
        <w:t>”</w:t>
      </w:r>
      <w:r w:rsidR="00AE5B5F" w:rsidRPr="00DA25D6">
        <w:rPr>
          <w:rFonts w:ascii="Times New Roman" w:hAnsi="Times New Roman"/>
          <w:sz w:val="24"/>
          <w:szCs w:val="24"/>
        </w:rPr>
        <w:t xml:space="preserve"> de la economía chilena en este contexto. </w:t>
      </w:r>
    </w:p>
    <w:p w:rsidR="00FA322D" w:rsidRPr="00DA25D6" w:rsidRDefault="00524E4D" w:rsidP="00AE1BC3">
      <w:pPr>
        <w:spacing w:line="240" w:lineRule="auto"/>
        <w:jc w:val="both"/>
        <w:rPr>
          <w:rFonts w:ascii="Times New Roman" w:hAnsi="Times New Roman"/>
          <w:sz w:val="24"/>
          <w:szCs w:val="24"/>
        </w:rPr>
      </w:pPr>
      <w:r w:rsidRPr="00DA25D6">
        <w:rPr>
          <w:rFonts w:ascii="Times New Roman" w:hAnsi="Times New Roman"/>
          <w:sz w:val="24"/>
          <w:szCs w:val="24"/>
        </w:rPr>
        <w:t>Del lado del gran capital, está claro que al término del gobierno de Piñera creció su ansiedad</w:t>
      </w:r>
      <w:r w:rsidR="00FA322D" w:rsidRPr="00DA25D6">
        <w:rPr>
          <w:rFonts w:ascii="Times New Roman" w:hAnsi="Times New Roman"/>
          <w:sz w:val="24"/>
          <w:szCs w:val="24"/>
        </w:rPr>
        <w:t xml:space="preserve">, no sólo por su conocimiento de lo que se venía en el entorno externo, sino por </w:t>
      </w:r>
      <w:r w:rsidRPr="00DA25D6">
        <w:rPr>
          <w:rFonts w:ascii="Times New Roman" w:hAnsi="Times New Roman"/>
          <w:sz w:val="24"/>
          <w:szCs w:val="24"/>
        </w:rPr>
        <w:t xml:space="preserve">lo que podría implicar el </w:t>
      </w:r>
      <w:r w:rsidR="008F0269" w:rsidRPr="00DA25D6">
        <w:rPr>
          <w:rFonts w:ascii="Times New Roman" w:hAnsi="Times New Roman"/>
          <w:sz w:val="24"/>
          <w:szCs w:val="24"/>
        </w:rPr>
        <w:t xml:space="preserve">segundo </w:t>
      </w:r>
      <w:r w:rsidRPr="00DA25D6">
        <w:rPr>
          <w:rFonts w:ascii="Times New Roman" w:hAnsi="Times New Roman"/>
          <w:sz w:val="24"/>
          <w:szCs w:val="24"/>
        </w:rPr>
        <w:t>gobierno de Bachelet y su programa de reformas</w:t>
      </w:r>
      <w:r w:rsidR="00FA322D" w:rsidRPr="00DA25D6">
        <w:rPr>
          <w:rFonts w:ascii="Times New Roman" w:hAnsi="Times New Roman"/>
          <w:sz w:val="24"/>
          <w:szCs w:val="24"/>
        </w:rPr>
        <w:t xml:space="preserve">. </w:t>
      </w:r>
      <w:r w:rsidRPr="00DA25D6">
        <w:rPr>
          <w:rFonts w:ascii="Times New Roman" w:hAnsi="Times New Roman"/>
          <w:sz w:val="24"/>
          <w:szCs w:val="24"/>
        </w:rPr>
        <w:t xml:space="preserve">Si bien </w:t>
      </w:r>
      <w:r w:rsidR="00FA322D" w:rsidRPr="00DA25D6">
        <w:rPr>
          <w:rFonts w:ascii="Times New Roman" w:hAnsi="Times New Roman"/>
          <w:sz w:val="24"/>
          <w:szCs w:val="24"/>
        </w:rPr>
        <w:t xml:space="preserve">los grandes grupos económicos </w:t>
      </w:r>
      <w:r w:rsidRPr="00DA25D6">
        <w:rPr>
          <w:rFonts w:ascii="Times New Roman" w:hAnsi="Times New Roman"/>
          <w:sz w:val="24"/>
          <w:szCs w:val="24"/>
        </w:rPr>
        <w:t xml:space="preserve">consintieron en los titulares de las mismas, </w:t>
      </w:r>
      <w:r w:rsidR="00EA277C" w:rsidRPr="00DA25D6">
        <w:rPr>
          <w:rFonts w:ascii="Times New Roman" w:hAnsi="Times New Roman"/>
          <w:sz w:val="24"/>
          <w:szCs w:val="24"/>
        </w:rPr>
        <w:t>obviamente se preocuparían de que ellas no alcanzaran la profundidad necesaria como para rem</w:t>
      </w:r>
      <w:r w:rsidR="00FA322D" w:rsidRPr="00DA25D6">
        <w:rPr>
          <w:rFonts w:ascii="Times New Roman" w:hAnsi="Times New Roman"/>
          <w:sz w:val="24"/>
          <w:szCs w:val="24"/>
        </w:rPr>
        <w:t xml:space="preserve">over los cimientos del sistema. Al fin y al cabo, para ellos, de lo que se trata es que las reformas </w:t>
      </w:r>
      <w:r w:rsidR="00FA322D" w:rsidRPr="00DA25D6">
        <w:rPr>
          <w:rFonts w:ascii="Times New Roman" w:hAnsi="Times New Roman"/>
          <w:sz w:val="24"/>
          <w:szCs w:val="24"/>
        </w:rPr>
        <w:lastRenderedPageBreak/>
        <w:t xml:space="preserve">logren desactivar </w:t>
      </w:r>
      <w:r w:rsidR="004F59AE" w:rsidRPr="00DA25D6">
        <w:rPr>
          <w:rFonts w:ascii="Times New Roman" w:hAnsi="Times New Roman"/>
          <w:sz w:val="24"/>
          <w:szCs w:val="24"/>
        </w:rPr>
        <w:t xml:space="preserve">y limitar </w:t>
      </w:r>
      <w:r w:rsidR="00FA322D" w:rsidRPr="00DA25D6">
        <w:rPr>
          <w:rFonts w:ascii="Times New Roman" w:hAnsi="Times New Roman"/>
          <w:sz w:val="24"/>
          <w:szCs w:val="24"/>
        </w:rPr>
        <w:t xml:space="preserve">el proceso de cuestionamiento al modelo político y económico </w:t>
      </w:r>
      <w:r w:rsidR="004F59AE" w:rsidRPr="00DA25D6">
        <w:rPr>
          <w:rFonts w:ascii="Times New Roman" w:hAnsi="Times New Roman"/>
          <w:sz w:val="24"/>
          <w:szCs w:val="24"/>
        </w:rPr>
        <w:t xml:space="preserve">desatado </w:t>
      </w:r>
      <w:r w:rsidR="00FA322D" w:rsidRPr="00DA25D6">
        <w:rPr>
          <w:rFonts w:ascii="Times New Roman" w:hAnsi="Times New Roman"/>
          <w:sz w:val="24"/>
          <w:szCs w:val="24"/>
        </w:rPr>
        <w:t xml:space="preserve">por las movilizaciones sociales de 2011 en adelante. </w:t>
      </w:r>
    </w:p>
    <w:p w:rsidR="00E32753" w:rsidRPr="00DA25D6" w:rsidRDefault="00FA322D"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Pero las cosas no salieron del todo como esperaban. Si bien el ritmo y masividad de las movilizaciones sociales decayó, </w:t>
      </w:r>
      <w:r w:rsidR="004F59AE" w:rsidRPr="00DA25D6">
        <w:rPr>
          <w:rFonts w:ascii="Times New Roman" w:hAnsi="Times New Roman"/>
          <w:sz w:val="24"/>
          <w:szCs w:val="24"/>
        </w:rPr>
        <w:t>el destape a fines de 2014 d</w:t>
      </w:r>
      <w:r w:rsidR="004F59AE" w:rsidRPr="00DA25D6">
        <w:rPr>
          <w:rFonts w:ascii="Times New Roman" w:hAnsi="Times New Roman"/>
          <w:sz w:val="24"/>
          <w:szCs w:val="24"/>
          <w:lang w:val="es-MX"/>
        </w:rPr>
        <w:t>el extendido financiamiento “irregular” de políticos del sistema por grupos empresariales</w:t>
      </w:r>
      <w:r w:rsidR="004F59AE" w:rsidRPr="00DA25D6">
        <w:rPr>
          <w:rFonts w:ascii="Times New Roman" w:hAnsi="Times New Roman"/>
          <w:sz w:val="24"/>
          <w:szCs w:val="24"/>
        </w:rPr>
        <w:t xml:space="preserve"> dañó gravemente </w:t>
      </w:r>
      <w:r w:rsidR="00825B21" w:rsidRPr="00DA25D6">
        <w:rPr>
          <w:rFonts w:ascii="Times New Roman" w:hAnsi="Times New Roman"/>
          <w:sz w:val="24"/>
          <w:szCs w:val="24"/>
        </w:rPr>
        <w:t xml:space="preserve">la </w:t>
      </w:r>
      <w:r w:rsidR="00825B21" w:rsidRPr="00DA25D6">
        <w:rPr>
          <w:rFonts w:ascii="Times New Roman" w:hAnsi="Times New Roman"/>
          <w:sz w:val="24"/>
          <w:szCs w:val="24"/>
          <w:lang w:val="es-MX"/>
        </w:rPr>
        <w:t>credibilidad y legitimidad de la casta política</w:t>
      </w:r>
      <w:r w:rsidR="00F250B2">
        <w:rPr>
          <w:rFonts w:ascii="Times New Roman" w:hAnsi="Times New Roman"/>
          <w:sz w:val="24"/>
          <w:szCs w:val="24"/>
          <w:lang w:val="es-MX"/>
        </w:rPr>
        <w:t xml:space="preserve">. </w:t>
      </w:r>
      <w:r w:rsidR="00825B21" w:rsidRPr="00DA25D6">
        <w:rPr>
          <w:rFonts w:ascii="Times New Roman" w:hAnsi="Times New Roman"/>
          <w:sz w:val="24"/>
          <w:szCs w:val="24"/>
          <w:lang w:val="es-MX"/>
        </w:rPr>
        <w:t>Paralelamente, el descrédito del gran empresariado se extendió al revelarse nuevos casos de colusión en los mercados o involucramiento en prácticas antiéticas</w:t>
      </w:r>
      <w:r w:rsidR="000537A1" w:rsidRPr="00DA25D6">
        <w:rPr>
          <w:rFonts w:ascii="Times New Roman" w:hAnsi="Times New Roman"/>
          <w:sz w:val="24"/>
          <w:szCs w:val="24"/>
          <w:lang w:val="es-MX"/>
        </w:rPr>
        <w:t>, que afectaron a los mayores grupos e</w:t>
      </w:r>
      <w:r w:rsidR="00F1304B">
        <w:rPr>
          <w:rFonts w:ascii="Times New Roman" w:hAnsi="Times New Roman"/>
          <w:sz w:val="24"/>
          <w:szCs w:val="24"/>
          <w:lang w:val="es-MX"/>
        </w:rPr>
        <w:t>conómicos, como Luksic y Matte.</w:t>
      </w:r>
    </w:p>
    <w:p w:rsidR="008045AD" w:rsidRPr="00DA25D6" w:rsidRDefault="000537A1" w:rsidP="00AE1BC3">
      <w:pPr>
        <w:spacing w:line="240" w:lineRule="auto"/>
        <w:jc w:val="both"/>
        <w:rPr>
          <w:rFonts w:ascii="Times New Roman" w:hAnsi="Times New Roman"/>
          <w:sz w:val="24"/>
          <w:szCs w:val="24"/>
        </w:rPr>
      </w:pPr>
      <w:r w:rsidRPr="00DA25D6">
        <w:rPr>
          <w:rFonts w:ascii="Times New Roman" w:hAnsi="Times New Roman"/>
          <w:sz w:val="24"/>
          <w:szCs w:val="24"/>
        </w:rPr>
        <w:t xml:space="preserve">En este contexto, el conjunto de las cúpulas empresariales viró a inicios de 2015 a una postura de radical y absoluta oposición a todo el proceso de reformas, por moderadas que fuesen. </w:t>
      </w:r>
      <w:r w:rsidR="00F250B2">
        <w:rPr>
          <w:rFonts w:ascii="Times New Roman" w:hAnsi="Times New Roman"/>
          <w:sz w:val="24"/>
          <w:szCs w:val="24"/>
        </w:rPr>
        <w:t>S</w:t>
      </w:r>
      <w:r w:rsidRPr="00DA25D6">
        <w:rPr>
          <w:rFonts w:ascii="Times New Roman" w:hAnsi="Times New Roman"/>
          <w:sz w:val="24"/>
          <w:szCs w:val="24"/>
        </w:rPr>
        <w:t xml:space="preserve">i en 2014 la inversión cayó un -4,2%, en 2015 se acentuó la caída con otro -1,5%. </w:t>
      </w:r>
      <w:r w:rsidR="00BA48C2" w:rsidRPr="00DA25D6">
        <w:rPr>
          <w:rFonts w:ascii="Times New Roman" w:hAnsi="Times New Roman"/>
          <w:sz w:val="24"/>
          <w:szCs w:val="24"/>
        </w:rPr>
        <w:t xml:space="preserve">No sólo en la gran minería se produjo un fuerte ajuste hacia </w:t>
      </w:r>
      <w:r w:rsidR="00F51565">
        <w:rPr>
          <w:rFonts w:ascii="Times New Roman" w:hAnsi="Times New Roman"/>
          <w:sz w:val="24"/>
          <w:szCs w:val="24"/>
        </w:rPr>
        <w:t>a</w:t>
      </w:r>
      <w:r w:rsidR="00BA48C2" w:rsidRPr="00DA25D6">
        <w:rPr>
          <w:rFonts w:ascii="Times New Roman" w:hAnsi="Times New Roman"/>
          <w:sz w:val="24"/>
          <w:szCs w:val="24"/>
        </w:rPr>
        <w:t xml:space="preserve">bajo </w:t>
      </w:r>
      <w:r w:rsidR="00F51565">
        <w:rPr>
          <w:rFonts w:ascii="Times New Roman" w:hAnsi="Times New Roman"/>
          <w:sz w:val="24"/>
          <w:szCs w:val="24"/>
        </w:rPr>
        <w:t>en</w:t>
      </w:r>
      <w:r w:rsidR="00BA48C2" w:rsidRPr="00DA25D6">
        <w:rPr>
          <w:rFonts w:ascii="Times New Roman" w:hAnsi="Times New Roman"/>
          <w:sz w:val="24"/>
          <w:szCs w:val="24"/>
        </w:rPr>
        <w:t xml:space="preserve"> las compras de propiedades, planta y equipo</w:t>
      </w:r>
      <w:r w:rsidR="00641832">
        <w:rPr>
          <w:rFonts w:ascii="Times New Roman" w:hAnsi="Times New Roman"/>
          <w:sz w:val="24"/>
          <w:szCs w:val="24"/>
        </w:rPr>
        <w:t xml:space="preserve">. </w:t>
      </w:r>
      <w:r w:rsidR="00BA48C2" w:rsidRPr="00DA25D6">
        <w:rPr>
          <w:rFonts w:ascii="Times New Roman" w:hAnsi="Times New Roman"/>
          <w:sz w:val="24"/>
          <w:szCs w:val="24"/>
        </w:rPr>
        <w:t xml:space="preserve">También la construcción cerró 2015 con las cifras más bajas desde 2009. </w:t>
      </w:r>
      <w:r w:rsidR="00F51565">
        <w:rPr>
          <w:rFonts w:ascii="Times New Roman" w:hAnsi="Times New Roman"/>
          <w:sz w:val="24"/>
          <w:szCs w:val="24"/>
        </w:rPr>
        <w:t xml:space="preserve">La inversión en el sector energético no logró compensar esas caídas. </w:t>
      </w:r>
      <w:r w:rsidR="00950543" w:rsidRPr="00DA25D6">
        <w:rPr>
          <w:rFonts w:ascii="Times New Roman" w:hAnsi="Times New Roman"/>
          <w:sz w:val="24"/>
          <w:szCs w:val="24"/>
        </w:rPr>
        <w:t xml:space="preserve">Detrás de ello no sólo están las expectativas de menor rendimiento o rentabilidad </w:t>
      </w:r>
      <w:r w:rsidR="000034ED" w:rsidRPr="00DA25D6">
        <w:rPr>
          <w:rFonts w:ascii="Times New Roman" w:hAnsi="Times New Roman"/>
          <w:sz w:val="24"/>
          <w:szCs w:val="24"/>
        </w:rPr>
        <w:t xml:space="preserve">de los negocios; está también </w:t>
      </w:r>
      <w:r w:rsidR="00641832">
        <w:rPr>
          <w:rFonts w:ascii="Times New Roman" w:hAnsi="Times New Roman"/>
          <w:sz w:val="24"/>
          <w:szCs w:val="24"/>
        </w:rPr>
        <w:t>un cerco político al proceso de reformas</w:t>
      </w:r>
      <w:r w:rsidR="000034ED" w:rsidRPr="00DA25D6">
        <w:rPr>
          <w:rFonts w:ascii="Times New Roman" w:hAnsi="Times New Roman"/>
          <w:sz w:val="24"/>
          <w:szCs w:val="24"/>
        </w:rPr>
        <w:t>.</w:t>
      </w:r>
    </w:p>
    <w:p w:rsidR="00F57492" w:rsidRDefault="001B48BA" w:rsidP="00AE1BC3">
      <w:pPr>
        <w:spacing w:line="240" w:lineRule="auto"/>
        <w:jc w:val="both"/>
        <w:rPr>
          <w:rFonts w:ascii="Times New Roman" w:hAnsi="Times New Roman"/>
          <w:sz w:val="24"/>
          <w:szCs w:val="24"/>
        </w:rPr>
      </w:pPr>
      <w:r w:rsidRPr="00DA25D6">
        <w:rPr>
          <w:rFonts w:ascii="Times New Roman" w:hAnsi="Times New Roman"/>
          <w:sz w:val="24"/>
          <w:szCs w:val="24"/>
        </w:rPr>
        <w:t>Un informe de la Cámara de Comercio de Santiago</w:t>
      </w:r>
      <w:r w:rsidR="00F317A5" w:rsidRPr="00DA25D6">
        <w:rPr>
          <w:rFonts w:ascii="Times New Roman" w:hAnsi="Times New Roman"/>
          <w:sz w:val="24"/>
          <w:szCs w:val="24"/>
        </w:rPr>
        <w:t xml:space="preserve"> sobre el “</w:t>
      </w:r>
      <w:r w:rsidR="00B34E12" w:rsidRPr="00DA25D6">
        <w:rPr>
          <w:rFonts w:ascii="Times New Roman" w:hAnsi="Times New Roman"/>
          <w:sz w:val="24"/>
          <w:szCs w:val="24"/>
        </w:rPr>
        <w:t>Índice</w:t>
      </w:r>
      <w:r w:rsidR="00F317A5" w:rsidRPr="00DA25D6">
        <w:rPr>
          <w:rFonts w:ascii="Times New Roman" w:hAnsi="Times New Roman"/>
          <w:sz w:val="24"/>
          <w:szCs w:val="24"/>
        </w:rPr>
        <w:t xml:space="preserve"> de Expectativas Empresariales” </w:t>
      </w:r>
      <w:r w:rsidR="009909F5" w:rsidRPr="00DA25D6">
        <w:rPr>
          <w:rFonts w:ascii="Times New Roman" w:hAnsi="Times New Roman"/>
          <w:sz w:val="24"/>
          <w:szCs w:val="24"/>
        </w:rPr>
        <w:t>a diciembre 2015,</w:t>
      </w:r>
      <w:r w:rsidR="00F317A5" w:rsidRPr="00DA25D6">
        <w:rPr>
          <w:rFonts w:ascii="Times New Roman" w:hAnsi="Times New Roman"/>
          <w:sz w:val="24"/>
          <w:szCs w:val="24"/>
        </w:rPr>
        <w:t xml:space="preserve"> expuso que </w:t>
      </w:r>
      <w:r w:rsidR="00B34E12" w:rsidRPr="00DA25D6">
        <w:rPr>
          <w:rFonts w:ascii="Times New Roman" w:hAnsi="Times New Roman"/>
          <w:sz w:val="24"/>
          <w:szCs w:val="24"/>
        </w:rPr>
        <w:t>la</w:t>
      </w:r>
      <w:r w:rsidR="00F317A5" w:rsidRPr="00DA25D6">
        <w:rPr>
          <w:rFonts w:ascii="Times New Roman" w:hAnsi="Times New Roman"/>
          <w:sz w:val="24"/>
          <w:szCs w:val="24"/>
        </w:rPr>
        <w:t xml:space="preserve"> persistente </w:t>
      </w:r>
      <w:r w:rsidR="00B34E12" w:rsidRPr="00DA25D6">
        <w:rPr>
          <w:rFonts w:ascii="Times New Roman" w:hAnsi="Times New Roman"/>
          <w:sz w:val="24"/>
          <w:szCs w:val="24"/>
        </w:rPr>
        <w:t xml:space="preserve">caída de este índice </w:t>
      </w:r>
      <w:r w:rsidR="007A38A6" w:rsidRPr="00DA25D6">
        <w:rPr>
          <w:rFonts w:ascii="Times New Roman" w:hAnsi="Times New Roman"/>
          <w:sz w:val="24"/>
          <w:szCs w:val="24"/>
        </w:rPr>
        <w:t>por</w:t>
      </w:r>
      <w:r w:rsidR="00B34E12" w:rsidRPr="00DA25D6">
        <w:rPr>
          <w:rFonts w:ascii="Times New Roman" w:hAnsi="Times New Roman"/>
          <w:sz w:val="24"/>
          <w:szCs w:val="24"/>
        </w:rPr>
        <w:t xml:space="preserve"> casi 3 años </w:t>
      </w:r>
      <w:r w:rsidR="009909F5" w:rsidRPr="00DA25D6">
        <w:rPr>
          <w:rFonts w:ascii="Times New Roman" w:hAnsi="Times New Roman"/>
          <w:sz w:val="24"/>
          <w:szCs w:val="24"/>
        </w:rPr>
        <w:t xml:space="preserve">–mayor en duración y magnitud al que sobrevino a la crisis global 2008-  </w:t>
      </w:r>
      <w:r w:rsidR="00B34E12" w:rsidRPr="00DA25D6">
        <w:rPr>
          <w:rFonts w:ascii="Times New Roman" w:hAnsi="Times New Roman"/>
          <w:sz w:val="24"/>
          <w:szCs w:val="24"/>
        </w:rPr>
        <w:t>“</w:t>
      </w:r>
      <w:r w:rsidR="00F317A5" w:rsidRPr="00DA25D6">
        <w:rPr>
          <w:rFonts w:ascii="Times New Roman" w:hAnsi="Times New Roman"/>
          <w:sz w:val="24"/>
          <w:szCs w:val="24"/>
        </w:rPr>
        <w:t>obedece a diversas causalidades, entre las cuales destaca como la principal, el clima de incertidumbre y aprensiones que generan las reformas regulatorias y políticas que se discuten en medio de desprolijidades técnicas que agravan el ambiente enrarecido que se respira</w:t>
      </w:r>
      <w:r w:rsidR="00B34E12" w:rsidRPr="00DA25D6">
        <w:rPr>
          <w:rFonts w:ascii="Times New Roman" w:hAnsi="Times New Roman"/>
          <w:sz w:val="24"/>
          <w:szCs w:val="24"/>
        </w:rPr>
        <w:t>”</w:t>
      </w:r>
      <w:r w:rsidR="009909F5" w:rsidRPr="00DA25D6">
        <w:rPr>
          <w:rStyle w:val="Refdenotaalpie"/>
          <w:rFonts w:ascii="Times New Roman" w:hAnsi="Times New Roman"/>
          <w:sz w:val="24"/>
          <w:szCs w:val="24"/>
        </w:rPr>
        <w:footnoteReference w:id="5"/>
      </w:r>
      <w:r w:rsidR="00F317A5" w:rsidRPr="00DA25D6">
        <w:rPr>
          <w:rFonts w:ascii="Times New Roman" w:hAnsi="Times New Roman"/>
          <w:sz w:val="24"/>
          <w:szCs w:val="24"/>
        </w:rPr>
        <w:t xml:space="preserve">. </w:t>
      </w:r>
    </w:p>
    <w:p w:rsidR="00DA25D6" w:rsidRDefault="000034ED" w:rsidP="00AE1BC3">
      <w:pPr>
        <w:spacing w:line="240" w:lineRule="auto"/>
        <w:jc w:val="both"/>
        <w:rPr>
          <w:rFonts w:ascii="Times New Roman" w:hAnsi="Times New Roman"/>
          <w:sz w:val="24"/>
          <w:szCs w:val="24"/>
        </w:rPr>
      </w:pPr>
      <w:r w:rsidRPr="00DA25D6">
        <w:rPr>
          <w:rFonts w:ascii="Times New Roman" w:hAnsi="Times New Roman"/>
          <w:sz w:val="24"/>
          <w:szCs w:val="24"/>
        </w:rPr>
        <w:t>De no ser por</w:t>
      </w:r>
      <w:r w:rsidR="004B7FF3" w:rsidRPr="00DA25D6">
        <w:rPr>
          <w:rFonts w:ascii="Times New Roman" w:hAnsi="Times New Roman"/>
          <w:sz w:val="24"/>
          <w:szCs w:val="24"/>
        </w:rPr>
        <w:t xml:space="preserve">que tanto la política fiscal como monetaria fueron expansivas, el pobre 2,1% de crecimiento del año 2015 no se hubiese alcanzado. El gasto público creció ese año un 8,8% y la tasa del BC se mantuvo </w:t>
      </w:r>
      <w:r w:rsidR="00C3786D" w:rsidRPr="00DA25D6">
        <w:rPr>
          <w:rFonts w:ascii="Times New Roman" w:hAnsi="Times New Roman"/>
          <w:sz w:val="24"/>
          <w:szCs w:val="24"/>
        </w:rPr>
        <w:t xml:space="preserve">la mayor parte del año </w:t>
      </w:r>
      <w:r w:rsidR="004B7FF3" w:rsidRPr="00DA25D6">
        <w:rPr>
          <w:rFonts w:ascii="Times New Roman" w:hAnsi="Times New Roman"/>
          <w:sz w:val="24"/>
          <w:szCs w:val="24"/>
        </w:rPr>
        <w:t>en</w:t>
      </w:r>
      <w:r w:rsidR="00C3786D" w:rsidRPr="00DA25D6">
        <w:rPr>
          <w:rFonts w:ascii="Times New Roman" w:hAnsi="Times New Roman"/>
          <w:sz w:val="24"/>
          <w:szCs w:val="24"/>
        </w:rPr>
        <w:t xml:space="preserve"> </w:t>
      </w:r>
      <w:r w:rsidR="004B7FF3" w:rsidRPr="00DA25D6">
        <w:rPr>
          <w:rFonts w:ascii="Times New Roman" w:hAnsi="Times New Roman"/>
          <w:sz w:val="24"/>
          <w:szCs w:val="24"/>
        </w:rPr>
        <w:t>un 3%.</w:t>
      </w:r>
      <w:r w:rsidR="00C3786D" w:rsidRPr="00DA25D6">
        <w:rPr>
          <w:rFonts w:ascii="Times New Roman" w:hAnsi="Times New Roman"/>
          <w:sz w:val="24"/>
          <w:szCs w:val="24"/>
        </w:rPr>
        <w:t xml:space="preserve"> </w:t>
      </w:r>
      <w:r w:rsidR="00DA25D6">
        <w:rPr>
          <w:rFonts w:ascii="Times New Roman" w:hAnsi="Times New Roman"/>
          <w:sz w:val="24"/>
          <w:szCs w:val="24"/>
        </w:rPr>
        <w:t>Al inicio de</w:t>
      </w:r>
      <w:r w:rsidR="00C3786D" w:rsidRPr="00DA25D6">
        <w:rPr>
          <w:rFonts w:ascii="Times New Roman" w:hAnsi="Times New Roman"/>
          <w:sz w:val="24"/>
          <w:szCs w:val="24"/>
        </w:rPr>
        <w:t xml:space="preserve"> 2016, sin embargo, ambas políticas se tornaron más restrictivas. El BC subió la tasa de política monetaria hasta un 3,5% y anunció </w:t>
      </w:r>
      <w:r w:rsidR="000D3CCC" w:rsidRPr="00DA25D6">
        <w:rPr>
          <w:rFonts w:ascii="Times New Roman" w:hAnsi="Times New Roman"/>
          <w:sz w:val="24"/>
          <w:szCs w:val="24"/>
        </w:rPr>
        <w:t xml:space="preserve">que habrían nuevas alzas a medida que el control de la inflación lo hiciese necesario; en un cuadro en que la apreciación del dólar era el mayor problema.  </w:t>
      </w:r>
      <w:r w:rsidR="00D726A8" w:rsidRPr="00DA25D6">
        <w:rPr>
          <w:rFonts w:ascii="Times New Roman" w:hAnsi="Times New Roman"/>
          <w:sz w:val="24"/>
          <w:szCs w:val="24"/>
        </w:rPr>
        <w:t>Por su parte, el Ministerio de Hacienda</w:t>
      </w:r>
      <w:r w:rsidR="00DA25D6">
        <w:rPr>
          <w:rFonts w:ascii="Times New Roman" w:hAnsi="Times New Roman"/>
          <w:sz w:val="24"/>
          <w:szCs w:val="24"/>
        </w:rPr>
        <w:t xml:space="preserve"> aprobó un presupuesto con un gasto público creciendo un 4,4%, </w:t>
      </w:r>
      <w:r w:rsidR="00AE1BC3">
        <w:rPr>
          <w:rFonts w:ascii="Times New Roman" w:hAnsi="Times New Roman"/>
          <w:sz w:val="24"/>
          <w:szCs w:val="24"/>
        </w:rPr>
        <w:t>-</w:t>
      </w:r>
      <w:r w:rsidR="00DA25D6">
        <w:rPr>
          <w:rFonts w:ascii="Times New Roman" w:hAnsi="Times New Roman"/>
          <w:sz w:val="24"/>
          <w:szCs w:val="24"/>
        </w:rPr>
        <w:t xml:space="preserve">que se redujo a un 4,2% </w:t>
      </w:r>
      <w:r w:rsidR="00AE1BC3">
        <w:rPr>
          <w:rFonts w:ascii="Times New Roman" w:hAnsi="Times New Roman"/>
          <w:sz w:val="24"/>
          <w:szCs w:val="24"/>
        </w:rPr>
        <w:t>en marzo pasado</w:t>
      </w:r>
      <w:r w:rsidR="00DA25D6">
        <w:rPr>
          <w:rFonts w:ascii="Times New Roman" w:hAnsi="Times New Roman"/>
          <w:sz w:val="24"/>
          <w:szCs w:val="24"/>
        </w:rPr>
        <w:t xml:space="preserve"> al comprobarse que el precio del cobre previsto no se alcanzaría</w:t>
      </w:r>
      <w:r w:rsidR="00AE1BC3">
        <w:rPr>
          <w:rFonts w:ascii="Times New Roman" w:hAnsi="Times New Roman"/>
          <w:sz w:val="24"/>
          <w:szCs w:val="24"/>
        </w:rPr>
        <w:t xml:space="preserve">-, </w:t>
      </w:r>
      <w:r w:rsidR="00117E00">
        <w:rPr>
          <w:rFonts w:ascii="Times New Roman" w:hAnsi="Times New Roman"/>
          <w:sz w:val="24"/>
          <w:szCs w:val="24"/>
        </w:rPr>
        <w:t xml:space="preserve"> </w:t>
      </w:r>
      <w:r w:rsidR="00AE1BC3">
        <w:rPr>
          <w:rFonts w:ascii="Times New Roman" w:hAnsi="Times New Roman"/>
          <w:sz w:val="24"/>
          <w:szCs w:val="24"/>
        </w:rPr>
        <w:t>“</w:t>
      </w:r>
      <w:r w:rsidR="00AE1BC3" w:rsidRPr="00AE1BC3">
        <w:rPr>
          <w:rFonts w:ascii="Times New Roman" w:hAnsi="Times New Roman"/>
          <w:sz w:val="24"/>
          <w:szCs w:val="24"/>
        </w:rPr>
        <w:t>la cifra más restrictiva de los últimos años, sobre todo porque contempla una caída del 2,4% de</w:t>
      </w:r>
      <w:r w:rsidR="00AE1BC3">
        <w:rPr>
          <w:rFonts w:ascii="Times New Roman" w:hAnsi="Times New Roman"/>
          <w:sz w:val="24"/>
          <w:szCs w:val="24"/>
        </w:rPr>
        <w:t xml:space="preserve"> </w:t>
      </w:r>
      <w:r w:rsidR="00AE1BC3" w:rsidRPr="00AE1BC3">
        <w:rPr>
          <w:rFonts w:ascii="Times New Roman" w:hAnsi="Times New Roman"/>
          <w:sz w:val="24"/>
          <w:szCs w:val="24"/>
        </w:rPr>
        <w:t>la inversión pública</w:t>
      </w:r>
      <w:r w:rsidR="00AE1BC3">
        <w:rPr>
          <w:rStyle w:val="Refdenotaalpie"/>
          <w:rFonts w:ascii="Times New Roman" w:hAnsi="Times New Roman"/>
          <w:sz w:val="24"/>
          <w:szCs w:val="24"/>
        </w:rPr>
        <w:footnoteReference w:id="6"/>
      </w:r>
      <w:r w:rsidR="00AE1BC3">
        <w:rPr>
          <w:rFonts w:ascii="Times New Roman" w:hAnsi="Times New Roman"/>
          <w:sz w:val="24"/>
          <w:szCs w:val="24"/>
        </w:rPr>
        <w:t>”</w:t>
      </w:r>
      <w:r w:rsidR="00DA25D6">
        <w:rPr>
          <w:rFonts w:ascii="Times New Roman" w:hAnsi="Times New Roman"/>
          <w:sz w:val="24"/>
          <w:szCs w:val="24"/>
        </w:rPr>
        <w:t xml:space="preserve">. </w:t>
      </w:r>
    </w:p>
    <w:p w:rsidR="009D2ED4" w:rsidRDefault="0098501C" w:rsidP="00AE1BC3">
      <w:pPr>
        <w:spacing w:line="240" w:lineRule="auto"/>
        <w:jc w:val="both"/>
        <w:rPr>
          <w:rFonts w:ascii="Times New Roman" w:hAnsi="Times New Roman"/>
          <w:sz w:val="24"/>
          <w:szCs w:val="24"/>
        </w:rPr>
      </w:pPr>
      <w:r>
        <w:rPr>
          <w:rFonts w:ascii="Times New Roman" w:hAnsi="Times New Roman"/>
          <w:sz w:val="24"/>
          <w:szCs w:val="24"/>
        </w:rPr>
        <w:t xml:space="preserve">El impacto en la población de todo esto se percibe al examinar los datos del consumo y de sus determinantes, el empleo, los salarios y el crédito. </w:t>
      </w:r>
      <w:r w:rsidR="00E20FD5">
        <w:rPr>
          <w:rFonts w:ascii="Times New Roman" w:hAnsi="Times New Roman"/>
          <w:sz w:val="24"/>
          <w:szCs w:val="24"/>
        </w:rPr>
        <w:t xml:space="preserve">El consumo total que en el cuatrienio 2010-2013 creció a una tasa promedio anual de 7,3%, sólo alcanzó crecimientos de 2,8% en 2014 y 2,2% en 2015. A nivel del consumo privado, el consumo de bienes durables, que había alcanzado un notable 22,1% de promedio anual entre 2010-2013, cayó sucesivamente en 2014 (-2,6%) y en 2015 (-0,7%). </w:t>
      </w:r>
      <w:r w:rsidR="009D2ED4">
        <w:rPr>
          <w:rFonts w:ascii="Times New Roman" w:hAnsi="Times New Roman"/>
          <w:sz w:val="24"/>
          <w:szCs w:val="24"/>
        </w:rPr>
        <w:t xml:space="preserve">Y el consumo de bienes no durables, redujo su ritmo del cuatrienio aludido -de 6,7% anual- a sólo 2,1% en 2014 y 1,5% en 2015. </w:t>
      </w:r>
    </w:p>
    <w:p w:rsidR="00AB2E09" w:rsidRDefault="009D2ED4" w:rsidP="00AE1BC3">
      <w:pPr>
        <w:spacing w:line="240" w:lineRule="auto"/>
        <w:jc w:val="both"/>
        <w:rPr>
          <w:rFonts w:ascii="Times New Roman" w:hAnsi="Times New Roman"/>
          <w:sz w:val="24"/>
          <w:szCs w:val="24"/>
        </w:rPr>
      </w:pPr>
      <w:r>
        <w:rPr>
          <w:rFonts w:ascii="Times New Roman" w:hAnsi="Times New Roman"/>
          <w:sz w:val="24"/>
          <w:szCs w:val="24"/>
        </w:rPr>
        <w:lastRenderedPageBreak/>
        <w:t>Esas cifras se comprenden al apreciar que el empleo dejó de crecer al 4,1% anual (promedio 2010-2013), para variar sólo 1,5% anual tanto en 2014 como en 2015.</w:t>
      </w:r>
      <w:r w:rsidR="00141272">
        <w:rPr>
          <w:rFonts w:ascii="Times New Roman" w:hAnsi="Times New Roman"/>
          <w:sz w:val="24"/>
          <w:szCs w:val="24"/>
        </w:rPr>
        <w:t xml:space="preserve"> Sin hablar de que </w:t>
      </w:r>
      <w:r>
        <w:rPr>
          <w:rFonts w:ascii="Times New Roman" w:hAnsi="Times New Roman"/>
          <w:sz w:val="24"/>
          <w:szCs w:val="24"/>
        </w:rPr>
        <w:t xml:space="preserve">la calidad del empleo inició </w:t>
      </w:r>
      <w:r w:rsidR="00141272">
        <w:rPr>
          <w:rFonts w:ascii="Times New Roman" w:hAnsi="Times New Roman"/>
          <w:sz w:val="24"/>
          <w:szCs w:val="24"/>
        </w:rPr>
        <w:t xml:space="preserve">recientemente </w:t>
      </w:r>
      <w:r>
        <w:rPr>
          <w:rFonts w:ascii="Times New Roman" w:hAnsi="Times New Roman"/>
          <w:sz w:val="24"/>
          <w:szCs w:val="24"/>
        </w:rPr>
        <w:t>un curso de empeoramiento. Los salarios reales, que crecieron 3,0% anual en 2010-2013, aumentaron en 2,6% en 2014 y un 1,8% en 2015. Y los primeros meses de este año indican que ese ritmo se reducirá aún más este año.</w:t>
      </w:r>
      <w:r w:rsidR="00333560">
        <w:rPr>
          <w:rFonts w:ascii="Times New Roman" w:hAnsi="Times New Roman"/>
          <w:sz w:val="24"/>
          <w:szCs w:val="24"/>
        </w:rPr>
        <w:t xml:space="preserve"> En cuanto al crédito, </w:t>
      </w:r>
      <w:r w:rsidR="00190BBA">
        <w:rPr>
          <w:rFonts w:ascii="Times New Roman" w:hAnsi="Times New Roman"/>
          <w:sz w:val="24"/>
          <w:szCs w:val="24"/>
        </w:rPr>
        <w:t xml:space="preserve">el endeudamiento de las familias ha continuado creciendo en estos años </w:t>
      </w:r>
      <w:r w:rsidR="00483FB6">
        <w:rPr>
          <w:rFonts w:ascii="Times New Roman" w:hAnsi="Times New Roman"/>
          <w:sz w:val="24"/>
          <w:szCs w:val="24"/>
        </w:rPr>
        <w:t>al  mismo tiempo que la carga financiera ha tenido una leve caída</w:t>
      </w:r>
      <w:r w:rsidR="00483FB6">
        <w:rPr>
          <w:rStyle w:val="Refdenotaalpie"/>
          <w:rFonts w:ascii="Times New Roman" w:hAnsi="Times New Roman"/>
          <w:sz w:val="24"/>
          <w:szCs w:val="24"/>
        </w:rPr>
        <w:footnoteReference w:id="7"/>
      </w:r>
      <w:r w:rsidR="00483FB6">
        <w:rPr>
          <w:rFonts w:ascii="Times New Roman" w:hAnsi="Times New Roman"/>
          <w:sz w:val="24"/>
          <w:szCs w:val="24"/>
        </w:rPr>
        <w:t>.</w:t>
      </w:r>
      <w:r w:rsidR="00483FB6" w:rsidRPr="00483FB6">
        <w:rPr>
          <w:rStyle w:val="Refdenotaalpie"/>
          <w:rFonts w:ascii="Times New Roman" w:hAnsi="Times New Roman"/>
          <w:sz w:val="24"/>
          <w:szCs w:val="24"/>
        </w:rPr>
        <w:t xml:space="preserve"> </w:t>
      </w:r>
    </w:p>
    <w:p w:rsidR="000D3CCC" w:rsidRDefault="001539C4" w:rsidP="00AE1BC3">
      <w:pPr>
        <w:spacing w:line="240" w:lineRule="auto"/>
        <w:jc w:val="both"/>
        <w:rPr>
          <w:rFonts w:ascii="Times New Roman" w:hAnsi="Times New Roman"/>
          <w:sz w:val="24"/>
          <w:szCs w:val="24"/>
        </w:rPr>
      </w:pPr>
      <w:r>
        <w:rPr>
          <w:rFonts w:ascii="Times New Roman" w:hAnsi="Times New Roman"/>
          <w:sz w:val="24"/>
          <w:szCs w:val="24"/>
        </w:rPr>
        <w:t>La llamada resiliencia del mercado del trabajo, empieza a derrumbarse.</w:t>
      </w:r>
      <w:r w:rsidR="007F7F78">
        <w:rPr>
          <w:rFonts w:ascii="Times New Roman" w:hAnsi="Times New Roman"/>
          <w:sz w:val="24"/>
          <w:szCs w:val="24"/>
        </w:rPr>
        <w:t xml:space="preserve"> La luz de alarma la </w:t>
      </w:r>
      <w:r w:rsidR="002D3A4A">
        <w:rPr>
          <w:rFonts w:ascii="Times New Roman" w:hAnsi="Times New Roman"/>
          <w:sz w:val="24"/>
          <w:szCs w:val="24"/>
        </w:rPr>
        <w:t>e</w:t>
      </w:r>
      <w:r w:rsidR="007F7F78">
        <w:rPr>
          <w:rFonts w:ascii="Times New Roman" w:hAnsi="Times New Roman"/>
          <w:sz w:val="24"/>
          <w:szCs w:val="24"/>
        </w:rPr>
        <w:t>nce</w:t>
      </w:r>
      <w:r w:rsidR="002D3A4A">
        <w:rPr>
          <w:rFonts w:ascii="Times New Roman" w:hAnsi="Times New Roman"/>
          <w:sz w:val="24"/>
          <w:szCs w:val="24"/>
        </w:rPr>
        <w:t>n</w:t>
      </w:r>
      <w:r w:rsidR="007F7F78">
        <w:rPr>
          <w:rFonts w:ascii="Times New Roman" w:hAnsi="Times New Roman"/>
          <w:sz w:val="24"/>
          <w:szCs w:val="24"/>
        </w:rPr>
        <w:t>di</w:t>
      </w:r>
      <w:r w:rsidR="002D3A4A">
        <w:rPr>
          <w:rFonts w:ascii="Times New Roman" w:hAnsi="Times New Roman"/>
          <w:sz w:val="24"/>
          <w:szCs w:val="24"/>
        </w:rPr>
        <w:t>ó</w:t>
      </w:r>
      <w:r w:rsidR="007F7F78">
        <w:rPr>
          <w:rFonts w:ascii="Times New Roman" w:hAnsi="Times New Roman"/>
          <w:sz w:val="24"/>
          <w:szCs w:val="24"/>
        </w:rPr>
        <w:t xml:space="preserve"> el 9,4% de desempleo para el Gran Santiago registrada por la Encuesta de</w:t>
      </w:r>
      <w:r w:rsidR="002D3A4A">
        <w:rPr>
          <w:rFonts w:ascii="Times New Roman" w:hAnsi="Times New Roman"/>
          <w:sz w:val="24"/>
          <w:szCs w:val="24"/>
        </w:rPr>
        <w:t xml:space="preserve">l Centro de Microdatos de </w:t>
      </w:r>
      <w:r w:rsidR="007F7F78">
        <w:rPr>
          <w:rFonts w:ascii="Times New Roman" w:hAnsi="Times New Roman"/>
          <w:sz w:val="24"/>
          <w:szCs w:val="24"/>
        </w:rPr>
        <w:t>la Universidad de Chile</w:t>
      </w:r>
      <w:r w:rsidR="002D3A4A">
        <w:rPr>
          <w:rFonts w:ascii="Times New Roman" w:hAnsi="Times New Roman"/>
          <w:sz w:val="24"/>
          <w:szCs w:val="24"/>
        </w:rPr>
        <w:t xml:space="preserve">. A continuación, </w:t>
      </w:r>
      <w:r w:rsidR="00EA37C9">
        <w:rPr>
          <w:rFonts w:ascii="Times New Roman" w:hAnsi="Times New Roman"/>
          <w:sz w:val="24"/>
          <w:szCs w:val="24"/>
        </w:rPr>
        <w:t>el INE dio a conocer su encuesta nacional para el mismo período, con un 6,3%, registrando un alza de 0,4% respecto de la medición precedente. Pero está claro que se trata de cifras que sólo muestran la punta del iceberg, el inicio de un proceso que puede agravarse mucho más en corto plazo.</w:t>
      </w:r>
    </w:p>
    <w:p w:rsidR="00B66397" w:rsidRDefault="00EA37C9" w:rsidP="00AE1BC3">
      <w:pPr>
        <w:spacing w:line="240" w:lineRule="auto"/>
        <w:jc w:val="both"/>
        <w:rPr>
          <w:rFonts w:ascii="Times New Roman" w:hAnsi="Times New Roman"/>
          <w:sz w:val="24"/>
          <w:szCs w:val="24"/>
        </w:rPr>
      </w:pPr>
      <w:r>
        <w:rPr>
          <w:rFonts w:ascii="Times New Roman" w:hAnsi="Times New Roman"/>
          <w:sz w:val="24"/>
          <w:szCs w:val="24"/>
        </w:rPr>
        <w:t xml:space="preserve">Y acá el tema es qué espera el gobierno para salir a hacer frente a este escenario con una política contracíclica y no con meras “agendas de productividad”, centradas en apoyar los esfuerzos de reducción de costos del empresariado. </w:t>
      </w:r>
      <w:r w:rsidR="00650BDA">
        <w:rPr>
          <w:rFonts w:ascii="Times New Roman" w:hAnsi="Times New Roman"/>
          <w:sz w:val="24"/>
          <w:szCs w:val="24"/>
        </w:rPr>
        <w:t>En un escenario similar, en 2009, la propia Bachelet atinó a ordenar al ministro de Hacienda de entonces,</w:t>
      </w:r>
      <w:r w:rsidR="00AB2E09">
        <w:rPr>
          <w:rFonts w:ascii="Times New Roman" w:hAnsi="Times New Roman"/>
          <w:sz w:val="24"/>
          <w:szCs w:val="24"/>
        </w:rPr>
        <w:t xml:space="preserve"> </w:t>
      </w:r>
      <w:r w:rsidR="00650BDA">
        <w:rPr>
          <w:rFonts w:ascii="Times New Roman" w:hAnsi="Times New Roman"/>
          <w:sz w:val="24"/>
          <w:szCs w:val="24"/>
        </w:rPr>
        <w:t>para que hiciera uso de los fondos soberanos que Chile había ahorrado gracias a los altos precios del cobre</w:t>
      </w:r>
      <w:r w:rsidR="00ED2C25">
        <w:rPr>
          <w:rFonts w:ascii="Times New Roman" w:hAnsi="Times New Roman"/>
          <w:sz w:val="24"/>
          <w:szCs w:val="24"/>
        </w:rPr>
        <w:t xml:space="preserve"> de los años precedentes. </w:t>
      </w:r>
      <w:r w:rsidR="00EC5FF9">
        <w:rPr>
          <w:rFonts w:ascii="Times New Roman" w:hAnsi="Times New Roman"/>
          <w:sz w:val="24"/>
          <w:szCs w:val="24"/>
        </w:rPr>
        <w:t>El gasto público aument</w:t>
      </w:r>
      <w:r w:rsidR="00AB2E09">
        <w:rPr>
          <w:rFonts w:ascii="Times New Roman" w:hAnsi="Times New Roman"/>
          <w:sz w:val="24"/>
          <w:szCs w:val="24"/>
        </w:rPr>
        <w:t>ó</w:t>
      </w:r>
      <w:r w:rsidR="00230B4C">
        <w:rPr>
          <w:rFonts w:ascii="Times New Roman" w:hAnsi="Times New Roman"/>
          <w:sz w:val="24"/>
          <w:szCs w:val="24"/>
        </w:rPr>
        <w:t xml:space="preserve"> en un 16,5%</w:t>
      </w:r>
      <w:r w:rsidR="00EC5FF9">
        <w:rPr>
          <w:rFonts w:ascii="Times New Roman" w:hAnsi="Times New Roman"/>
          <w:sz w:val="24"/>
          <w:szCs w:val="24"/>
        </w:rPr>
        <w:t>, pero el país sorteó los efectos de la recesión mundial</w:t>
      </w:r>
      <w:r w:rsidR="00B66397">
        <w:rPr>
          <w:rFonts w:ascii="Times New Roman" w:hAnsi="Times New Roman"/>
          <w:sz w:val="24"/>
          <w:szCs w:val="24"/>
        </w:rPr>
        <w:t xml:space="preserve">, impidiendo que el desempleo se elevara por encima del 10%. </w:t>
      </w:r>
    </w:p>
    <w:p w:rsidR="007D2630" w:rsidRPr="00192D09" w:rsidRDefault="00230B4C" w:rsidP="007D2630">
      <w:pPr>
        <w:spacing w:line="240" w:lineRule="auto"/>
        <w:jc w:val="both"/>
        <w:rPr>
          <w:rFonts w:ascii="Times New Roman" w:hAnsi="Times New Roman"/>
          <w:sz w:val="24"/>
          <w:szCs w:val="24"/>
        </w:rPr>
      </w:pPr>
      <w:r>
        <w:rPr>
          <w:rFonts w:ascii="Times New Roman" w:hAnsi="Times New Roman"/>
          <w:sz w:val="24"/>
          <w:szCs w:val="24"/>
        </w:rPr>
        <w:t>E</w:t>
      </w:r>
      <w:r w:rsidR="0015271E">
        <w:rPr>
          <w:rFonts w:ascii="Times New Roman" w:hAnsi="Times New Roman"/>
          <w:sz w:val="24"/>
          <w:szCs w:val="24"/>
        </w:rPr>
        <w:t>conomistas como Hugo Fazio y Ricardo Ffrench Davis</w:t>
      </w:r>
      <w:r w:rsidR="00D506D8">
        <w:rPr>
          <w:rFonts w:ascii="Times New Roman" w:hAnsi="Times New Roman"/>
          <w:sz w:val="24"/>
          <w:szCs w:val="24"/>
        </w:rPr>
        <w:t xml:space="preserve"> hace más de un  año llamaron la atención al respecto. </w:t>
      </w:r>
      <w:r w:rsidR="007D2630">
        <w:rPr>
          <w:rFonts w:ascii="Times New Roman" w:hAnsi="Times New Roman"/>
          <w:sz w:val="24"/>
          <w:szCs w:val="24"/>
        </w:rPr>
        <w:t>Ffrench Davis, criticando la gestión de Hacienda señalaba: “</w:t>
      </w:r>
      <w:r w:rsidR="007D2630" w:rsidRPr="00192D09">
        <w:rPr>
          <w:rFonts w:ascii="Times New Roman" w:hAnsi="Times New Roman"/>
          <w:sz w:val="24"/>
          <w:szCs w:val="24"/>
        </w:rPr>
        <w:t>No repartir cheques, sino repartir inversión pública</w:t>
      </w:r>
      <w:r w:rsidR="007D2630">
        <w:rPr>
          <w:rFonts w:ascii="Times New Roman" w:hAnsi="Times New Roman"/>
          <w:sz w:val="24"/>
          <w:szCs w:val="24"/>
        </w:rPr>
        <w:t xml:space="preserve">. </w:t>
      </w:r>
      <w:r w:rsidR="007D2630" w:rsidRPr="00192D09">
        <w:rPr>
          <w:rFonts w:ascii="Times New Roman" w:hAnsi="Times New Roman"/>
          <w:sz w:val="24"/>
          <w:szCs w:val="24"/>
        </w:rPr>
        <w:t>Necesitamos más infraestructura en este país, más escuelitas, más policlínicos, más veredas pavimentadas en las zonas rurales</w:t>
      </w:r>
      <w:r w:rsidR="002B3DCE">
        <w:rPr>
          <w:rFonts w:ascii="Times New Roman" w:hAnsi="Times New Roman"/>
          <w:sz w:val="24"/>
          <w:szCs w:val="24"/>
        </w:rPr>
        <w:t>...</w:t>
      </w:r>
      <w:r w:rsidR="007D2630" w:rsidRPr="00192D09">
        <w:rPr>
          <w:rFonts w:ascii="Times New Roman" w:hAnsi="Times New Roman"/>
          <w:sz w:val="24"/>
          <w:szCs w:val="24"/>
        </w:rPr>
        <w:t>La economía chilena tiene una capacidad productiva instalada</w:t>
      </w:r>
      <w:r w:rsidR="00F57492">
        <w:rPr>
          <w:rFonts w:ascii="Times New Roman" w:hAnsi="Times New Roman"/>
          <w:sz w:val="24"/>
          <w:szCs w:val="24"/>
        </w:rPr>
        <w:t>…</w:t>
      </w:r>
      <w:r w:rsidR="007D2630" w:rsidRPr="00192D09">
        <w:rPr>
          <w:rFonts w:ascii="Times New Roman" w:hAnsi="Times New Roman"/>
          <w:sz w:val="24"/>
          <w:szCs w:val="24"/>
        </w:rPr>
        <w:t xml:space="preserve"> y puede crecer mucho más que lo que está aumentando el PIB efectivo</w:t>
      </w:r>
      <w:r w:rsidR="007D2630">
        <w:rPr>
          <w:rFonts w:ascii="Times New Roman" w:hAnsi="Times New Roman"/>
          <w:sz w:val="24"/>
          <w:szCs w:val="24"/>
        </w:rPr>
        <w:t>…</w:t>
      </w:r>
      <w:r w:rsidR="007D2630" w:rsidRPr="00192D09">
        <w:rPr>
          <w:rFonts w:ascii="Times New Roman" w:hAnsi="Times New Roman"/>
          <w:sz w:val="24"/>
          <w:szCs w:val="24"/>
        </w:rPr>
        <w:t xml:space="preserve"> Nos falta demanda pública y privada. Pero nunca es la privada la que parte oportunamente, sino la pública</w:t>
      </w:r>
      <w:r w:rsidR="00AB2E09">
        <w:rPr>
          <w:rFonts w:ascii="Times New Roman" w:hAnsi="Times New Roman"/>
          <w:sz w:val="24"/>
          <w:szCs w:val="24"/>
        </w:rPr>
        <w:t>”</w:t>
      </w:r>
      <w:r w:rsidR="002B3DCE">
        <w:rPr>
          <w:rStyle w:val="Refdenotaalpie"/>
          <w:rFonts w:ascii="Times New Roman" w:hAnsi="Times New Roman"/>
          <w:sz w:val="24"/>
          <w:szCs w:val="24"/>
        </w:rPr>
        <w:footnoteReference w:id="8"/>
      </w:r>
      <w:r w:rsidR="00AB2E09">
        <w:rPr>
          <w:rFonts w:ascii="Times New Roman" w:hAnsi="Times New Roman"/>
          <w:sz w:val="24"/>
          <w:szCs w:val="24"/>
        </w:rPr>
        <w:t>.</w:t>
      </w:r>
      <w:r w:rsidR="007D2630">
        <w:rPr>
          <w:rFonts w:ascii="Times New Roman" w:hAnsi="Times New Roman"/>
          <w:sz w:val="24"/>
          <w:szCs w:val="24"/>
        </w:rPr>
        <w:t xml:space="preserve"> </w:t>
      </w:r>
    </w:p>
    <w:p w:rsidR="00AB2E09" w:rsidRDefault="009C573B" w:rsidP="00AB2E09">
      <w:pPr>
        <w:spacing w:line="240" w:lineRule="auto"/>
        <w:jc w:val="both"/>
        <w:rPr>
          <w:rFonts w:ascii="Times New Roman" w:hAnsi="Times New Roman"/>
          <w:sz w:val="24"/>
          <w:szCs w:val="24"/>
        </w:rPr>
      </w:pPr>
      <w:r>
        <w:rPr>
          <w:rFonts w:ascii="Times New Roman" w:hAnsi="Times New Roman"/>
          <w:sz w:val="24"/>
          <w:szCs w:val="24"/>
        </w:rPr>
        <w:t>Hugo Fazio, record</w:t>
      </w:r>
      <w:r w:rsidR="00230B4C">
        <w:rPr>
          <w:rFonts w:ascii="Times New Roman" w:hAnsi="Times New Roman"/>
          <w:sz w:val="24"/>
          <w:szCs w:val="24"/>
        </w:rPr>
        <w:t>ó</w:t>
      </w:r>
      <w:r w:rsidR="002B3DCE">
        <w:rPr>
          <w:rFonts w:ascii="Times New Roman" w:hAnsi="Times New Roman"/>
          <w:sz w:val="24"/>
          <w:szCs w:val="24"/>
        </w:rPr>
        <w:t>: “</w:t>
      </w:r>
      <w:r w:rsidR="002B3DCE" w:rsidRPr="00192D09">
        <w:rPr>
          <w:rFonts w:ascii="Times New Roman" w:hAnsi="Times New Roman"/>
          <w:sz w:val="24"/>
          <w:szCs w:val="24"/>
        </w:rPr>
        <w:t xml:space="preserve">Hay fondos soberanos en el exterior por más de 20 mil millones de dólares, </w:t>
      </w:r>
      <w:r w:rsidR="00AB2E09">
        <w:rPr>
          <w:rFonts w:ascii="Times New Roman" w:hAnsi="Times New Roman"/>
          <w:sz w:val="24"/>
          <w:szCs w:val="24"/>
        </w:rPr>
        <w:t>…</w:t>
      </w:r>
      <w:r w:rsidR="002B3DCE" w:rsidRPr="00192D09">
        <w:rPr>
          <w:rFonts w:ascii="Times New Roman" w:hAnsi="Times New Roman"/>
          <w:sz w:val="24"/>
          <w:szCs w:val="24"/>
        </w:rPr>
        <w:t>¿No se va a gastar nada de eso? Es que no se pueden enfrentar transformaciones de fondo sin meter recursos para producir esas t</w:t>
      </w:r>
      <w:r w:rsidR="002B3DCE">
        <w:rPr>
          <w:rFonts w:ascii="Times New Roman" w:hAnsi="Times New Roman"/>
          <w:sz w:val="24"/>
          <w:szCs w:val="24"/>
        </w:rPr>
        <w:t>ransformaciones. Es imposible</w:t>
      </w:r>
      <w:r w:rsidR="002B3DCE">
        <w:rPr>
          <w:rStyle w:val="Refdenotaalpie"/>
          <w:rFonts w:ascii="Times New Roman" w:hAnsi="Times New Roman"/>
          <w:sz w:val="24"/>
          <w:szCs w:val="24"/>
        </w:rPr>
        <w:footnoteReference w:id="9"/>
      </w:r>
      <w:r w:rsidR="002B3DCE" w:rsidRPr="00192D09">
        <w:rPr>
          <w:rFonts w:ascii="Times New Roman" w:hAnsi="Times New Roman"/>
          <w:sz w:val="24"/>
          <w:szCs w:val="24"/>
        </w:rPr>
        <w:t>”.</w:t>
      </w:r>
      <w:r w:rsidR="00F1304B">
        <w:rPr>
          <w:rFonts w:ascii="Times New Roman" w:hAnsi="Times New Roman"/>
          <w:sz w:val="24"/>
          <w:szCs w:val="24"/>
        </w:rPr>
        <w:t xml:space="preserve"> </w:t>
      </w:r>
      <w:r w:rsidR="00AB2E09">
        <w:rPr>
          <w:rFonts w:ascii="Times New Roman" w:hAnsi="Times New Roman"/>
          <w:sz w:val="24"/>
          <w:szCs w:val="24"/>
        </w:rPr>
        <w:t>En efecto, según Cepal, “</w:t>
      </w:r>
      <w:r w:rsidR="00AB2E09" w:rsidRPr="00117E00">
        <w:rPr>
          <w:rFonts w:ascii="Times New Roman" w:hAnsi="Times New Roman"/>
          <w:sz w:val="24"/>
          <w:szCs w:val="24"/>
        </w:rPr>
        <w:t>los activos financieros del tesoro público totalizarían cerca de 26.000 millones de dólares</w:t>
      </w:r>
      <w:r w:rsidR="00230B4C">
        <w:rPr>
          <w:rFonts w:ascii="Times New Roman" w:hAnsi="Times New Roman"/>
          <w:sz w:val="24"/>
          <w:szCs w:val="24"/>
        </w:rPr>
        <w:t>…</w:t>
      </w:r>
      <w:r w:rsidR="00AB2E09" w:rsidRPr="00117E00">
        <w:rPr>
          <w:rFonts w:ascii="Times New Roman" w:hAnsi="Times New Roman"/>
          <w:sz w:val="24"/>
          <w:szCs w:val="24"/>
        </w:rPr>
        <w:t>más de 8.000 millones de dólares de</w:t>
      </w:r>
      <w:r w:rsidR="00230B4C">
        <w:rPr>
          <w:rFonts w:ascii="Times New Roman" w:hAnsi="Times New Roman"/>
          <w:sz w:val="24"/>
          <w:szCs w:val="24"/>
        </w:rPr>
        <w:t>l Fondo de Reserva de Pensiones</w:t>
      </w:r>
      <w:r w:rsidR="00AB2E09" w:rsidRPr="00117E00">
        <w:rPr>
          <w:rFonts w:ascii="Times New Roman" w:hAnsi="Times New Roman"/>
          <w:sz w:val="24"/>
          <w:szCs w:val="24"/>
        </w:rPr>
        <w:t>,</w:t>
      </w:r>
      <w:r w:rsidR="00AB2E09">
        <w:rPr>
          <w:rFonts w:ascii="Times New Roman" w:hAnsi="Times New Roman"/>
          <w:sz w:val="24"/>
          <w:szCs w:val="24"/>
        </w:rPr>
        <w:t xml:space="preserve"> </w:t>
      </w:r>
      <w:r w:rsidR="00AB2E09" w:rsidRPr="00117E00">
        <w:rPr>
          <w:rFonts w:ascii="Times New Roman" w:hAnsi="Times New Roman"/>
          <w:sz w:val="24"/>
          <w:szCs w:val="24"/>
        </w:rPr>
        <w:t>14.000 millones del Fondo de Estabilización Económica y Social y 3.500 millones de dólares</w:t>
      </w:r>
      <w:r w:rsidR="00AB2E09">
        <w:rPr>
          <w:rFonts w:ascii="Times New Roman" w:hAnsi="Times New Roman"/>
          <w:sz w:val="24"/>
          <w:szCs w:val="24"/>
        </w:rPr>
        <w:t xml:space="preserve"> </w:t>
      </w:r>
      <w:r w:rsidR="00AB2E09" w:rsidRPr="00117E00">
        <w:rPr>
          <w:rFonts w:ascii="Times New Roman" w:hAnsi="Times New Roman"/>
          <w:sz w:val="24"/>
          <w:szCs w:val="24"/>
        </w:rPr>
        <w:t>del Fondo para la Educación</w:t>
      </w:r>
      <w:r w:rsidR="00AB2E09">
        <w:rPr>
          <w:rFonts w:ascii="Times New Roman" w:hAnsi="Times New Roman"/>
          <w:sz w:val="24"/>
          <w:szCs w:val="24"/>
        </w:rPr>
        <w:t>”</w:t>
      </w:r>
      <w:r w:rsidR="00AB2E09" w:rsidRPr="00117E00">
        <w:rPr>
          <w:rFonts w:ascii="Times New Roman" w:hAnsi="Times New Roman"/>
          <w:sz w:val="24"/>
          <w:szCs w:val="24"/>
        </w:rPr>
        <w:t>.</w:t>
      </w:r>
      <w:r w:rsidR="00AB2E09">
        <w:rPr>
          <w:rFonts w:ascii="Times New Roman" w:hAnsi="Times New Roman"/>
          <w:sz w:val="24"/>
          <w:szCs w:val="24"/>
        </w:rPr>
        <w:t xml:space="preserve"> Así que hay recursos a los que el estado puede echar mano. </w:t>
      </w:r>
    </w:p>
    <w:p w:rsidR="002B3DCE" w:rsidRPr="002B3DCE" w:rsidRDefault="002B3DCE" w:rsidP="00AE1BC3">
      <w:pPr>
        <w:spacing w:line="240" w:lineRule="auto"/>
        <w:jc w:val="both"/>
        <w:rPr>
          <w:rFonts w:ascii="Times New Roman" w:hAnsi="Times New Roman"/>
          <w:b/>
          <w:i/>
          <w:sz w:val="24"/>
          <w:szCs w:val="24"/>
        </w:rPr>
      </w:pPr>
      <w:r w:rsidRPr="002B3DCE">
        <w:rPr>
          <w:rFonts w:ascii="Times New Roman" w:hAnsi="Times New Roman"/>
          <w:b/>
          <w:i/>
          <w:sz w:val="24"/>
          <w:szCs w:val="24"/>
        </w:rPr>
        <w:t xml:space="preserve">Manuel Hidalgo V. </w:t>
      </w:r>
    </w:p>
    <w:sectPr w:rsidR="002B3DCE" w:rsidRPr="002B3DCE" w:rsidSect="0023278A">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8D6" w:rsidRDefault="00D608D6" w:rsidP="0098507B">
      <w:pPr>
        <w:spacing w:after="0" w:line="240" w:lineRule="auto"/>
      </w:pPr>
      <w:r>
        <w:separator/>
      </w:r>
    </w:p>
  </w:endnote>
  <w:endnote w:type="continuationSeparator" w:id="1">
    <w:p w:rsidR="00D608D6" w:rsidRDefault="00D608D6" w:rsidP="009850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8D6" w:rsidRDefault="00D608D6" w:rsidP="0098507B">
      <w:pPr>
        <w:spacing w:after="0" w:line="240" w:lineRule="auto"/>
      </w:pPr>
      <w:r>
        <w:separator/>
      </w:r>
    </w:p>
  </w:footnote>
  <w:footnote w:type="continuationSeparator" w:id="1">
    <w:p w:rsidR="00D608D6" w:rsidRDefault="00D608D6" w:rsidP="0098507B">
      <w:pPr>
        <w:spacing w:after="0" w:line="240" w:lineRule="auto"/>
      </w:pPr>
      <w:r>
        <w:continuationSeparator/>
      </w:r>
    </w:p>
  </w:footnote>
  <w:footnote w:id="2">
    <w:p w:rsidR="00B66397" w:rsidRPr="0098507B" w:rsidRDefault="00B66397" w:rsidP="0098507B">
      <w:pPr>
        <w:pStyle w:val="Textonotapie"/>
        <w:jc w:val="both"/>
        <w:rPr>
          <w:rFonts w:ascii="Times New Roman" w:hAnsi="Times New Roman"/>
          <w:lang w:val="es-MX"/>
        </w:rPr>
      </w:pPr>
      <w:r>
        <w:rPr>
          <w:rStyle w:val="Refdenotaalpie"/>
        </w:rPr>
        <w:footnoteRef/>
      </w:r>
      <w:r>
        <w:t xml:space="preserve"> </w:t>
      </w:r>
      <w:r w:rsidRPr="0098507B">
        <w:rPr>
          <w:rFonts w:ascii="Times New Roman" w:hAnsi="Times New Roman"/>
        </w:rPr>
        <w:t>Ffrench-Davis: “Hoy tenemos una desaceleración grave. Se necesita un gasto fiscal más eficiente y reactivador”</w:t>
      </w:r>
      <w:r>
        <w:rPr>
          <w:rFonts w:ascii="Times New Roman" w:hAnsi="Times New Roman"/>
        </w:rPr>
        <w:t xml:space="preserve">, </w:t>
      </w:r>
      <w:r w:rsidRPr="0098507B">
        <w:rPr>
          <w:rFonts w:ascii="Times New Roman" w:hAnsi="Times New Roman"/>
          <w:lang w:val="es-MX"/>
        </w:rPr>
        <w:t>Diario Financiero, 14 de mayo de 2015.</w:t>
      </w:r>
      <w:r>
        <w:rPr>
          <w:rFonts w:ascii="Times New Roman" w:hAnsi="Times New Roman"/>
          <w:lang w:val="es-MX"/>
        </w:rPr>
        <w:t xml:space="preserve"> </w:t>
      </w:r>
      <w:hyperlink r:id="rId1" w:history="1">
        <w:r w:rsidRPr="0072142F">
          <w:rPr>
            <w:rStyle w:val="Hipervnculo"/>
            <w:rFonts w:ascii="Times New Roman" w:hAnsi="Times New Roman"/>
            <w:lang w:val="es-MX"/>
          </w:rPr>
          <w:t>www.df.cl</w:t>
        </w:r>
      </w:hyperlink>
      <w:r>
        <w:rPr>
          <w:rFonts w:ascii="Times New Roman" w:hAnsi="Times New Roman"/>
          <w:lang w:val="es-MX"/>
        </w:rPr>
        <w:t xml:space="preserve"> </w:t>
      </w:r>
    </w:p>
  </w:footnote>
  <w:footnote w:id="3">
    <w:p w:rsidR="00B66397" w:rsidRPr="00E05F7A" w:rsidRDefault="00B66397">
      <w:pPr>
        <w:pStyle w:val="Textonotapie"/>
        <w:rPr>
          <w:rFonts w:ascii="Times New Roman" w:hAnsi="Times New Roman"/>
          <w:lang w:val="es-MX"/>
        </w:rPr>
      </w:pPr>
      <w:r>
        <w:rPr>
          <w:rStyle w:val="Refdenotaalpie"/>
        </w:rPr>
        <w:footnoteRef/>
      </w:r>
      <w:r>
        <w:t xml:space="preserve"> </w:t>
      </w:r>
      <w:r>
        <w:rPr>
          <w:rFonts w:ascii="Times New Roman" w:hAnsi="Times New Roman"/>
        </w:rPr>
        <w:t xml:space="preserve">Informe de Política Monetaria Marzo 2016, Banco Central, </w:t>
      </w:r>
      <w:hyperlink r:id="rId2" w:history="1">
        <w:r w:rsidRPr="0072142F">
          <w:rPr>
            <w:rStyle w:val="Hipervnculo"/>
            <w:rFonts w:ascii="Times New Roman" w:hAnsi="Times New Roman"/>
          </w:rPr>
          <w:t>www.bcentral.cl</w:t>
        </w:r>
      </w:hyperlink>
      <w:r>
        <w:rPr>
          <w:rFonts w:ascii="Times New Roman" w:hAnsi="Times New Roman"/>
        </w:rPr>
        <w:t xml:space="preserve"> </w:t>
      </w:r>
    </w:p>
  </w:footnote>
  <w:footnote w:id="4">
    <w:p w:rsidR="00B66397" w:rsidRPr="005032EA" w:rsidRDefault="00B66397">
      <w:pPr>
        <w:pStyle w:val="Textonotapie"/>
        <w:rPr>
          <w:rFonts w:ascii="Times New Roman" w:hAnsi="Times New Roman"/>
          <w:lang w:val="es-MX"/>
        </w:rPr>
      </w:pPr>
      <w:r>
        <w:rPr>
          <w:rStyle w:val="Refdenotaalpie"/>
        </w:rPr>
        <w:footnoteRef/>
      </w:r>
      <w:r>
        <w:t xml:space="preserve"> </w:t>
      </w:r>
      <w:r>
        <w:rPr>
          <w:rFonts w:ascii="Arabic Typesetting" w:hAnsi="Arabic Typesetting" w:cs="Arabic Typesetting"/>
        </w:rPr>
        <w:t>“</w:t>
      </w:r>
      <w:r>
        <w:rPr>
          <w:rFonts w:ascii="Times New Roman" w:hAnsi="Times New Roman"/>
        </w:rPr>
        <w:t xml:space="preserve">Balance Preliminar de las Economías de América latina y el Caribe 2015”, CEPAL, </w:t>
      </w:r>
      <w:hyperlink r:id="rId3" w:history="1">
        <w:r w:rsidRPr="0072142F">
          <w:rPr>
            <w:rStyle w:val="Hipervnculo"/>
            <w:rFonts w:ascii="Times New Roman" w:hAnsi="Times New Roman"/>
          </w:rPr>
          <w:t>www.cepal.org</w:t>
        </w:r>
      </w:hyperlink>
      <w:r>
        <w:rPr>
          <w:rFonts w:ascii="Times New Roman" w:hAnsi="Times New Roman"/>
        </w:rPr>
        <w:t xml:space="preserve"> </w:t>
      </w:r>
    </w:p>
  </w:footnote>
  <w:footnote w:id="5">
    <w:p w:rsidR="00B66397" w:rsidRPr="009909F5" w:rsidRDefault="00B66397">
      <w:pPr>
        <w:pStyle w:val="Textonotapie"/>
        <w:rPr>
          <w:rFonts w:ascii="Times New Roman" w:hAnsi="Times New Roman"/>
          <w:lang w:val="es-MX"/>
        </w:rPr>
      </w:pPr>
      <w:r w:rsidRPr="009909F5">
        <w:rPr>
          <w:rStyle w:val="Refdenotaalpie"/>
          <w:rFonts w:ascii="Times New Roman" w:hAnsi="Times New Roman"/>
        </w:rPr>
        <w:footnoteRef/>
      </w:r>
      <w:r w:rsidRPr="009909F5">
        <w:rPr>
          <w:rFonts w:ascii="Times New Roman" w:hAnsi="Times New Roman"/>
        </w:rPr>
        <w:t xml:space="preserve"> http://www.ccs.cl/eventos/2016/doc/IEE-Diciembre2015.pdf</w:t>
      </w:r>
    </w:p>
  </w:footnote>
  <w:footnote w:id="6">
    <w:p w:rsidR="00AE1BC3" w:rsidRPr="00AE1BC3" w:rsidRDefault="00AE1BC3">
      <w:pPr>
        <w:pStyle w:val="Textonotapie"/>
        <w:rPr>
          <w:lang w:val="es-MX"/>
        </w:rPr>
      </w:pPr>
      <w:r>
        <w:rPr>
          <w:rStyle w:val="Refdenotaalpie"/>
        </w:rPr>
        <w:footnoteRef/>
      </w:r>
      <w:r>
        <w:t xml:space="preserve"> </w:t>
      </w:r>
      <w:r>
        <w:rPr>
          <w:rFonts w:ascii="Arabic Typesetting" w:hAnsi="Arabic Typesetting" w:cs="Arabic Typesetting"/>
        </w:rPr>
        <w:t>“</w:t>
      </w:r>
      <w:r>
        <w:rPr>
          <w:rFonts w:ascii="Times New Roman" w:hAnsi="Times New Roman"/>
        </w:rPr>
        <w:t xml:space="preserve">Balance Preliminar de las Economías de América latina y el Caribe 2015”, CEPAL, </w:t>
      </w:r>
      <w:hyperlink r:id="rId4" w:history="1">
        <w:r w:rsidRPr="0072142F">
          <w:rPr>
            <w:rStyle w:val="Hipervnculo"/>
            <w:rFonts w:ascii="Times New Roman" w:hAnsi="Times New Roman"/>
          </w:rPr>
          <w:t>www.cepal.org</w:t>
        </w:r>
      </w:hyperlink>
      <w:r>
        <w:rPr>
          <w:rFonts w:ascii="Times New Roman" w:hAnsi="Times New Roman"/>
        </w:rPr>
        <w:t xml:space="preserve"> </w:t>
      </w:r>
    </w:p>
  </w:footnote>
  <w:footnote w:id="7">
    <w:p w:rsidR="00B66397" w:rsidRPr="00190BBA" w:rsidRDefault="00B66397" w:rsidP="00483FB6">
      <w:pPr>
        <w:autoSpaceDE w:val="0"/>
        <w:autoSpaceDN w:val="0"/>
        <w:adjustRightInd w:val="0"/>
        <w:spacing w:after="0" w:line="240" w:lineRule="auto"/>
        <w:jc w:val="both"/>
        <w:rPr>
          <w:lang w:val="es-MX"/>
        </w:rPr>
      </w:pPr>
      <w:r>
        <w:rPr>
          <w:rStyle w:val="Refdenotaalpie"/>
        </w:rPr>
        <w:footnoteRef/>
      </w:r>
      <w:r>
        <w:t xml:space="preserve"> </w:t>
      </w:r>
      <w:r w:rsidRPr="00483FB6">
        <w:rPr>
          <w:rFonts w:ascii="Times New Roman" w:hAnsi="Times New Roman"/>
          <w:color w:val="1A1A1A"/>
          <w:sz w:val="20"/>
          <w:szCs w:val="20"/>
          <w:lang w:eastAsia="es-CL"/>
        </w:rPr>
        <w:t>Encuesta Financiera de Hogares (EFH) 2014,</w:t>
      </w:r>
      <w:r>
        <w:rPr>
          <w:rFonts w:ascii="Times New Roman" w:hAnsi="Times New Roman"/>
          <w:color w:val="1A1A1A"/>
          <w:sz w:val="20"/>
          <w:szCs w:val="20"/>
          <w:lang w:eastAsia="es-CL"/>
        </w:rPr>
        <w:t xml:space="preserve"> levantada entre</w:t>
      </w:r>
      <w:r w:rsidRPr="00483FB6">
        <w:rPr>
          <w:rFonts w:ascii="Times New Roman" w:hAnsi="Times New Roman"/>
          <w:color w:val="1A1A1A"/>
          <w:sz w:val="20"/>
          <w:szCs w:val="20"/>
          <w:lang w:eastAsia="es-CL"/>
        </w:rPr>
        <w:t xml:space="preserve"> julio del 2014 y febrero del 2015</w:t>
      </w:r>
      <w:r>
        <w:rPr>
          <w:rFonts w:ascii="Times New Roman" w:hAnsi="Times New Roman"/>
          <w:color w:val="1A1A1A"/>
          <w:sz w:val="20"/>
          <w:szCs w:val="20"/>
          <w:lang w:eastAsia="es-CL"/>
        </w:rPr>
        <w:t xml:space="preserve">, </w:t>
      </w:r>
      <w:hyperlink r:id="rId5" w:history="1">
        <w:r w:rsidRPr="00AC2BA2">
          <w:rPr>
            <w:rStyle w:val="Hipervnculo"/>
            <w:rFonts w:ascii="Times New Roman" w:hAnsi="Times New Roman"/>
            <w:sz w:val="20"/>
            <w:szCs w:val="20"/>
            <w:lang w:eastAsia="es-CL"/>
          </w:rPr>
          <w:t>www.bcentral.cl</w:t>
        </w:r>
      </w:hyperlink>
      <w:r>
        <w:rPr>
          <w:rFonts w:ascii="Times New Roman" w:hAnsi="Times New Roman"/>
          <w:color w:val="1A1A1A"/>
          <w:sz w:val="20"/>
          <w:szCs w:val="20"/>
          <w:lang w:eastAsia="es-CL"/>
        </w:rPr>
        <w:t xml:space="preserve">  La razón deuda/ingreso pasó de 40,1% (2011) a 43,5% en 2014. Y la carga financiera de un 10,1% en 2011 a un 9,6% en 2014.  </w:t>
      </w:r>
    </w:p>
  </w:footnote>
  <w:footnote w:id="8">
    <w:p w:rsidR="002B3DCE" w:rsidRPr="002B3DCE" w:rsidRDefault="002B3DCE" w:rsidP="002B3DCE">
      <w:pPr>
        <w:spacing w:line="240" w:lineRule="auto"/>
        <w:jc w:val="both"/>
        <w:rPr>
          <w:rFonts w:ascii="Times New Roman" w:hAnsi="Times New Roman"/>
          <w:sz w:val="20"/>
          <w:szCs w:val="20"/>
        </w:rPr>
      </w:pPr>
      <w:r w:rsidRPr="002B3DCE">
        <w:rPr>
          <w:rStyle w:val="Refdenotaalpie"/>
          <w:rFonts w:ascii="Times New Roman" w:hAnsi="Times New Roman"/>
          <w:sz w:val="20"/>
          <w:szCs w:val="20"/>
        </w:rPr>
        <w:footnoteRef/>
      </w:r>
      <w:r w:rsidRPr="002B3DCE">
        <w:rPr>
          <w:rFonts w:ascii="Times New Roman" w:hAnsi="Times New Roman"/>
          <w:sz w:val="20"/>
          <w:szCs w:val="20"/>
        </w:rPr>
        <w:t xml:space="preserve"> Ricardo Ffrench-Davis: ‘Chile se durmió en los laureles’, 14 Julio 2015, </w:t>
      </w:r>
      <w:hyperlink r:id="rId6" w:history="1">
        <w:r w:rsidRPr="002B3DCE">
          <w:rPr>
            <w:rStyle w:val="Hipervnculo"/>
            <w:rFonts w:ascii="Times New Roman" w:hAnsi="Times New Roman"/>
            <w:sz w:val="20"/>
            <w:szCs w:val="20"/>
          </w:rPr>
          <w:t>http://www.caras.cl</w:t>
        </w:r>
      </w:hyperlink>
    </w:p>
  </w:footnote>
  <w:footnote w:id="9">
    <w:p w:rsidR="002B3DCE" w:rsidRPr="002B3DCE" w:rsidRDefault="002B3DCE" w:rsidP="002B3DCE">
      <w:pPr>
        <w:shd w:val="clear" w:color="auto" w:fill="FFFFFF"/>
        <w:spacing w:before="103" w:after="86" w:line="240" w:lineRule="auto"/>
        <w:outlineLvl w:val="0"/>
        <w:rPr>
          <w:rFonts w:ascii="Times New Roman" w:hAnsi="Times New Roman"/>
          <w:sz w:val="20"/>
          <w:szCs w:val="20"/>
        </w:rPr>
      </w:pPr>
      <w:r>
        <w:rPr>
          <w:rStyle w:val="Refdenotaalpie"/>
        </w:rPr>
        <w:footnoteRef/>
      </w:r>
      <w:r>
        <w:t xml:space="preserve"> </w:t>
      </w:r>
      <w:r w:rsidRPr="00192D09">
        <w:rPr>
          <w:rFonts w:ascii="Times New Roman" w:eastAsia="Times New Roman" w:hAnsi="Times New Roman"/>
          <w:kern w:val="36"/>
          <w:sz w:val="20"/>
          <w:szCs w:val="20"/>
          <w:lang w:eastAsia="es-CL"/>
        </w:rPr>
        <w:t>Hugo Fazio: “No se pueden enfrentar transformaciones de fondo sin meter recursos”</w:t>
      </w:r>
      <w:r>
        <w:rPr>
          <w:rFonts w:ascii="Times New Roman" w:eastAsia="Times New Roman" w:hAnsi="Times New Roman"/>
          <w:kern w:val="36"/>
          <w:sz w:val="20"/>
          <w:szCs w:val="20"/>
          <w:lang w:eastAsia="es-CL"/>
        </w:rPr>
        <w:t xml:space="preserve"> </w:t>
      </w:r>
      <w:hyperlink r:id="rId7" w:history="1">
        <w:r w:rsidRPr="003843DC">
          <w:rPr>
            <w:rStyle w:val="Hipervnculo"/>
            <w:rFonts w:ascii="Times New Roman" w:hAnsi="Times New Roman"/>
            <w:sz w:val="20"/>
            <w:szCs w:val="20"/>
          </w:rPr>
          <w:t>http://radio.uchile.cl/</w:t>
        </w:r>
      </w:hyperlink>
      <w:r>
        <w:rPr>
          <w:rFonts w:ascii="Times New Roman" w:hAnsi="Times New Roman"/>
          <w:sz w:val="20"/>
          <w:szCs w:val="20"/>
        </w:rPr>
        <w:t xml:space="preserve"> </w:t>
      </w:r>
      <w:r w:rsidRPr="003843DC">
        <w:rPr>
          <w:rFonts w:ascii="Times New Roman" w:hAnsi="Times New Roman"/>
          <w:sz w:val="20"/>
          <w:szCs w:val="20"/>
        </w:rPr>
        <w:t>27 de junio 2015</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51176F"/>
    <w:rsid w:val="000034ED"/>
    <w:rsid w:val="000537A1"/>
    <w:rsid w:val="000D0033"/>
    <w:rsid w:val="000D3CCC"/>
    <w:rsid w:val="000F58C8"/>
    <w:rsid w:val="00117E00"/>
    <w:rsid w:val="00141272"/>
    <w:rsid w:val="0015271E"/>
    <w:rsid w:val="001539C4"/>
    <w:rsid w:val="00190BBA"/>
    <w:rsid w:val="001B48BA"/>
    <w:rsid w:val="001B7643"/>
    <w:rsid w:val="0020133C"/>
    <w:rsid w:val="00230B4C"/>
    <w:rsid w:val="0023278A"/>
    <w:rsid w:val="002648A8"/>
    <w:rsid w:val="00287617"/>
    <w:rsid w:val="002B3DCE"/>
    <w:rsid w:val="002D3A4A"/>
    <w:rsid w:val="00304D28"/>
    <w:rsid w:val="00333560"/>
    <w:rsid w:val="00443090"/>
    <w:rsid w:val="00476C31"/>
    <w:rsid w:val="004803E1"/>
    <w:rsid w:val="00483FB6"/>
    <w:rsid w:val="004B7FF3"/>
    <w:rsid w:val="004F59AE"/>
    <w:rsid w:val="005032EA"/>
    <w:rsid w:val="0051176F"/>
    <w:rsid w:val="00524E4D"/>
    <w:rsid w:val="00530F13"/>
    <w:rsid w:val="00641832"/>
    <w:rsid w:val="00650BDA"/>
    <w:rsid w:val="00660DD5"/>
    <w:rsid w:val="00675851"/>
    <w:rsid w:val="006D65B5"/>
    <w:rsid w:val="006F77C5"/>
    <w:rsid w:val="00735E12"/>
    <w:rsid w:val="00736E1D"/>
    <w:rsid w:val="00744D7B"/>
    <w:rsid w:val="00766447"/>
    <w:rsid w:val="00776C6E"/>
    <w:rsid w:val="00795CCF"/>
    <w:rsid w:val="007A38A6"/>
    <w:rsid w:val="007D2630"/>
    <w:rsid w:val="007F7F78"/>
    <w:rsid w:val="008036CC"/>
    <w:rsid w:val="008045AD"/>
    <w:rsid w:val="008059B9"/>
    <w:rsid w:val="00810BDF"/>
    <w:rsid w:val="00825B21"/>
    <w:rsid w:val="008706F6"/>
    <w:rsid w:val="008F0269"/>
    <w:rsid w:val="00950543"/>
    <w:rsid w:val="0098501C"/>
    <w:rsid w:val="0098507B"/>
    <w:rsid w:val="009909F5"/>
    <w:rsid w:val="009C573B"/>
    <w:rsid w:val="009D2ED4"/>
    <w:rsid w:val="009F2A51"/>
    <w:rsid w:val="00A1481B"/>
    <w:rsid w:val="00A62B78"/>
    <w:rsid w:val="00A73034"/>
    <w:rsid w:val="00A74D35"/>
    <w:rsid w:val="00A81D64"/>
    <w:rsid w:val="00A90FEA"/>
    <w:rsid w:val="00A963EE"/>
    <w:rsid w:val="00AB2E09"/>
    <w:rsid w:val="00AB3A3E"/>
    <w:rsid w:val="00AE1BC3"/>
    <w:rsid w:val="00AE5B5F"/>
    <w:rsid w:val="00B07E8E"/>
    <w:rsid w:val="00B34E12"/>
    <w:rsid w:val="00B66397"/>
    <w:rsid w:val="00B80E7C"/>
    <w:rsid w:val="00BA48C2"/>
    <w:rsid w:val="00BD37F8"/>
    <w:rsid w:val="00BD7063"/>
    <w:rsid w:val="00C3786D"/>
    <w:rsid w:val="00C82AA6"/>
    <w:rsid w:val="00C82D5F"/>
    <w:rsid w:val="00CA0AF6"/>
    <w:rsid w:val="00D506D8"/>
    <w:rsid w:val="00D608D6"/>
    <w:rsid w:val="00D726A8"/>
    <w:rsid w:val="00D83DC6"/>
    <w:rsid w:val="00DA25D6"/>
    <w:rsid w:val="00E05F7A"/>
    <w:rsid w:val="00E20FD5"/>
    <w:rsid w:val="00E32753"/>
    <w:rsid w:val="00E567B1"/>
    <w:rsid w:val="00EA277C"/>
    <w:rsid w:val="00EA37C9"/>
    <w:rsid w:val="00EC1972"/>
    <w:rsid w:val="00EC5FF9"/>
    <w:rsid w:val="00ED20B5"/>
    <w:rsid w:val="00ED2C25"/>
    <w:rsid w:val="00F1304B"/>
    <w:rsid w:val="00F250B2"/>
    <w:rsid w:val="00F317A5"/>
    <w:rsid w:val="00F51565"/>
    <w:rsid w:val="00F57492"/>
    <w:rsid w:val="00F87367"/>
    <w:rsid w:val="00FA322D"/>
    <w:rsid w:val="00FD1BF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78A"/>
    <w:pPr>
      <w:spacing w:after="200" w:line="276" w:lineRule="auto"/>
    </w:pPr>
    <w:rPr>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850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8507B"/>
    <w:rPr>
      <w:sz w:val="20"/>
      <w:szCs w:val="20"/>
    </w:rPr>
  </w:style>
  <w:style w:type="character" w:styleId="Refdenotaalpie">
    <w:name w:val="footnote reference"/>
    <w:basedOn w:val="Fuentedeprrafopredeter"/>
    <w:uiPriority w:val="99"/>
    <w:semiHidden/>
    <w:unhideWhenUsed/>
    <w:rsid w:val="0098507B"/>
    <w:rPr>
      <w:vertAlign w:val="superscript"/>
    </w:rPr>
  </w:style>
  <w:style w:type="character" w:styleId="Hipervnculo">
    <w:name w:val="Hyperlink"/>
    <w:basedOn w:val="Fuentedeprrafopredeter"/>
    <w:uiPriority w:val="99"/>
    <w:unhideWhenUsed/>
    <w:rsid w:val="00EC197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cepal.org" TargetMode="External"/><Relationship Id="rId7" Type="http://schemas.openxmlformats.org/officeDocument/2006/relationships/hyperlink" Target="http://radio.uchile.cl/" TargetMode="External"/><Relationship Id="rId2" Type="http://schemas.openxmlformats.org/officeDocument/2006/relationships/hyperlink" Target="http://www.bcentral.cl" TargetMode="External"/><Relationship Id="rId1" Type="http://schemas.openxmlformats.org/officeDocument/2006/relationships/hyperlink" Target="http://www.df.cl" TargetMode="External"/><Relationship Id="rId6" Type="http://schemas.openxmlformats.org/officeDocument/2006/relationships/hyperlink" Target="http://www.caras.cl" TargetMode="External"/><Relationship Id="rId5" Type="http://schemas.openxmlformats.org/officeDocument/2006/relationships/hyperlink" Target="http://www.bcentral.cl" TargetMode="External"/><Relationship Id="rId4" Type="http://schemas.openxmlformats.org/officeDocument/2006/relationships/hyperlink" Target="http://www.cepal.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C30C77-9B2F-4804-A2C3-A0AEE3C9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1964</Words>
  <Characters>10808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12747</CharactersWithSpaces>
  <SharedDoc>false</SharedDoc>
  <HLinks>
    <vt:vector size="42" baseType="variant">
      <vt:variant>
        <vt:i4>6357027</vt:i4>
      </vt:variant>
      <vt:variant>
        <vt:i4>18</vt:i4>
      </vt:variant>
      <vt:variant>
        <vt:i4>0</vt:i4>
      </vt:variant>
      <vt:variant>
        <vt:i4>5</vt:i4>
      </vt:variant>
      <vt:variant>
        <vt:lpwstr>http://radio.uchile.cl/</vt:lpwstr>
      </vt:variant>
      <vt:variant>
        <vt:lpwstr/>
      </vt:variant>
      <vt:variant>
        <vt:i4>327698</vt:i4>
      </vt:variant>
      <vt:variant>
        <vt:i4>15</vt:i4>
      </vt:variant>
      <vt:variant>
        <vt:i4>0</vt:i4>
      </vt:variant>
      <vt:variant>
        <vt:i4>5</vt:i4>
      </vt:variant>
      <vt:variant>
        <vt:lpwstr>http://www.caras.cl/</vt:lpwstr>
      </vt:variant>
      <vt:variant>
        <vt:lpwstr/>
      </vt:variant>
      <vt:variant>
        <vt:i4>8060960</vt:i4>
      </vt:variant>
      <vt:variant>
        <vt:i4>12</vt:i4>
      </vt:variant>
      <vt:variant>
        <vt:i4>0</vt:i4>
      </vt:variant>
      <vt:variant>
        <vt:i4>5</vt:i4>
      </vt:variant>
      <vt:variant>
        <vt:lpwstr>http://www.bcentral.cl/</vt:lpwstr>
      </vt:variant>
      <vt:variant>
        <vt:lpwstr/>
      </vt:variant>
      <vt:variant>
        <vt:i4>6029320</vt:i4>
      </vt:variant>
      <vt:variant>
        <vt:i4>9</vt:i4>
      </vt:variant>
      <vt:variant>
        <vt:i4>0</vt:i4>
      </vt:variant>
      <vt:variant>
        <vt:i4>5</vt:i4>
      </vt:variant>
      <vt:variant>
        <vt:lpwstr>http://www.cepal.org/</vt:lpwstr>
      </vt:variant>
      <vt:variant>
        <vt:lpwstr/>
      </vt:variant>
      <vt:variant>
        <vt:i4>6029320</vt:i4>
      </vt:variant>
      <vt:variant>
        <vt:i4>6</vt:i4>
      </vt:variant>
      <vt:variant>
        <vt:i4>0</vt:i4>
      </vt:variant>
      <vt:variant>
        <vt:i4>5</vt:i4>
      </vt:variant>
      <vt:variant>
        <vt:lpwstr>http://www.cepal.org/</vt:lpwstr>
      </vt:variant>
      <vt:variant>
        <vt:lpwstr/>
      </vt:variant>
      <vt:variant>
        <vt:i4>8060960</vt:i4>
      </vt:variant>
      <vt:variant>
        <vt:i4>3</vt:i4>
      </vt:variant>
      <vt:variant>
        <vt:i4>0</vt:i4>
      </vt:variant>
      <vt:variant>
        <vt:i4>5</vt:i4>
      </vt:variant>
      <vt:variant>
        <vt:lpwstr>http://www.bcentral.cl/</vt:lpwstr>
      </vt:variant>
      <vt:variant>
        <vt:lpwstr/>
      </vt:variant>
      <vt:variant>
        <vt:i4>852053</vt:i4>
      </vt:variant>
      <vt:variant>
        <vt:i4>0</vt:i4>
      </vt:variant>
      <vt:variant>
        <vt:i4>0</vt:i4>
      </vt:variant>
      <vt:variant>
        <vt:i4>5</vt:i4>
      </vt:variant>
      <vt:variant>
        <vt:lpwstr>http://www.df.cl/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cp:lastModifiedBy>
  <cp:revision>2</cp:revision>
  <dcterms:created xsi:type="dcterms:W3CDTF">2016-06-15T12:23:00Z</dcterms:created>
  <dcterms:modified xsi:type="dcterms:W3CDTF">2016-06-15T12:23:00Z</dcterms:modified>
</cp:coreProperties>
</file>