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971" w:rsidRPr="00F93971" w:rsidRDefault="00F93971" w:rsidP="00F93971">
      <w:pPr>
        <w:spacing w:after="0" w:line="240" w:lineRule="auto"/>
        <w:jc w:val="center"/>
        <w:outlineLvl w:val="1"/>
        <w:rPr>
          <w:rFonts w:ascii="Georgia" w:eastAsia="Times New Roman" w:hAnsi="Georgia" w:cs="Times New Roman"/>
          <w:color w:val="333333"/>
          <w:sz w:val="52"/>
          <w:szCs w:val="52"/>
          <w:lang w:eastAsia="es-ES"/>
        </w:rPr>
      </w:pPr>
      <w:r w:rsidRPr="00F93971">
        <w:rPr>
          <w:rFonts w:ascii="Georgia" w:eastAsia="Times New Roman" w:hAnsi="Georgia" w:cs="Times New Roman"/>
          <w:color w:val="333333"/>
          <w:sz w:val="52"/>
          <w:szCs w:val="52"/>
          <w:lang w:eastAsia="es-ES"/>
        </w:rPr>
        <w:t>Justicia y misericordia, un desafío (</w:t>
      </w:r>
      <w:proofErr w:type="spellStart"/>
      <w:r w:rsidRPr="00F93971">
        <w:rPr>
          <w:rFonts w:ascii="Georgia" w:eastAsia="Times New Roman" w:hAnsi="Georgia" w:cs="Times New Roman"/>
          <w:color w:val="333333"/>
          <w:sz w:val="52"/>
          <w:szCs w:val="52"/>
          <w:lang w:eastAsia="es-ES"/>
        </w:rPr>
        <w:t>Asoc</w:t>
      </w:r>
      <w:proofErr w:type="spellEnd"/>
      <w:r w:rsidRPr="00F93971">
        <w:rPr>
          <w:rFonts w:ascii="Georgia" w:eastAsia="Times New Roman" w:hAnsi="Georgia" w:cs="Times New Roman"/>
          <w:color w:val="333333"/>
          <w:sz w:val="52"/>
          <w:szCs w:val="52"/>
          <w:lang w:eastAsia="es-ES"/>
        </w:rPr>
        <w:t>. Pablo VI, 10 de Mayo)</w:t>
      </w:r>
    </w:p>
    <w:p w:rsidR="00F93971" w:rsidRDefault="00F93971" w:rsidP="00F93971">
      <w:pPr>
        <w:spacing w:after="0" w:line="240" w:lineRule="auto"/>
        <w:rPr>
          <w:rFonts w:ascii="Arial" w:eastAsia="Times New Roman" w:hAnsi="Arial" w:cs="Arial"/>
          <w:b/>
          <w:bCs/>
          <w:color w:val="999999"/>
          <w:sz w:val="26"/>
          <w:szCs w:val="26"/>
          <w:lang w:eastAsia="es-ES"/>
        </w:rPr>
      </w:pPr>
      <w:r>
        <w:rPr>
          <w:rFonts w:ascii="Arial" w:eastAsia="Times New Roman" w:hAnsi="Arial" w:cs="Arial"/>
          <w:b/>
          <w:bCs/>
          <w:noProof/>
          <w:color w:val="999999"/>
          <w:sz w:val="26"/>
          <w:szCs w:val="26"/>
          <w:lang w:eastAsia="es-ES"/>
        </w:rPr>
        <w:drawing>
          <wp:anchor distT="0" distB="0" distL="114300" distR="114300" simplePos="0" relativeHeight="251659264" behindDoc="1" locked="0" layoutInCell="1" allowOverlap="1">
            <wp:simplePos x="0" y="0"/>
            <wp:positionH relativeFrom="column">
              <wp:posOffset>2634615</wp:posOffset>
            </wp:positionH>
            <wp:positionV relativeFrom="paragraph">
              <wp:posOffset>73660</wp:posOffset>
            </wp:positionV>
            <wp:extent cx="571500" cy="571500"/>
            <wp:effectExtent l="19050" t="0" r="0" b="0"/>
            <wp:wrapTight wrapText="bothSides">
              <wp:wrapPolygon edited="0">
                <wp:start x="-720" y="0"/>
                <wp:lineTo x="-720" y="20880"/>
                <wp:lineTo x="21600" y="20880"/>
                <wp:lineTo x="21600" y="0"/>
                <wp:lineTo x="-720" y="0"/>
              </wp:wrapPolygon>
            </wp:wrapTight>
            <wp:docPr id="1" name="0 Imagen" descr="Xabier Pikaza Ibarro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bier Pikaza Ibarrondo.jpg"/>
                    <pic:cNvPicPr/>
                  </pic:nvPicPr>
                  <pic:blipFill>
                    <a:blip r:embed="rId5"/>
                    <a:stretch>
                      <a:fillRect/>
                    </a:stretch>
                  </pic:blipFill>
                  <pic:spPr>
                    <a:xfrm>
                      <a:off x="0" y="0"/>
                      <a:ext cx="571500" cy="571500"/>
                    </a:xfrm>
                    <a:prstGeom prst="rect">
                      <a:avLst/>
                    </a:prstGeom>
                  </pic:spPr>
                </pic:pic>
              </a:graphicData>
            </a:graphic>
          </wp:anchor>
        </w:drawing>
      </w:r>
    </w:p>
    <w:p w:rsidR="00F93971" w:rsidRDefault="00F93971" w:rsidP="00F93971">
      <w:pPr>
        <w:spacing w:after="0" w:line="240" w:lineRule="auto"/>
        <w:rPr>
          <w:rFonts w:ascii="Arial" w:eastAsia="Times New Roman" w:hAnsi="Arial" w:cs="Arial"/>
          <w:b/>
          <w:bCs/>
          <w:color w:val="000000" w:themeColor="text1"/>
          <w:sz w:val="26"/>
          <w:szCs w:val="26"/>
          <w:lang w:eastAsia="es-ES"/>
        </w:rPr>
      </w:pPr>
      <w:r w:rsidRPr="00F93971">
        <w:rPr>
          <w:rFonts w:ascii="Arial" w:eastAsia="Times New Roman" w:hAnsi="Arial" w:cs="Arial"/>
          <w:b/>
          <w:bCs/>
          <w:color w:val="999999"/>
          <w:sz w:val="26"/>
          <w:szCs w:val="26"/>
          <w:lang w:eastAsia="es-ES"/>
        </w:rPr>
        <w:t xml:space="preserve">09.05.16 | 13:41. </w:t>
      </w:r>
      <w:r w:rsidRPr="00F93971">
        <w:rPr>
          <w:rFonts w:ascii="Arial" w:eastAsia="Times New Roman" w:hAnsi="Arial" w:cs="Arial"/>
          <w:b/>
          <w:bCs/>
          <w:color w:val="000000" w:themeColor="text1"/>
          <w:sz w:val="26"/>
          <w:szCs w:val="26"/>
          <w:lang w:eastAsia="es-ES"/>
        </w:rPr>
        <w:t xml:space="preserve">Xabier </w:t>
      </w:r>
      <w:proofErr w:type="spellStart"/>
      <w:r w:rsidRPr="00F93971">
        <w:rPr>
          <w:rFonts w:ascii="Arial" w:eastAsia="Times New Roman" w:hAnsi="Arial" w:cs="Arial"/>
          <w:b/>
          <w:bCs/>
          <w:color w:val="000000" w:themeColor="text1"/>
          <w:sz w:val="26"/>
          <w:szCs w:val="26"/>
          <w:lang w:eastAsia="es-ES"/>
        </w:rPr>
        <w:t>Pikaza</w:t>
      </w:r>
      <w:proofErr w:type="spellEnd"/>
    </w:p>
    <w:p w:rsidR="00F93971" w:rsidRDefault="00F93971" w:rsidP="00F93971">
      <w:pPr>
        <w:spacing w:after="0" w:line="240" w:lineRule="auto"/>
        <w:rPr>
          <w:rFonts w:ascii="Arial" w:eastAsia="Times New Roman" w:hAnsi="Arial" w:cs="Arial"/>
          <w:b/>
          <w:bCs/>
          <w:color w:val="000000" w:themeColor="text1"/>
          <w:sz w:val="26"/>
          <w:szCs w:val="26"/>
          <w:lang w:eastAsia="es-ES"/>
        </w:rPr>
      </w:pPr>
    </w:p>
    <w:p w:rsidR="00F93971" w:rsidRPr="00F93971" w:rsidRDefault="00F93971" w:rsidP="00F93971">
      <w:pPr>
        <w:spacing w:after="0" w:line="240" w:lineRule="auto"/>
        <w:rPr>
          <w:rFonts w:ascii="Arial" w:eastAsia="Times New Roman" w:hAnsi="Arial" w:cs="Arial"/>
          <w:color w:val="000000" w:themeColor="text1"/>
          <w:sz w:val="15"/>
          <w:szCs w:val="15"/>
          <w:lang w:eastAsia="es-ES"/>
        </w:rPr>
      </w:pPr>
    </w:p>
    <w:p w:rsidR="00F93971" w:rsidRPr="00F93971" w:rsidRDefault="00F93971" w:rsidP="00F93971">
      <w:pPr>
        <w:numPr>
          <w:ilvl w:val="0"/>
          <w:numId w:val="1"/>
        </w:numPr>
        <w:spacing w:after="0" w:line="240" w:lineRule="auto"/>
        <w:ind w:left="13320"/>
        <w:rPr>
          <w:rFonts w:ascii="Arial" w:eastAsia="Times New Roman" w:hAnsi="Arial" w:cs="Arial"/>
          <w:color w:val="FFFFFF"/>
          <w:sz w:val="15"/>
          <w:szCs w:val="15"/>
          <w:lang w:eastAsia="es-ES"/>
        </w:rPr>
      </w:pPr>
    </w:p>
    <w:p w:rsidR="00F93971" w:rsidRPr="00F93971" w:rsidRDefault="00F93971" w:rsidP="00F93971">
      <w:pPr>
        <w:numPr>
          <w:ilvl w:val="0"/>
          <w:numId w:val="1"/>
        </w:numPr>
        <w:spacing w:after="0" w:line="240" w:lineRule="auto"/>
        <w:ind w:left="13320"/>
        <w:rPr>
          <w:rFonts w:ascii="Arial" w:eastAsia="Times New Roman" w:hAnsi="Arial" w:cs="Arial"/>
          <w:color w:val="FFFFFF"/>
          <w:sz w:val="15"/>
          <w:szCs w:val="15"/>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3048000" cy="2286000"/>
            <wp:effectExtent l="19050" t="0" r="0" b="0"/>
            <wp:wrapSquare wrapText="bothSides"/>
            <wp:docPr id="2" name="Imagen 2" descr="http://4.bp.blogspot.com/-kQxPUbjP4qg/TwNiNkrDL1I/AAAAAAAAAVI/acMtczV0fBk/s320/P1030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4.bp.blogspot.com/-kQxPUbjP4qg/TwNiNkrDL1I/AAAAAAAAAVI/acMtczV0fBk/s320/P1030228.JPG"/>
                    <pic:cNvPicPr>
                      <a:picLocks noChangeAspect="1" noChangeArrowheads="1"/>
                    </pic:cNvPicPr>
                  </pic:nvPicPr>
                  <pic:blipFill>
                    <a:blip r:embed="rId6"/>
                    <a:srcRect/>
                    <a:stretch>
                      <a:fillRect/>
                    </a:stretch>
                  </pic:blipFill>
                  <pic:spPr bwMode="auto">
                    <a:xfrm>
                      <a:off x="0" y="0"/>
                      <a:ext cx="3048000" cy="2286000"/>
                    </a:xfrm>
                    <a:prstGeom prst="rect">
                      <a:avLst/>
                    </a:prstGeom>
                    <a:noFill/>
                    <a:ln w="9525">
                      <a:noFill/>
                      <a:miter lim="800000"/>
                      <a:headEnd/>
                      <a:tailEnd/>
                    </a:ln>
                  </pic:spPr>
                </pic:pic>
              </a:graphicData>
            </a:graphic>
          </wp:anchor>
        </w:drawing>
      </w:r>
      <w:r w:rsidRPr="00F93971">
        <w:rPr>
          <w:rFonts w:ascii="Arial" w:eastAsia="Times New Roman" w:hAnsi="Arial" w:cs="Arial"/>
          <w:b/>
          <w:bCs/>
          <w:color w:val="000000" w:themeColor="text1"/>
          <w:sz w:val="24"/>
          <w:szCs w:val="24"/>
          <w:lang w:eastAsia="es-ES"/>
        </w:rPr>
        <w:t>La Asociación Pablo VI de Salamanca me ha invitado a impartir mañana (10.05.2016) una conferencia sobre Justicia y Misericordia,</w:t>
      </w:r>
      <w:r w:rsidRPr="00F93971">
        <w:rPr>
          <w:rFonts w:ascii="Arial" w:eastAsia="Times New Roman" w:hAnsi="Arial" w:cs="Arial"/>
          <w:color w:val="000000" w:themeColor="text1"/>
          <w:sz w:val="24"/>
          <w:szCs w:val="24"/>
          <w:lang w:eastAsia="es-ES"/>
        </w:rPr>
        <w:t> entendidas como variantes y momentos de un mismo desafío, en un camino de vida o de muerte.</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i/>
          <w:iCs/>
          <w:color w:val="000000" w:themeColor="text1"/>
          <w:sz w:val="24"/>
          <w:szCs w:val="24"/>
          <w:lang w:eastAsia="es-ES"/>
        </w:rPr>
      </w:pPr>
      <w:r w:rsidRPr="00F93971">
        <w:rPr>
          <w:rFonts w:ascii="Arial" w:eastAsia="Times New Roman" w:hAnsi="Arial" w:cs="Arial"/>
          <w:i/>
          <w:iCs/>
          <w:color w:val="000000" w:themeColor="text1"/>
          <w:sz w:val="24"/>
          <w:szCs w:val="24"/>
          <w:lang w:eastAsia="es-ES"/>
        </w:rPr>
        <w:t>Será un buen momento para reflexionar sobre esas dos “virtudes” o momentos de la vida, en un contexto universitario y eclesial, a la luz del proyecto humanista de Pablo VI, desde la nueva perspectiva que ofrece el compromiso de misericordia del Papa Francisco.</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r>
        <w:rPr>
          <w:rFonts w:ascii="Arial" w:eastAsia="Times New Roman" w:hAnsi="Arial" w:cs="Arial"/>
          <w:noProof/>
          <w:color w:val="000000" w:themeColor="text1"/>
          <w:sz w:val="24"/>
          <w:szCs w:val="24"/>
          <w:lang w:eastAsia="es-ES"/>
        </w:rPr>
        <w:drawing>
          <wp:anchor distT="0" distB="0" distL="0" distR="0" simplePos="0" relativeHeight="251658240" behindDoc="0" locked="0" layoutInCell="1" allowOverlap="0">
            <wp:simplePos x="0" y="0"/>
            <wp:positionH relativeFrom="column">
              <wp:posOffset>-106045</wp:posOffset>
            </wp:positionH>
            <wp:positionV relativeFrom="line">
              <wp:posOffset>257175</wp:posOffset>
            </wp:positionV>
            <wp:extent cx="2343150" cy="3533775"/>
            <wp:effectExtent l="19050" t="0" r="0" b="0"/>
            <wp:wrapSquare wrapText="bothSides"/>
            <wp:docPr id="3" name="Imagen 3" descr="http://www.verbodivino.es/portada/4533/imagessinfotog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erbodivino.es/portada/4533/imagessinfotogif.jpg"/>
                    <pic:cNvPicPr>
                      <a:picLocks noChangeAspect="1" noChangeArrowheads="1"/>
                    </pic:cNvPicPr>
                  </pic:nvPicPr>
                  <pic:blipFill>
                    <a:blip r:embed="rId7"/>
                    <a:srcRect/>
                    <a:stretch>
                      <a:fillRect/>
                    </a:stretch>
                  </pic:blipFill>
                  <pic:spPr bwMode="auto">
                    <a:xfrm>
                      <a:off x="0" y="0"/>
                      <a:ext cx="2343150" cy="3533775"/>
                    </a:xfrm>
                    <a:prstGeom prst="rect">
                      <a:avLst/>
                    </a:prstGeom>
                    <a:noFill/>
                    <a:ln w="9525">
                      <a:noFill/>
                      <a:miter lim="800000"/>
                      <a:headEnd/>
                      <a:tailEnd/>
                    </a:ln>
                  </pic:spPr>
                </pic:pic>
              </a:graphicData>
            </a:graphic>
          </wp:anchor>
        </w:drawing>
      </w: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El acto tendrá lugar en Salón Principal del antiguo Colegio Universitario de los Carmelitas Descalzos (imagen)</w:t>
      </w:r>
      <w:r w:rsidRPr="00F93971">
        <w:rPr>
          <w:rFonts w:ascii="Arial" w:eastAsia="Times New Roman" w:hAnsi="Arial" w:cs="Arial"/>
          <w:color w:val="000000" w:themeColor="text1"/>
          <w:sz w:val="24"/>
          <w:szCs w:val="24"/>
          <w:lang w:eastAsia="es-ES"/>
        </w:rPr>
        <w:t>, donde se redactó a principios del siglo XVII el </w:t>
      </w:r>
      <w:r w:rsidRPr="00F93971">
        <w:rPr>
          <w:rFonts w:ascii="Arial" w:eastAsia="Times New Roman" w:hAnsi="Arial" w:cs="Arial"/>
          <w:b/>
          <w:bCs/>
          <w:color w:val="000000" w:themeColor="text1"/>
          <w:sz w:val="24"/>
          <w:szCs w:val="24"/>
          <w:lang w:eastAsia="es-ES"/>
        </w:rPr>
        <w:t>Curso Dogmático Salmanticense,</w:t>
      </w:r>
      <w:r w:rsidRPr="00F93971">
        <w:rPr>
          <w:rFonts w:ascii="Arial" w:eastAsia="Times New Roman" w:hAnsi="Arial" w:cs="Arial"/>
          <w:color w:val="000000" w:themeColor="text1"/>
          <w:sz w:val="24"/>
          <w:szCs w:val="24"/>
          <w:lang w:eastAsia="es-ES"/>
        </w:rPr>
        <w:t> la obra más significativa de la Teología Católica del Barroco. Allí intentaré (intentaremos) precisar las relaciones entre justicia y misericordia, desde una perspectiva histórica y actual, como desafío de vida.</w:t>
      </w:r>
      <w:r w:rsidRPr="00F93971">
        <w:rPr>
          <w:rFonts w:ascii="Arial" w:eastAsia="Times New Roman" w:hAnsi="Arial" w:cs="Arial"/>
          <w:color w:val="000000" w:themeColor="text1"/>
          <w:sz w:val="24"/>
          <w:szCs w:val="24"/>
          <w:lang w:eastAsia="es-ES"/>
        </w:rPr>
        <w:br/>
      </w:r>
      <w:r w:rsidRPr="00F93971">
        <w:rPr>
          <w:rFonts w:ascii="Arial" w:eastAsia="Times New Roman" w:hAnsi="Arial" w:cs="Arial"/>
          <w:color w:val="000000" w:themeColor="text1"/>
          <w:sz w:val="24"/>
          <w:szCs w:val="24"/>
          <w:lang w:eastAsia="es-ES"/>
        </w:rPr>
        <w:br/>
        <w:t>En esa línea, para aquellos que no puedan participar en el acto y dialogar sobre el tema, ofrecerá a continuación dos pinceladas sobre el argumento:</w:t>
      </w: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1. Obras de misericordia y obras justicia, renovación y actualización</w:t>
      </w:r>
      <w:r w:rsidRPr="00F93971">
        <w:rPr>
          <w:rFonts w:ascii="Arial" w:eastAsia="Times New Roman" w:hAnsi="Arial" w:cs="Arial"/>
          <w:color w:val="000000" w:themeColor="text1"/>
          <w:sz w:val="24"/>
          <w:szCs w:val="24"/>
          <w:lang w:eastAsia="es-ES"/>
        </w:rPr>
        <w:t>. Sin justicia y misericordia el hombre corre el riesgo de morir (matarse). Por eso he dicho que estamos ante un desafío de muerte.</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 xml:space="preserve">2. Un ejemplo concreto: la 7ª obra: enterrar a los muertos o superar la trata de </w:t>
      </w:r>
      <w:proofErr w:type="spellStart"/>
      <w:r w:rsidRPr="00F93971">
        <w:rPr>
          <w:rFonts w:ascii="Arial" w:eastAsia="Times New Roman" w:hAnsi="Arial" w:cs="Arial"/>
          <w:b/>
          <w:bCs/>
          <w:color w:val="000000" w:themeColor="text1"/>
          <w:sz w:val="24"/>
          <w:szCs w:val="24"/>
          <w:lang w:eastAsia="es-ES"/>
        </w:rPr>
        <w:t>mujeres.</w:t>
      </w:r>
      <w:r w:rsidRPr="00F93971">
        <w:rPr>
          <w:rFonts w:ascii="Arial" w:eastAsia="Times New Roman" w:hAnsi="Arial" w:cs="Arial"/>
          <w:color w:val="000000" w:themeColor="text1"/>
          <w:sz w:val="24"/>
          <w:szCs w:val="24"/>
          <w:lang w:eastAsia="es-ES"/>
        </w:rPr>
        <w:t>Quiero</w:t>
      </w:r>
      <w:proofErr w:type="spellEnd"/>
      <w:r w:rsidRPr="00F93971">
        <w:rPr>
          <w:rFonts w:ascii="Arial" w:eastAsia="Times New Roman" w:hAnsi="Arial" w:cs="Arial"/>
          <w:color w:val="000000" w:themeColor="text1"/>
          <w:sz w:val="24"/>
          <w:szCs w:val="24"/>
          <w:lang w:eastAsia="es-ES"/>
        </w:rPr>
        <w:t xml:space="preserve"> insistir en los diversos elementos de la justicia y de la misericordia, pero, a modo de ejemplo concreto, pondré de relieve la importancia de la "séptima obra", formulada por la Iglesia en los catecismos del siglo XVI.</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 </w:t>
      </w:r>
      <w:r w:rsidRPr="00F93971">
        <w:rPr>
          <w:rFonts w:ascii="Arial" w:eastAsia="Times New Roman" w:hAnsi="Arial" w:cs="Arial"/>
          <w:b/>
          <w:bCs/>
          <w:color w:val="000000" w:themeColor="text1"/>
          <w:sz w:val="24"/>
          <w:szCs w:val="24"/>
          <w:lang w:eastAsia="es-ES"/>
        </w:rPr>
        <w:t>¿Por qué triunfó la obra de enterrar a los muertos</w:t>
      </w:r>
      <w:r w:rsidRPr="00F93971">
        <w:rPr>
          <w:rFonts w:ascii="Arial" w:eastAsia="Times New Roman" w:hAnsi="Arial" w:cs="Arial"/>
          <w:color w:val="000000" w:themeColor="text1"/>
          <w:sz w:val="24"/>
          <w:szCs w:val="24"/>
          <w:lang w:eastAsia="es-ES"/>
        </w:rPr>
        <w:t>, con su vertiente más litúrgica y casi sacramental?</w:t>
      </w: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 ¿Por qué se olvidó un poco el tema de la justicia </w:t>
      </w:r>
      <w:r w:rsidRPr="00F93971">
        <w:rPr>
          <w:rFonts w:ascii="Arial" w:eastAsia="Times New Roman" w:hAnsi="Arial" w:cs="Arial"/>
          <w:color w:val="000000" w:themeColor="text1"/>
          <w:sz w:val="24"/>
          <w:szCs w:val="24"/>
          <w:lang w:eastAsia="es-ES"/>
        </w:rPr>
        <w:t>en relación a las mujeres... a pesar de la casa de las "</w:t>
      </w:r>
      <w:proofErr w:type="spellStart"/>
      <w:r w:rsidRPr="00F93971">
        <w:rPr>
          <w:rFonts w:ascii="Arial" w:eastAsia="Times New Roman" w:hAnsi="Arial" w:cs="Arial"/>
          <w:color w:val="000000" w:themeColor="text1"/>
          <w:sz w:val="24"/>
          <w:szCs w:val="24"/>
          <w:lang w:eastAsia="es-ES"/>
        </w:rPr>
        <w:t>arrecogías</w:t>
      </w:r>
      <w:proofErr w:type="spellEnd"/>
      <w:r w:rsidRPr="00F93971">
        <w:rPr>
          <w:rFonts w:ascii="Arial" w:eastAsia="Times New Roman" w:hAnsi="Arial" w:cs="Arial"/>
          <w:color w:val="000000" w:themeColor="text1"/>
          <w:sz w:val="24"/>
          <w:szCs w:val="24"/>
          <w:lang w:eastAsia="es-ES"/>
        </w:rPr>
        <w:t>" que había aquí en Salamanca?</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Buen día a todos.</w:t>
      </w:r>
      <w:bookmarkStart w:id="0" w:name="more384302"/>
      <w:bookmarkEnd w:id="0"/>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1. Renovación de las obras de justicia y misericordia</w:t>
      </w: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Más que las obras, que están bien, hay que renovar la forma de entenderlas y practicarlas, pues de ello depende nuestra forma de vivir el cristianismo, como indicarán las reflexiones siguientes.</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La tradición occidental, </w:t>
      </w:r>
      <w:r w:rsidRPr="00F93971">
        <w:rPr>
          <w:rFonts w:ascii="Arial" w:eastAsia="Times New Roman" w:hAnsi="Arial" w:cs="Arial"/>
          <w:color w:val="000000" w:themeColor="text1"/>
          <w:sz w:val="24"/>
          <w:szCs w:val="24"/>
          <w:lang w:eastAsia="es-ES"/>
        </w:rPr>
        <w:t xml:space="preserve">heredera del mundo greco-romano, ratificada por la Ilustración, ha insistido en la justicia, concibiendo la misericordia como algo derivado o secundario. Pero de hecho ha corrido el riesgo de crear una justicia sin alma, y al fin </w:t>
      </w:r>
      <w:proofErr w:type="gramStart"/>
      <w:r w:rsidRPr="00F93971">
        <w:rPr>
          <w:rFonts w:ascii="Arial" w:eastAsia="Times New Roman" w:hAnsi="Arial" w:cs="Arial"/>
          <w:color w:val="000000" w:themeColor="text1"/>
          <w:sz w:val="24"/>
          <w:szCs w:val="24"/>
          <w:lang w:eastAsia="es-ES"/>
        </w:rPr>
        <w:t>injusta</w:t>
      </w:r>
      <w:proofErr w:type="gramEnd"/>
      <w:r w:rsidRPr="00F93971">
        <w:rPr>
          <w:rFonts w:ascii="Arial" w:eastAsia="Times New Roman" w:hAnsi="Arial" w:cs="Arial"/>
          <w:color w:val="000000" w:themeColor="text1"/>
          <w:sz w:val="24"/>
          <w:szCs w:val="24"/>
          <w:lang w:eastAsia="es-ES"/>
        </w:rPr>
        <w:t>, como muestra el estado actual del mundo, donde en nombre de la justicia mueren cada año millones de inocentes.</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La tradición bíblica </w:t>
      </w:r>
      <w:r w:rsidRPr="00F93971">
        <w:rPr>
          <w:rFonts w:ascii="Arial" w:eastAsia="Times New Roman" w:hAnsi="Arial" w:cs="Arial"/>
          <w:color w:val="000000" w:themeColor="text1"/>
          <w:sz w:val="24"/>
          <w:szCs w:val="24"/>
          <w:lang w:eastAsia="es-ES"/>
        </w:rPr>
        <w:t>ha dado prioridad a la misericordia, pero, de hecho, tal como ha sido practicada por las iglesias, ella ha terminado perdiendo su nervio, convirtiéndose en un sentimiento espiritualista, en contra de la misma Biblia donde, para ser verdadera, la misericordia tiene que crear justicia (hacerse justicia).</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lastRenderedPageBreak/>
        <w:t>Así lo formula el texto clave de Ex 34, 6-7,</w:t>
      </w:r>
      <w:r w:rsidRPr="00F93971">
        <w:rPr>
          <w:rFonts w:ascii="Arial" w:eastAsia="Times New Roman" w:hAnsi="Arial" w:cs="Arial"/>
          <w:color w:val="000000" w:themeColor="text1"/>
          <w:sz w:val="24"/>
          <w:szCs w:val="24"/>
          <w:lang w:eastAsia="es-ES"/>
        </w:rPr>
        <w:t> donde la misericordia entrañable (</w:t>
      </w:r>
      <w:proofErr w:type="spellStart"/>
      <w:r w:rsidRPr="00F93971">
        <w:rPr>
          <w:rFonts w:ascii="Arial" w:eastAsia="Times New Roman" w:hAnsi="Arial" w:cs="Arial"/>
          <w:color w:val="000000" w:themeColor="text1"/>
          <w:sz w:val="24"/>
          <w:szCs w:val="24"/>
          <w:lang w:eastAsia="es-ES"/>
        </w:rPr>
        <w:t>rehem</w:t>
      </w:r>
      <w:proofErr w:type="spellEnd"/>
      <w:r w:rsidRPr="00F93971">
        <w:rPr>
          <w:rFonts w:ascii="Arial" w:eastAsia="Times New Roman" w:hAnsi="Arial" w:cs="Arial"/>
          <w:color w:val="000000" w:themeColor="text1"/>
          <w:sz w:val="24"/>
          <w:szCs w:val="24"/>
          <w:lang w:eastAsia="es-ES"/>
        </w:rPr>
        <w:t>) resulta inseparable de la fidelidad mutua (</w:t>
      </w:r>
      <w:proofErr w:type="spellStart"/>
      <w:r w:rsidRPr="00F93971">
        <w:rPr>
          <w:rFonts w:ascii="Arial" w:eastAsia="Times New Roman" w:hAnsi="Arial" w:cs="Arial"/>
          <w:color w:val="000000" w:themeColor="text1"/>
          <w:sz w:val="24"/>
          <w:szCs w:val="24"/>
          <w:lang w:eastAsia="es-ES"/>
        </w:rPr>
        <w:t>hesed</w:t>
      </w:r>
      <w:proofErr w:type="spellEnd"/>
      <w:r w:rsidRPr="00F93971">
        <w:rPr>
          <w:rFonts w:ascii="Arial" w:eastAsia="Times New Roman" w:hAnsi="Arial" w:cs="Arial"/>
          <w:color w:val="000000" w:themeColor="text1"/>
          <w:sz w:val="24"/>
          <w:szCs w:val="24"/>
          <w:lang w:eastAsia="es-ES"/>
        </w:rPr>
        <w:t xml:space="preserve">) y del compromiso a favor de los desfavorecidos (huérfanos, viudas y extranjeros). La misericordia es una especie de </w:t>
      </w:r>
      <w:proofErr w:type="spellStart"/>
      <w:r w:rsidRPr="00F93971">
        <w:rPr>
          <w:rFonts w:ascii="Arial" w:eastAsia="Times New Roman" w:hAnsi="Arial" w:cs="Arial"/>
          <w:color w:val="000000" w:themeColor="text1"/>
          <w:sz w:val="24"/>
          <w:szCs w:val="24"/>
          <w:lang w:eastAsia="es-ES"/>
        </w:rPr>
        <w:t>proto</w:t>
      </w:r>
      <w:proofErr w:type="spellEnd"/>
      <w:r w:rsidRPr="00F93971">
        <w:rPr>
          <w:rFonts w:ascii="Arial" w:eastAsia="Times New Roman" w:hAnsi="Arial" w:cs="Arial"/>
          <w:color w:val="000000" w:themeColor="text1"/>
          <w:sz w:val="24"/>
          <w:szCs w:val="24"/>
          <w:lang w:eastAsia="es-ES"/>
        </w:rPr>
        <w:t>-justicia, como muestra con toda claridad la ley sabática (cada siete años: perdonar las deudas, liberar a los esclavos) y la jubilar (cada cuarenta y nueve años vuelven a compartirse entre todos los bienes).</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Las obras de misericordia de Mt 25, 31-46,</w:t>
      </w:r>
      <w:r w:rsidRPr="00F93971">
        <w:rPr>
          <w:rFonts w:ascii="Arial" w:eastAsia="Times New Roman" w:hAnsi="Arial" w:cs="Arial"/>
          <w:color w:val="000000" w:themeColor="text1"/>
          <w:sz w:val="24"/>
          <w:szCs w:val="24"/>
          <w:lang w:eastAsia="es-ES"/>
        </w:rPr>
        <w:t> que condensan la experiencia suprema de Jesús (dar comida al hambriento, de beber al sediento, acoger al extranjero, vestir al desnudo, servir al enfermo y encarcelado) son obras de justicia estricta, de forma que quienes las cumplen son justos (</w:t>
      </w:r>
      <w:proofErr w:type="spellStart"/>
      <w:r w:rsidRPr="00F93971">
        <w:rPr>
          <w:rFonts w:ascii="Arial" w:eastAsia="Times New Roman" w:hAnsi="Arial" w:cs="Arial"/>
          <w:color w:val="000000" w:themeColor="text1"/>
          <w:sz w:val="24"/>
          <w:szCs w:val="24"/>
          <w:lang w:eastAsia="es-ES"/>
        </w:rPr>
        <w:t>dikaioi</w:t>
      </w:r>
      <w:proofErr w:type="spellEnd"/>
      <w:r w:rsidRPr="00F93971">
        <w:rPr>
          <w:rFonts w:ascii="Arial" w:eastAsia="Times New Roman" w:hAnsi="Arial" w:cs="Arial"/>
          <w:color w:val="000000" w:themeColor="text1"/>
          <w:sz w:val="24"/>
          <w:szCs w:val="24"/>
          <w:lang w:eastAsia="es-ES"/>
        </w:rPr>
        <w:t>), cosa que, lamentablemente, ha olvidado no la tradición jurídica de occidente, y la misma teología y moral cristiana.</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La tradición político-jurídica y económica de occidente</w:t>
      </w:r>
      <w:r w:rsidRPr="00F93971">
        <w:rPr>
          <w:rFonts w:ascii="Arial" w:eastAsia="Times New Roman" w:hAnsi="Arial" w:cs="Arial"/>
          <w:color w:val="000000" w:themeColor="text1"/>
          <w:sz w:val="24"/>
          <w:szCs w:val="24"/>
          <w:lang w:eastAsia="es-ES"/>
        </w:rPr>
        <w:t> ha insistido en un tipo de justicia que, siendo sólo justa y sin misericordia (sin cuidado por víctimas y excluidos) ha terminado siendo injusta, como muestra la situación actual del mundo. Una justicia que condena al hambre y excluye (no acoge, no ayuda) a oprimidos y extranjeros es radicalmente injusta.</w:t>
      </w: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br/>
        <w:t>También la tradición de las iglesias ha minusvalorado la exigencia de justicia</w:t>
      </w:r>
      <w:r w:rsidRPr="00F93971">
        <w:rPr>
          <w:rFonts w:ascii="Arial" w:eastAsia="Times New Roman" w:hAnsi="Arial" w:cs="Arial"/>
          <w:color w:val="000000" w:themeColor="text1"/>
          <w:sz w:val="24"/>
          <w:szCs w:val="24"/>
          <w:lang w:eastAsia="es-ES"/>
        </w:rPr>
        <w:t> que está en el fondo de la misericordia bíblica (atención a huérfanos-viudas-extranjeros, perdón de las deudas, libertad de los esclavos, reparto de todos los bienes para “bien” común, asistencia sanitaria, atención a los encarcelados…). Al entender esas obras de un modo intimista, como consejos marginales, no como ley fundamental, principio de toda justicia, las iglesias cristianas han hecho dejación de su fundamento bíblico y de su misión mesiánica.</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Debemos retomar así una misericordia que sea justa,</w:t>
      </w:r>
      <w:r w:rsidRPr="00F93971">
        <w:rPr>
          <w:rFonts w:ascii="Arial" w:eastAsia="Times New Roman" w:hAnsi="Arial" w:cs="Arial"/>
          <w:color w:val="000000" w:themeColor="text1"/>
          <w:sz w:val="24"/>
          <w:szCs w:val="24"/>
          <w:lang w:eastAsia="es-ES"/>
        </w:rPr>
        <w:t> conforme a la palabra clave de Mt 23, 23, donde Jesús instituye los tres principios de la acción humana: justicia (</w:t>
      </w:r>
      <w:proofErr w:type="spellStart"/>
      <w:r w:rsidRPr="00F93971">
        <w:rPr>
          <w:rFonts w:ascii="Arial" w:eastAsia="Times New Roman" w:hAnsi="Arial" w:cs="Arial"/>
          <w:color w:val="000000" w:themeColor="text1"/>
          <w:sz w:val="24"/>
          <w:szCs w:val="24"/>
          <w:lang w:eastAsia="es-ES"/>
        </w:rPr>
        <w:t>krisis</w:t>
      </w:r>
      <w:proofErr w:type="spellEnd"/>
      <w:r w:rsidRPr="00F93971">
        <w:rPr>
          <w:rFonts w:ascii="Arial" w:eastAsia="Times New Roman" w:hAnsi="Arial" w:cs="Arial"/>
          <w:color w:val="000000" w:themeColor="text1"/>
          <w:sz w:val="24"/>
          <w:szCs w:val="24"/>
          <w:lang w:eastAsia="es-ES"/>
        </w:rPr>
        <w:t>), misericordia (</w:t>
      </w:r>
      <w:proofErr w:type="spellStart"/>
      <w:r w:rsidRPr="00F93971">
        <w:rPr>
          <w:rFonts w:ascii="Arial" w:eastAsia="Times New Roman" w:hAnsi="Arial" w:cs="Arial"/>
          <w:color w:val="000000" w:themeColor="text1"/>
          <w:sz w:val="24"/>
          <w:szCs w:val="24"/>
          <w:lang w:eastAsia="es-ES"/>
        </w:rPr>
        <w:t>eleos</w:t>
      </w:r>
      <w:proofErr w:type="spellEnd"/>
      <w:r w:rsidRPr="00F93971">
        <w:rPr>
          <w:rFonts w:ascii="Arial" w:eastAsia="Times New Roman" w:hAnsi="Arial" w:cs="Arial"/>
          <w:color w:val="000000" w:themeColor="text1"/>
          <w:sz w:val="24"/>
          <w:szCs w:val="24"/>
          <w:lang w:eastAsia="es-ES"/>
        </w:rPr>
        <w:t>) y fidelidad/fiabilidad humana (</w:t>
      </w:r>
      <w:proofErr w:type="spellStart"/>
      <w:r w:rsidRPr="00F93971">
        <w:rPr>
          <w:rFonts w:ascii="Arial" w:eastAsia="Times New Roman" w:hAnsi="Arial" w:cs="Arial"/>
          <w:color w:val="000000" w:themeColor="text1"/>
          <w:sz w:val="24"/>
          <w:szCs w:val="24"/>
          <w:lang w:eastAsia="es-ES"/>
        </w:rPr>
        <w:t>pistis</w:t>
      </w:r>
      <w:proofErr w:type="spellEnd"/>
      <w:r w:rsidRPr="00F93971">
        <w:rPr>
          <w:rFonts w:ascii="Arial" w:eastAsia="Times New Roman" w:hAnsi="Arial" w:cs="Arial"/>
          <w:color w:val="000000" w:themeColor="text1"/>
          <w:sz w:val="24"/>
          <w:szCs w:val="24"/>
          <w:lang w:eastAsia="es-ES"/>
        </w:rPr>
        <w:t>). Este pasaje, estrictamente jurídico, ha sido olvidado por parte de tradición social y religiosa, para mal de las mismas iglesias y de la sociedad. Si la misericordia cristiana no crea (no se muestra como) justicia no es misericordia.</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lastRenderedPageBreak/>
        <w:t>Debemos retomar la justicia, recuperando su sentido originario,</w:t>
      </w:r>
      <w:r w:rsidRPr="00F93971">
        <w:rPr>
          <w:rFonts w:ascii="Arial" w:eastAsia="Times New Roman" w:hAnsi="Arial" w:cs="Arial"/>
          <w:color w:val="000000" w:themeColor="text1"/>
          <w:sz w:val="24"/>
          <w:szCs w:val="24"/>
          <w:lang w:eastAsia="es-ES"/>
        </w:rPr>
        <w:t xml:space="preserve"> como búsqueda de igualdad y defensa de los derechos humanos. Entendida así, ella social incluye la misericordia bíblica: No hay justicia sin dar de comer y beber a los necesitados, sin acoger y “vestir” a extranjeros y desnudos, sin ofrecer un servicio sanitario y una atención carcelaria </w:t>
      </w:r>
      <w:proofErr w:type="spellStart"/>
      <w:r w:rsidRPr="00F93971">
        <w:rPr>
          <w:rFonts w:ascii="Arial" w:eastAsia="Times New Roman" w:hAnsi="Arial" w:cs="Arial"/>
          <w:color w:val="000000" w:themeColor="text1"/>
          <w:sz w:val="24"/>
          <w:szCs w:val="24"/>
          <w:lang w:eastAsia="es-ES"/>
        </w:rPr>
        <w:t>humanizadora</w:t>
      </w:r>
      <w:proofErr w:type="spellEnd"/>
      <w:r w:rsidRPr="00F93971">
        <w:rPr>
          <w:rFonts w:ascii="Arial" w:eastAsia="Times New Roman" w:hAnsi="Arial" w:cs="Arial"/>
          <w:color w:val="000000" w:themeColor="text1"/>
          <w:sz w:val="24"/>
          <w:szCs w:val="24"/>
          <w:lang w:eastAsia="es-ES"/>
        </w:rPr>
        <w:t>.</w:t>
      </w: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Ha llegado el momento de vincular la tradición greco-romana (justicia) y la bíblica (misericordia), comprometiéndonos a crear una cultura de vida, desde la experiencia bíblica de la alianza y fidelidad (</w:t>
      </w:r>
      <w:proofErr w:type="spellStart"/>
      <w:r w:rsidRPr="00F93971">
        <w:rPr>
          <w:rFonts w:ascii="Arial" w:eastAsia="Times New Roman" w:hAnsi="Arial" w:cs="Arial"/>
          <w:color w:val="000000" w:themeColor="text1"/>
          <w:sz w:val="24"/>
          <w:szCs w:val="24"/>
          <w:lang w:eastAsia="es-ES"/>
        </w:rPr>
        <w:t>hesed-eleos</w:t>
      </w:r>
      <w:proofErr w:type="spellEnd"/>
      <w:r w:rsidRPr="00F93971">
        <w:rPr>
          <w:rFonts w:ascii="Arial" w:eastAsia="Times New Roman" w:hAnsi="Arial" w:cs="Arial"/>
          <w:color w:val="000000" w:themeColor="text1"/>
          <w:sz w:val="24"/>
          <w:szCs w:val="24"/>
          <w:lang w:eastAsia="es-ES"/>
        </w:rPr>
        <w:t>), manteniendo para ello la exigencia racional (ética) de la justicia. Un camino largo se abre desde este compromiso.</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2. Un ejemplo, la 7ª obra de misericordia o justicia</w:t>
      </w: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Mt 25, 31-46 propuso seis obras de misericordia-justicia (dar de comer al hambriento y de beber al sediento, acoger al extranjero y vestir al desnudo, atender a los enfermos y a los encarcelados). Pues bien, para completar ese esquema, la tradición eclesial ha querido añadir una obra de misericordia, creando una tabla o conjuntos de siete miembros (como los siete sacramentos, virtudes y pecados capitales). Se propusieron dos, una de enterrar a los muertos, otra de cuidar (ayudar, acoger, liberar) a las mujeres en necesidad.</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a. Enterrar a los muertos.</w:t>
      </w:r>
      <w:r w:rsidRPr="00F93971">
        <w:rPr>
          <w:rFonts w:ascii="Arial" w:eastAsia="Times New Roman" w:hAnsi="Arial" w:cs="Arial"/>
          <w:color w:val="000000" w:themeColor="text1"/>
          <w:sz w:val="24"/>
          <w:szCs w:val="24"/>
          <w:lang w:eastAsia="es-ES"/>
        </w:rPr>
        <w:t> Esta obra ha sido introducida partiendo del libro de Tobías, a quien la Biblia alaba por haber dado sepultura a los muertos, en especial a judíos asesinados en el exilio. Ella expresa el gran respeto que la iglesia ha tenido por los difuntos, de forma que el término enterrar ha de entenderse en un sentido extenso, relacionado no sólo con la sepultura del cadáver, sino con la exigencia de acompañar y ayudar en su vejez a los ancianos (en especial a los padres), con ayudas, oraciones y ritos funerarios. Ésta no es una obra nueva, un invento cristiano, sino que aparece desde el principio de la vida humana, pues el hombre se define en algún sentido como un viviente que entierra a sus muertos, a diferencia de los animales que les abandonan.</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 xml:space="preserve">Esta obra evoca el carácter sagrado de la vida específicamente humana y supone que los difuntos penetran de algún modo en el espacio de la divinidad, por la tierra madre que les recibe en su seno, como sabía el judaísmo del tiempo de Jesús. Ella expresa, además, la identidad social sagrada de los </w:t>
      </w:r>
      <w:r w:rsidRPr="00F93971">
        <w:rPr>
          <w:rFonts w:ascii="Arial" w:eastAsia="Times New Roman" w:hAnsi="Arial" w:cs="Arial"/>
          <w:color w:val="000000" w:themeColor="text1"/>
          <w:sz w:val="24"/>
          <w:szCs w:val="24"/>
          <w:lang w:eastAsia="es-ES"/>
        </w:rPr>
        <w:lastRenderedPageBreak/>
        <w:t>cristianos antiguos quienes, a diferencia de los romanos que, en general, los quemaban (guardando sus cenizas en pequeños columbarios), depositaban en la tierra a los muertos, con respeto sagrado, a la espera de la resurrección, construyendo para ello grandes cementerios subterráneos o catacumbas a las afueras de las ciudades, especialmente de Roma.</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A pesar de ello, esta obra no encaja bien en el esquema Mt 25, cuyas obras se realizan en principio a favor de vivos, no de muertos. Ésta es, sin duda, una obra muy valiosa, pero no esencial, pues los muertos se encuentran en manos de la misericordia de Dios, aunque no reciban sepultura, mientras los pobres y enfermos necesitan ser ayudados para vivir. Además, ella no responde a la dinámica del evangelio de Jesús, que no fue enterrado por los suyos, ni venerado en una tumba.</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El gesto que define la importancia de Jesús no fue su entierro, sino su resurrección, esto es, la experiencia de la Vida de Dios (de Jesús) en la vida y misión de los hombres. Además, en esa línea, la misma tradición sinóptica conserva un proverbio enigmático y profundo en el que Jesús dice a un hombre piadoso que está comprometido a seguirle, pero que quiere primero enterrar a su padre: “Tú sígueme, y deja que los muertos entierren a sus muertos” (cf. Mt 8, 22 par). Ciertamente, esa respuesta (¡deja que los muertos entierren a sus muertos!) no alude sólo al cumplimiento de los ritos funerarios, sino al mantenimiento de las formas de vida de los antepasados.</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 xml:space="preserve">Sea como fuere, debemos insistir en la importancia de “despedir” de los muertos, a quienes colocamos en manos de la misericordia de Dios, en un tiempo como éste en el que parece que un tipo sociedad quiere </w:t>
      </w:r>
      <w:proofErr w:type="spellStart"/>
      <w:r w:rsidRPr="00F93971">
        <w:rPr>
          <w:rFonts w:ascii="Arial" w:eastAsia="Times New Roman" w:hAnsi="Arial" w:cs="Arial"/>
          <w:color w:val="000000" w:themeColor="text1"/>
          <w:sz w:val="24"/>
          <w:szCs w:val="24"/>
          <w:lang w:eastAsia="es-ES"/>
        </w:rPr>
        <w:t>invisibilizar</w:t>
      </w:r>
      <w:proofErr w:type="spellEnd"/>
      <w:r w:rsidRPr="00F93971">
        <w:rPr>
          <w:rFonts w:ascii="Arial" w:eastAsia="Times New Roman" w:hAnsi="Arial" w:cs="Arial"/>
          <w:color w:val="000000" w:themeColor="text1"/>
          <w:sz w:val="24"/>
          <w:szCs w:val="24"/>
          <w:lang w:eastAsia="es-ES"/>
        </w:rPr>
        <w:t xml:space="preserve"> a los muertos (¡que no se vean!), como si no existieran, y les “despacha” (¡no les despide!) de un modo casi “burocrático”, a través de empresas especializadas (funerarias) sin participación efectiva de los familiares y amigos. Es muy posible que esta obra de enterrar/despedir a los difuntos deba ser repensada y actualizada, aunque quizá no pueda colocarse como 7ª al lado (al final) de las seis restantes.</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b. Dotar a las muchachas casaderas (contra la trata de “blancas”). </w:t>
      </w:r>
      <w:r w:rsidRPr="00F93971">
        <w:rPr>
          <w:rFonts w:ascii="Arial" w:eastAsia="Times New Roman" w:hAnsi="Arial" w:cs="Arial"/>
          <w:color w:val="000000" w:themeColor="text1"/>
          <w:sz w:val="24"/>
          <w:szCs w:val="24"/>
          <w:lang w:eastAsia="es-ES"/>
        </w:rPr>
        <w:t xml:space="preserve">Entre las obras de ayuda a los marginados se hallaba la de hacer justicia a las </w:t>
      </w:r>
      <w:r w:rsidRPr="00F93971">
        <w:rPr>
          <w:rFonts w:ascii="Arial" w:eastAsia="Times New Roman" w:hAnsi="Arial" w:cs="Arial"/>
          <w:color w:val="000000" w:themeColor="text1"/>
          <w:sz w:val="24"/>
          <w:szCs w:val="24"/>
          <w:lang w:eastAsia="es-ES"/>
        </w:rPr>
        <w:lastRenderedPageBreak/>
        <w:t xml:space="preserve">viudas, con los niños y extranjeros (cf. tema 1, 3). De todas formas, esta obra no aparece en el Nuevo Testamento, a pesar de que la tradición de Pablo (cf. 1 Tim 5) ha elaborado una intensa legislación sobre la acogida y cuidado de las viudas que, si fuere necesario, quedaban bajo el cuidado de la comunidad, que había de ofrecerles asistencia. Tampoco aparece en tema Mt 25 el tema de la ayuda a las mujeres en general, a pesar de que Pablo le haya dedicado un discurso vibrante (1 </w:t>
      </w:r>
      <w:proofErr w:type="spellStart"/>
      <w:r w:rsidRPr="00F93971">
        <w:rPr>
          <w:rFonts w:ascii="Arial" w:eastAsia="Times New Roman" w:hAnsi="Arial" w:cs="Arial"/>
          <w:color w:val="000000" w:themeColor="text1"/>
          <w:sz w:val="24"/>
          <w:szCs w:val="24"/>
          <w:lang w:eastAsia="es-ES"/>
        </w:rPr>
        <w:t>Cor</w:t>
      </w:r>
      <w:proofErr w:type="spellEnd"/>
      <w:r w:rsidRPr="00F93971">
        <w:rPr>
          <w:rFonts w:ascii="Arial" w:eastAsia="Times New Roman" w:hAnsi="Arial" w:cs="Arial"/>
          <w:color w:val="000000" w:themeColor="text1"/>
          <w:sz w:val="24"/>
          <w:szCs w:val="24"/>
          <w:lang w:eastAsia="es-ES"/>
        </w:rPr>
        <w:t xml:space="preserve"> 7), invitando a las jóvenes a vivir en celibato, al cuidado de las cosas del Señor (bajo la protección y asistencia de la comunidad), indicando así que la Iglesia podía y debía convertirse en casa de acogida y compromiso de evangelio para mujeres que optaran por la virginidad, sin casarse, como entonces parecía necesario.</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Pues bien, pasado el tiempo, perdida esa experiencia de cuidado y libertad de las mujeres en la iglesia, muchas de ellas, de condición humilde o sin familia, corrieron el riesgo de caer en manos de un tipo de prostitución y servidumbre,</w:t>
      </w:r>
      <w:r w:rsidRPr="00F93971">
        <w:rPr>
          <w:rFonts w:ascii="Arial" w:eastAsia="Times New Roman" w:hAnsi="Arial" w:cs="Arial"/>
          <w:color w:val="000000" w:themeColor="text1"/>
          <w:sz w:val="24"/>
          <w:szCs w:val="24"/>
          <w:lang w:eastAsia="es-ES"/>
        </w:rPr>
        <w:t> o de lo que actualmente se llama en general trata de blancas. Por eso surgieron desde la Edad Media numerosas instituciones religiosas y sociales para protegerlas, de un modo especial con una dote, de manera que pudieran casarse o entrar en un convento, pues sin ella esa dote difícil que fueran acogidas (por ser pobres).</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En aquella línea de opresión avanza en la actualidad una forma de opresión y en especial de comercio de mujeres, muchas de las cuales sufren una verdadera esclavitud, utilizadas en sus países de origen para el turismo sexual o llevadas por engaño a otros países más “ricos”, a través de mafias esclavistas, que les hace “trabajar” sin libertad y a menudo sin documentos, condenadas a pagar una presunta deuda contraída por viajes o gastos de otro tipo. Son en gran parte extranjeras, esclavas de su pobreza y de la crueldad de traficantes mafiosos, enriquecidos con la opresión de las mujeres y la falta de dignidad de los “clientes”.</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 xml:space="preserve">Sin duda, es duro el tema de la prostitución normal, con mujeres del propio país, pero es mucho más grave la trata de cientos de miles de mujeres, compradas y vendidas, por interés monetario de algunos, indiferencia de muchos y falta de conciencia de una sociedad que sigue traficando con personas. En ese contexto resultaba importante ofrecer una dote adecuada a mujeres pobres para casarse o entrar convento y vivir en libertad. Se trataba, </w:t>
      </w:r>
      <w:r w:rsidRPr="00F93971">
        <w:rPr>
          <w:rFonts w:ascii="Arial" w:eastAsia="Times New Roman" w:hAnsi="Arial" w:cs="Arial"/>
          <w:color w:val="000000" w:themeColor="text1"/>
          <w:sz w:val="24"/>
          <w:szCs w:val="24"/>
          <w:lang w:eastAsia="es-ES"/>
        </w:rPr>
        <w:lastRenderedPageBreak/>
        <w:t>sin duda, de protegerlas, aunque no parece que Jesús pudiera haber dicho “fui pobre y me vendisteis como prostituta” (o me disteis libertad), como supone esta 7ª obra de muchos manuales de la Edad Media.</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c. Enterrar a los muertos… Hacer justicia a las mujeres…</w:t>
      </w:r>
      <w:r w:rsidRPr="00F93971">
        <w:rPr>
          <w:rFonts w:ascii="Arial" w:eastAsia="Times New Roman" w:hAnsi="Arial" w:cs="Arial"/>
          <w:color w:val="000000" w:themeColor="text1"/>
          <w:sz w:val="24"/>
          <w:szCs w:val="24"/>
          <w:lang w:eastAsia="es-ES"/>
        </w:rPr>
        <w:t> Situada en nuestro contexto, la obra de “ayudar” a las mujeres amenazadas (superar la trata…) sigue teniendo gran actualidad, aunque ha de realizarse de un modo distinto, creando ante todo una sociedad igualitaria y justa, donde todas las mujeres tengan libertad y medios para decidir y optar por una vida digna, solas o en familia.</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Esta obra parece más importante que la anterior, al menos en un plano social, aunque los catecismos de los últimos siglos han dado preferencia a la otra (enterrar a los muertos). Ello se debe quizá al hecho de que enterrar a los muertos parecía una acción más religiosa, vinculada a la misión clerical de la Iglesia que, a partir de la Edad Media, ha centrado gran parte de su liturgia en las misas y oficios de difuntos, hasta el día de hoy.</w:t>
      </w: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p>
    <w:p w:rsidR="00F93971" w:rsidRDefault="00F93971" w:rsidP="00F93971">
      <w:pPr>
        <w:spacing w:after="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b/>
          <w:bCs/>
          <w:color w:val="000000" w:themeColor="text1"/>
          <w:sz w:val="24"/>
          <w:szCs w:val="24"/>
          <w:lang w:eastAsia="es-ES"/>
        </w:rPr>
        <w:t>La obra de enterrar a los muertos es muy significativa,</w:t>
      </w:r>
      <w:r w:rsidRPr="00F93971">
        <w:rPr>
          <w:rFonts w:ascii="Arial" w:eastAsia="Times New Roman" w:hAnsi="Arial" w:cs="Arial"/>
          <w:color w:val="000000" w:themeColor="text1"/>
          <w:sz w:val="24"/>
          <w:szCs w:val="24"/>
          <w:lang w:eastAsia="es-ES"/>
        </w:rPr>
        <w:t> de forma que allí donde se olvida su recuerdo y la comunión vital con ellos corre el riesgo de perderse el mismo cristianismo. De todas formas, en sentido social, </w:t>
      </w:r>
      <w:r w:rsidRPr="00F93971">
        <w:rPr>
          <w:rFonts w:ascii="Arial" w:eastAsia="Times New Roman" w:hAnsi="Arial" w:cs="Arial"/>
          <w:b/>
          <w:bCs/>
          <w:color w:val="000000" w:themeColor="text1"/>
          <w:sz w:val="24"/>
          <w:szCs w:val="24"/>
          <w:lang w:eastAsia="es-ES"/>
        </w:rPr>
        <w:t>parece más urgente la liberación económica y social, personal y eclesial de las mujeres…</w:t>
      </w:r>
      <w:r w:rsidRPr="00F93971">
        <w:rPr>
          <w:rFonts w:ascii="Arial" w:eastAsia="Times New Roman" w:hAnsi="Arial" w:cs="Arial"/>
          <w:color w:val="000000" w:themeColor="text1"/>
          <w:sz w:val="24"/>
          <w:szCs w:val="24"/>
          <w:lang w:eastAsia="es-ES"/>
        </w:rPr>
        <w:t> que quizá he formulado y desarrollado aquí de un modo casi medieval, como si fueran los hombres los que debieran liberar a las mujeres, cosa que, en un sentido debe mantenerse, porque sin un cambio fuerte de los hombres es difícil que haya liberación de las mujeres.</w:t>
      </w:r>
    </w:p>
    <w:p w:rsidR="00F93971" w:rsidRPr="00F93971" w:rsidRDefault="00F93971" w:rsidP="00F93971">
      <w:pPr>
        <w:spacing w:after="0" w:line="360" w:lineRule="atLeast"/>
        <w:jc w:val="both"/>
        <w:rPr>
          <w:rFonts w:ascii="Arial" w:eastAsia="Times New Roman" w:hAnsi="Arial" w:cs="Arial"/>
          <w:color w:val="000000" w:themeColor="text1"/>
          <w:sz w:val="24"/>
          <w:szCs w:val="24"/>
          <w:lang w:eastAsia="es-ES"/>
        </w:rPr>
      </w:pPr>
    </w:p>
    <w:p w:rsidR="00F93971" w:rsidRPr="00F93971" w:rsidRDefault="00F93971" w:rsidP="00F93971">
      <w:pPr>
        <w:spacing w:before="120" w:after="120" w:line="360" w:lineRule="atLeast"/>
        <w:jc w:val="both"/>
        <w:rPr>
          <w:rFonts w:ascii="Arial" w:eastAsia="Times New Roman" w:hAnsi="Arial" w:cs="Arial"/>
          <w:color w:val="000000" w:themeColor="text1"/>
          <w:sz w:val="24"/>
          <w:szCs w:val="24"/>
          <w:lang w:eastAsia="es-ES"/>
        </w:rPr>
      </w:pPr>
      <w:r w:rsidRPr="00F93971">
        <w:rPr>
          <w:rFonts w:ascii="Arial" w:eastAsia="Times New Roman" w:hAnsi="Arial" w:cs="Arial"/>
          <w:color w:val="000000" w:themeColor="text1"/>
          <w:sz w:val="24"/>
          <w:szCs w:val="24"/>
          <w:lang w:eastAsia="es-ES"/>
        </w:rPr>
        <w:t>Pero, en sí misma, ésta es una obra que han de asumir y protagonizar las mismas mujeres, desde una perspectiva cristiana y social, en una línea de misericordia y de justicia, entendida en sentido radical como igualdad y solidaridad. De ella depende en gran parte el futuro de la especie humana.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D0238"/>
    <w:multiLevelType w:val="multilevel"/>
    <w:tmpl w:val="5398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93971"/>
    <w:rsid w:val="00590F50"/>
    <w:rsid w:val="00CA73B9"/>
    <w:rsid w:val="00F9397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F93971"/>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93971"/>
    <w:rPr>
      <w:rFonts w:ascii="Times New Roman" w:eastAsia="Times New Roman" w:hAnsi="Times New Roman" w:cs="Times New Roman"/>
      <w:b/>
      <w:bCs/>
      <w:sz w:val="36"/>
      <w:szCs w:val="36"/>
      <w:lang w:eastAsia="es-ES"/>
    </w:rPr>
  </w:style>
  <w:style w:type="character" w:customStyle="1" w:styleId="apple-converted-space">
    <w:name w:val="apple-converted-space"/>
    <w:basedOn w:val="Fuentedeprrafopredeter"/>
    <w:rsid w:val="00F93971"/>
  </w:style>
  <w:style w:type="character" w:styleId="Hipervnculo">
    <w:name w:val="Hyperlink"/>
    <w:basedOn w:val="Fuentedeprrafopredeter"/>
    <w:uiPriority w:val="99"/>
    <w:semiHidden/>
    <w:unhideWhenUsed/>
    <w:rsid w:val="00F93971"/>
    <w:rPr>
      <w:color w:val="0000FF"/>
      <w:u w:val="single"/>
    </w:rPr>
  </w:style>
  <w:style w:type="character" w:styleId="Textoennegrita">
    <w:name w:val="Strong"/>
    <w:basedOn w:val="Fuentedeprrafopredeter"/>
    <w:uiPriority w:val="22"/>
    <w:qFormat/>
    <w:rsid w:val="00F93971"/>
    <w:rPr>
      <w:b/>
      <w:bCs/>
    </w:rPr>
  </w:style>
  <w:style w:type="paragraph" w:styleId="NormalWeb">
    <w:name w:val="Normal (Web)"/>
    <w:basedOn w:val="Normal"/>
    <w:uiPriority w:val="99"/>
    <w:semiHidden/>
    <w:unhideWhenUsed/>
    <w:rsid w:val="00F9397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F93971"/>
    <w:rPr>
      <w:i/>
      <w:iCs/>
    </w:rPr>
  </w:style>
  <w:style w:type="paragraph" w:styleId="Textodeglobo">
    <w:name w:val="Balloon Text"/>
    <w:basedOn w:val="Normal"/>
    <w:link w:val="TextodegloboCar"/>
    <w:uiPriority w:val="99"/>
    <w:semiHidden/>
    <w:unhideWhenUsed/>
    <w:rsid w:val="00F939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93971"/>
    <w:rPr>
      <w:rFonts w:ascii="Tahoma" w:hAnsi="Tahoma" w:cs="Tahoma"/>
      <w:sz w:val="16"/>
      <w:szCs w:val="16"/>
    </w:rPr>
  </w:style>
  <w:style w:type="paragraph" w:styleId="Prrafodelista">
    <w:name w:val="List Paragraph"/>
    <w:basedOn w:val="Normal"/>
    <w:uiPriority w:val="34"/>
    <w:qFormat/>
    <w:rsid w:val="00F93971"/>
    <w:pPr>
      <w:ind w:left="720"/>
      <w:contextualSpacing/>
    </w:pPr>
  </w:style>
</w:styles>
</file>

<file path=word/webSettings.xml><?xml version="1.0" encoding="utf-8"?>
<w:webSettings xmlns:r="http://schemas.openxmlformats.org/officeDocument/2006/relationships" xmlns:w="http://schemas.openxmlformats.org/wordprocessingml/2006/main">
  <w:divs>
    <w:div w:id="1379236507">
      <w:bodyDiv w:val="1"/>
      <w:marLeft w:val="0"/>
      <w:marRight w:val="0"/>
      <w:marTop w:val="0"/>
      <w:marBottom w:val="0"/>
      <w:divBdr>
        <w:top w:val="none" w:sz="0" w:space="0" w:color="auto"/>
        <w:left w:val="none" w:sz="0" w:space="0" w:color="auto"/>
        <w:bottom w:val="none" w:sz="0" w:space="0" w:color="auto"/>
        <w:right w:val="none" w:sz="0" w:space="0" w:color="auto"/>
      </w:divBdr>
      <w:divsChild>
        <w:div w:id="1031881096">
          <w:marLeft w:val="0"/>
          <w:marRight w:val="0"/>
          <w:marTop w:val="0"/>
          <w:marBottom w:val="0"/>
          <w:divBdr>
            <w:top w:val="none" w:sz="0" w:space="0" w:color="auto"/>
            <w:left w:val="none" w:sz="0" w:space="0" w:color="auto"/>
            <w:bottom w:val="none" w:sz="0" w:space="0" w:color="auto"/>
            <w:right w:val="none" w:sz="0" w:space="0" w:color="auto"/>
          </w:divBdr>
        </w:div>
        <w:div w:id="2102295856">
          <w:marLeft w:val="0"/>
          <w:marRight w:val="0"/>
          <w:marTop w:val="0"/>
          <w:marBottom w:val="0"/>
          <w:divBdr>
            <w:top w:val="single" w:sz="6" w:space="0" w:color="CCCCCC"/>
            <w:left w:val="none" w:sz="0" w:space="0" w:color="auto"/>
            <w:bottom w:val="none" w:sz="0" w:space="0" w:color="auto"/>
            <w:right w:val="none" w:sz="0" w:space="0" w:color="auto"/>
          </w:divBdr>
          <w:divsChild>
            <w:div w:id="114689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2176</Words>
  <Characters>11970</Characters>
  <Application>Microsoft Office Word</Application>
  <DocSecurity>0</DocSecurity>
  <Lines>99</Lines>
  <Paragraphs>28</Paragraphs>
  <ScaleCrop>false</ScaleCrop>
  <Company/>
  <LinksUpToDate>false</LinksUpToDate>
  <CharactersWithSpaces>14118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2016-05-09T12:55:00Z</dcterms:created>
  <dcterms:modified xsi:type="dcterms:W3CDTF">2016-05-09T12:59:00Z</dcterms:modified>
</cp:coreProperties>
</file>