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BC5" w:rsidRDefault="005D0BC5" w:rsidP="005D0BC5">
      <w:pPr>
        <w:jc w:val="center"/>
        <w:rPr>
          <w:rFonts w:ascii="Times New Roman" w:hAnsi="Times New Roman" w:cs="Times New Roman"/>
          <w:b/>
          <w:i/>
          <w:sz w:val="24"/>
          <w:szCs w:val="24"/>
        </w:rPr>
      </w:pPr>
    </w:p>
    <w:p w:rsidR="005D0BC5" w:rsidRDefault="005D0BC5" w:rsidP="005D0BC5">
      <w:pPr>
        <w:jc w:val="center"/>
        <w:rPr>
          <w:rFonts w:ascii="Times New Roman" w:hAnsi="Times New Roman" w:cs="Times New Roman"/>
          <w:b/>
          <w:i/>
          <w:sz w:val="24"/>
          <w:szCs w:val="24"/>
        </w:rPr>
      </w:pPr>
    </w:p>
    <w:p w:rsidR="005D0BC5" w:rsidRDefault="00AB1C9A" w:rsidP="00AB1C9A">
      <w:pPr>
        <w:jc w:val="center"/>
        <w:rPr>
          <w:rFonts w:ascii="Times New Roman" w:hAnsi="Times New Roman" w:cs="Times New Roman"/>
          <w:b/>
          <w:sz w:val="32"/>
          <w:szCs w:val="32"/>
        </w:rPr>
      </w:pPr>
      <w:r>
        <w:rPr>
          <w:rFonts w:ascii="Times New Roman" w:hAnsi="Times New Roman" w:cs="Times New Roman"/>
          <w:b/>
          <w:sz w:val="32"/>
          <w:szCs w:val="32"/>
        </w:rPr>
        <w:t>Iglesia Pueblo de Dios- Comunidad Inclusiva</w:t>
      </w:r>
    </w:p>
    <w:p w:rsidR="00AB1C9A" w:rsidRPr="00AB1C9A" w:rsidRDefault="00AB1C9A" w:rsidP="00AB1C9A">
      <w:pPr>
        <w:jc w:val="center"/>
        <w:rPr>
          <w:rFonts w:ascii="Times New Roman" w:hAnsi="Times New Roman" w:cs="Times New Roman"/>
          <w:sz w:val="24"/>
          <w:szCs w:val="24"/>
        </w:rPr>
      </w:pPr>
      <w:r>
        <w:rPr>
          <w:rFonts w:ascii="Times New Roman" w:hAnsi="Times New Roman" w:cs="Times New Roman"/>
          <w:sz w:val="24"/>
          <w:szCs w:val="24"/>
        </w:rPr>
        <w:t xml:space="preserve">Una lectura de las obras de </w:t>
      </w:r>
      <w:proofErr w:type="spellStart"/>
      <w:r>
        <w:rPr>
          <w:rFonts w:ascii="Times New Roman" w:hAnsi="Times New Roman" w:cs="Times New Roman"/>
          <w:sz w:val="24"/>
          <w:szCs w:val="24"/>
        </w:rPr>
        <w:t>Letty</w:t>
      </w:r>
      <w:proofErr w:type="spellEnd"/>
      <w:r>
        <w:rPr>
          <w:rFonts w:ascii="Times New Roman" w:hAnsi="Times New Roman" w:cs="Times New Roman"/>
          <w:sz w:val="24"/>
          <w:szCs w:val="24"/>
        </w:rPr>
        <w:t xml:space="preserve"> Russell y José </w:t>
      </w:r>
      <w:proofErr w:type="spellStart"/>
      <w:r>
        <w:rPr>
          <w:rFonts w:ascii="Times New Roman" w:hAnsi="Times New Roman" w:cs="Times New Roman"/>
          <w:sz w:val="24"/>
          <w:szCs w:val="24"/>
        </w:rPr>
        <w:t>Comblin</w:t>
      </w:r>
      <w:proofErr w:type="spellEnd"/>
    </w:p>
    <w:p w:rsidR="005D0BC5" w:rsidRDefault="005D0BC5" w:rsidP="005D0BC5">
      <w:pPr>
        <w:jc w:val="center"/>
        <w:rPr>
          <w:rFonts w:ascii="Times New Roman" w:hAnsi="Times New Roman" w:cs="Times New Roman"/>
          <w:b/>
          <w:sz w:val="32"/>
          <w:szCs w:val="32"/>
        </w:rPr>
      </w:pPr>
    </w:p>
    <w:p w:rsidR="00AB1C9A" w:rsidRDefault="00AB1C9A" w:rsidP="005D0BC5">
      <w:pPr>
        <w:jc w:val="center"/>
        <w:rPr>
          <w:rFonts w:ascii="Times New Roman" w:hAnsi="Times New Roman" w:cs="Times New Roman"/>
          <w:b/>
          <w:sz w:val="32"/>
          <w:szCs w:val="32"/>
        </w:rPr>
      </w:pPr>
      <w:r>
        <w:rPr>
          <w:rFonts w:ascii="Times New Roman" w:hAnsi="Times New Roman" w:cs="Times New Roman"/>
          <w:b/>
          <w:sz w:val="32"/>
          <w:szCs w:val="32"/>
        </w:rPr>
        <w:t xml:space="preserve">Gabriela </w:t>
      </w:r>
      <w:proofErr w:type="spellStart"/>
      <w:r>
        <w:rPr>
          <w:rFonts w:ascii="Times New Roman" w:hAnsi="Times New Roman" w:cs="Times New Roman"/>
          <w:b/>
          <w:sz w:val="32"/>
          <w:szCs w:val="32"/>
        </w:rPr>
        <w:t>Zengarini</w:t>
      </w:r>
      <w:proofErr w:type="spellEnd"/>
      <w:r>
        <w:rPr>
          <w:rFonts w:ascii="Times New Roman" w:hAnsi="Times New Roman" w:cs="Times New Roman"/>
          <w:b/>
          <w:sz w:val="32"/>
          <w:szCs w:val="32"/>
        </w:rPr>
        <w:t xml:space="preserve"> O.P.</w:t>
      </w:r>
    </w:p>
    <w:p w:rsidR="005D0BC5" w:rsidRDefault="005D0BC5" w:rsidP="005D0BC5">
      <w:pPr>
        <w:jc w:val="center"/>
        <w:rPr>
          <w:rFonts w:ascii="Times New Roman" w:hAnsi="Times New Roman" w:cs="Times New Roman"/>
          <w:b/>
          <w:sz w:val="32"/>
          <w:szCs w:val="32"/>
        </w:rPr>
      </w:pPr>
    </w:p>
    <w:p w:rsidR="005D0BC5" w:rsidRDefault="005D0BC5" w:rsidP="005D0BC5">
      <w:pPr>
        <w:jc w:val="center"/>
        <w:rPr>
          <w:rFonts w:ascii="Times New Roman" w:hAnsi="Times New Roman" w:cs="Times New Roman"/>
          <w:b/>
          <w:sz w:val="32"/>
          <w:szCs w:val="32"/>
        </w:rPr>
      </w:pPr>
    </w:p>
    <w:p w:rsidR="005D0BC5" w:rsidRDefault="005D0BC5" w:rsidP="005D0BC5">
      <w:pPr>
        <w:jc w:val="right"/>
        <w:rPr>
          <w:rFonts w:ascii="Times New Roman" w:hAnsi="Times New Roman" w:cs="Times New Roman"/>
          <w:sz w:val="32"/>
          <w:szCs w:val="32"/>
        </w:rPr>
      </w:pPr>
    </w:p>
    <w:p w:rsidR="005D0BC5" w:rsidRDefault="005D0BC5" w:rsidP="005D0BC5">
      <w:pPr>
        <w:jc w:val="right"/>
        <w:rPr>
          <w:rFonts w:ascii="Times New Roman" w:hAnsi="Times New Roman" w:cs="Times New Roman"/>
          <w:sz w:val="32"/>
          <w:szCs w:val="32"/>
        </w:rPr>
      </w:pPr>
    </w:p>
    <w:p w:rsidR="005D0BC5" w:rsidRDefault="005D0BC5" w:rsidP="005D0BC5">
      <w:pPr>
        <w:jc w:val="right"/>
        <w:rPr>
          <w:rFonts w:ascii="Times New Roman" w:hAnsi="Times New Roman" w:cs="Times New Roman"/>
          <w:sz w:val="32"/>
          <w:szCs w:val="32"/>
        </w:rPr>
      </w:pPr>
    </w:p>
    <w:p w:rsidR="005D0BC5" w:rsidRDefault="005D0BC5" w:rsidP="005D0BC5">
      <w:pPr>
        <w:jc w:val="right"/>
        <w:rPr>
          <w:rFonts w:ascii="Times New Roman" w:hAnsi="Times New Roman" w:cs="Times New Roman"/>
          <w:sz w:val="32"/>
          <w:szCs w:val="32"/>
        </w:rPr>
      </w:pPr>
    </w:p>
    <w:p w:rsidR="005D0BC5" w:rsidRDefault="005D0BC5" w:rsidP="005D0BC5">
      <w:pPr>
        <w:jc w:val="right"/>
        <w:rPr>
          <w:rFonts w:ascii="Times New Roman" w:hAnsi="Times New Roman" w:cs="Times New Roman"/>
          <w:sz w:val="32"/>
          <w:szCs w:val="32"/>
        </w:rPr>
      </w:pPr>
    </w:p>
    <w:p w:rsidR="005D0BC5" w:rsidRPr="009B59F1" w:rsidRDefault="005D0BC5" w:rsidP="005D0BC5">
      <w:pPr>
        <w:jc w:val="center"/>
        <w:rPr>
          <w:rFonts w:ascii="Times New Roman" w:hAnsi="Times New Roman" w:cs="Times New Roman"/>
          <w:b/>
          <w:i/>
          <w:sz w:val="24"/>
          <w:szCs w:val="24"/>
        </w:rPr>
      </w:pPr>
      <w:r w:rsidRPr="009B59F1">
        <w:rPr>
          <w:rFonts w:ascii="Times New Roman" w:hAnsi="Times New Roman" w:cs="Times New Roman"/>
          <w:sz w:val="24"/>
          <w:szCs w:val="24"/>
        </w:rPr>
        <w:t>Buenos Aires, 12 de diciembre del 2010</w:t>
      </w:r>
      <w:r w:rsidRPr="009B59F1">
        <w:rPr>
          <w:rFonts w:ascii="Times New Roman" w:hAnsi="Times New Roman" w:cs="Times New Roman"/>
          <w:b/>
          <w:i/>
          <w:sz w:val="24"/>
          <w:szCs w:val="24"/>
        </w:rPr>
        <w:br w:type="page"/>
      </w:r>
    </w:p>
    <w:p w:rsidR="005D0BC5" w:rsidRDefault="005D0BC5" w:rsidP="005D0BC5">
      <w:pPr>
        <w:spacing w:line="240" w:lineRule="auto"/>
        <w:rPr>
          <w:rFonts w:ascii="Times New Roman" w:hAnsi="Times New Roman" w:cs="Times New Roman"/>
          <w:b/>
          <w:i/>
          <w:sz w:val="24"/>
          <w:szCs w:val="24"/>
        </w:rPr>
      </w:pPr>
    </w:p>
    <w:p w:rsidR="005D0BC5" w:rsidRPr="00AE4EE4" w:rsidRDefault="005D0BC5" w:rsidP="005D0BC5">
      <w:pPr>
        <w:spacing w:line="240" w:lineRule="auto"/>
        <w:rPr>
          <w:rFonts w:ascii="Times New Roman" w:hAnsi="Times New Roman" w:cs="Times New Roman"/>
          <w:b/>
          <w:i/>
          <w:sz w:val="24"/>
          <w:szCs w:val="24"/>
        </w:rPr>
      </w:pPr>
      <w:r w:rsidRPr="00AE4EE4">
        <w:rPr>
          <w:rFonts w:ascii="Times New Roman" w:hAnsi="Times New Roman" w:cs="Times New Roman"/>
          <w:b/>
          <w:i/>
          <w:sz w:val="24"/>
          <w:szCs w:val="24"/>
        </w:rPr>
        <w:t>Introducción:</w:t>
      </w:r>
    </w:p>
    <w:p w:rsidR="005D0BC5" w:rsidRPr="00AE4EE4" w:rsidRDefault="005D0BC5" w:rsidP="005D0BC5">
      <w:pPr>
        <w:spacing w:line="240" w:lineRule="auto"/>
        <w:jc w:val="both"/>
        <w:rPr>
          <w:rFonts w:ascii="Times New Roman" w:hAnsi="Times New Roman" w:cs="Times New Roman"/>
          <w:sz w:val="24"/>
          <w:szCs w:val="24"/>
        </w:rPr>
      </w:pPr>
      <w:r w:rsidRPr="00AE4EE4">
        <w:rPr>
          <w:rFonts w:ascii="Times New Roman" w:hAnsi="Times New Roman" w:cs="Times New Roman"/>
          <w:sz w:val="24"/>
          <w:szCs w:val="24"/>
        </w:rPr>
        <w:tab/>
        <w:t xml:space="preserve">Este trabajo tiene como objetivo entrecruzar el aporte de dos obras eclesiológicas: </w:t>
      </w:r>
      <w:r w:rsidRPr="00AE4EE4">
        <w:rPr>
          <w:rFonts w:ascii="Times New Roman" w:hAnsi="Times New Roman" w:cs="Times New Roman"/>
          <w:i/>
          <w:sz w:val="24"/>
          <w:szCs w:val="24"/>
        </w:rPr>
        <w:t>La Iglesia como comunidad inclusiva</w:t>
      </w:r>
      <w:r w:rsidRPr="00AE4EE4">
        <w:rPr>
          <w:rStyle w:val="Refdenotaalpie"/>
          <w:i/>
          <w:szCs w:val="24"/>
        </w:rPr>
        <w:footnoteReference w:id="1"/>
      </w:r>
      <w:r w:rsidRPr="00AE4EE4">
        <w:rPr>
          <w:rFonts w:ascii="Times New Roman" w:hAnsi="Times New Roman" w:cs="Times New Roman"/>
          <w:sz w:val="24"/>
          <w:szCs w:val="24"/>
        </w:rPr>
        <w:t xml:space="preserve"> de </w:t>
      </w:r>
      <w:proofErr w:type="spellStart"/>
      <w:r w:rsidRPr="00AE4EE4">
        <w:rPr>
          <w:rFonts w:ascii="Times New Roman" w:hAnsi="Times New Roman" w:cs="Times New Roman"/>
          <w:sz w:val="24"/>
          <w:szCs w:val="24"/>
        </w:rPr>
        <w:t>Letty</w:t>
      </w:r>
      <w:proofErr w:type="spellEnd"/>
      <w:r w:rsidRPr="00AE4EE4">
        <w:rPr>
          <w:rFonts w:ascii="Times New Roman" w:hAnsi="Times New Roman" w:cs="Times New Roman"/>
          <w:sz w:val="24"/>
          <w:szCs w:val="24"/>
        </w:rPr>
        <w:t xml:space="preserve"> Russell y </w:t>
      </w:r>
      <w:r w:rsidRPr="00AE4EE4">
        <w:rPr>
          <w:rFonts w:ascii="Times New Roman" w:hAnsi="Times New Roman" w:cs="Times New Roman"/>
          <w:i/>
          <w:sz w:val="24"/>
          <w:szCs w:val="24"/>
        </w:rPr>
        <w:t xml:space="preserve">O </w:t>
      </w:r>
      <w:proofErr w:type="spellStart"/>
      <w:r w:rsidRPr="00AE4EE4">
        <w:rPr>
          <w:rFonts w:ascii="Times New Roman" w:hAnsi="Times New Roman" w:cs="Times New Roman"/>
          <w:i/>
          <w:sz w:val="24"/>
          <w:szCs w:val="24"/>
        </w:rPr>
        <w:t>povo</w:t>
      </w:r>
      <w:proofErr w:type="spellEnd"/>
      <w:r w:rsidRPr="00AE4EE4">
        <w:rPr>
          <w:rFonts w:ascii="Times New Roman" w:hAnsi="Times New Roman" w:cs="Times New Roman"/>
          <w:i/>
          <w:sz w:val="24"/>
          <w:szCs w:val="24"/>
        </w:rPr>
        <w:t xml:space="preserve"> de Deus</w:t>
      </w:r>
      <w:r w:rsidRPr="00AE4EE4">
        <w:rPr>
          <w:rStyle w:val="Refdenotaalpie"/>
          <w:i/>
          <w:szCs w:val="24"/>
        </w:rPr>
        <w:footnoteReference w:id="2"/>
      </w:r>
      <w:r w:rsidRPr="00AE4EE4">
        <w:rPr>
          <w:rFonts w:ascii="Times New Roman" w:hAnsi="Times New Roman" w:cs="Times New Roman"/>
          <w:i/>
          <w:sz w:val="24"/>
          <w:szCs w:val="24"/>
        </w:rPr>
        <w:t xml:space="preserve"> </w:t>
      </w:r>
      <w:r w:rsidRPr="00AE4EE4">
        <w:rPr>
          <w:rFonts w:ascii="Times New Roman" w:hAnsi="Times New Roman" w:cs="Times New Roman"/>
          <w:sz w:val="24"/>
          <w:szCs w:val="24"/>
        </w:rPr>
        <w:t xml:space="preserve">de José </w:t>
      </w:r>
      <w:proofErr w:type="spellStart"/>
      <w:r w:rsidRPr="00AE4EE4">
        <w:rPr>
          <w:rFonts w:ascii="Times New Roman" w:hAnsi="Times New Roman" w:cs="Times New Roman"/>
          <w:sz w:val="24"/>
          <w:szCs w:val="24"/>
        </w:rPr>
        <w:t>Comblin</w:t>
      </w:r>
      <w:proofErr w:type="spellEnd"/>
      <w:r w:rsidRPr="00AE4EE4">
        <w:rPr>
          <w:rFonts w:ascii="Times New Roman" w:hAnsi="Times New Roman" w:cs="Times New Roman"/>
          <w:sz w:val="24"/>
          <w:szCs w:val="24"/>
        </w:rPr>
        <w:t xml:space="preserve">. El interés de entretejer ambas obras </w:t>
      </w:r>
      <w:proofErr w:type="spellStart"/>
      <w:r w:rsidRPr="00AE4EE4">
        <w:rPr>
          <w:rFonts w:ascii="Times New Roman" w:hAnsi="Times New Roman" w:cs="Times New Roman"/>
          <w:sz w:val="24"/>
          <w:szCs w:val="24"/>
        </w:rPr>
        <w:t>esta</w:t>
      </w:r>
      <w:proofErr w:type="spellEnd"/>
      <w:r w:rsidRPr="00AE4EE4">
        <w:rPr>
          <w:rFonts w:ascii="Times New Roman" w:hAnsi="Times New Roman" w:cs="Times New Roman"/>
          <w:sz w:val="24"/>
          <w:szCs w:val="24"/>
        </w:rPr>
        <w:t xml:space="preserve"> dado por el camino de investigación que he iniciado para mi tesis doctoral: una </w:t>
      </w:r>
      <w:proofErr w:type="spellStart"/>
      <w:r w:rsidRPr="00AE4EE4">
        <w:rPr>
          <w:rFonts w:ascii="Times New Roman" w:hAnsi="Times New Roman" w:cs="Times New Roman"/>
          <w:sz w:val="24"/>
          <w:szCs w:val="24"/>
        </w:rPr>
        <w:t>misionología</w:t>
      </w:r>
      <w:proofErr w:type="spellEnd"/>
      <w:r w:rsidRPr="00AE4EE4">
        <w:rPr>
          <w:rFonts w:ascii="Times New Roman" w:hAnsi="Times New Roman" w:cs="Times New Roman"/>
          <w:sz w:val="24"/>
          <w:szCs w:val="24"/>
        </w:rPr>
        <w:t xml:space="preserve"> latinoamericana desde la perspectiva feminista. Me interesa pensar la Iglesia y su misión desde el camino realizado por la teología latinoamericana y con los aportes de la teología feminista.</w:t>
      </w:r>
    </w:p>
    <w:p w:rsidR="005D0BC5" w:rsidRPr="00AE4EE4" w:rsidRDefault="005D0BC5" w:rsidP="005D0BC5">
      <w:pPr>
        <w:spacing w:line="240" w:lineRule="auto"/>
        <w:ind w:firstLine="708"/>
        <w:jc w:val="both"/>
        <w:rPr>
          <w:rFonts w:ascii="Times New Roman" w:hAnsi="Times New Roman" w:cs="Times New Roman"/>
          <w:sz w:val="24"/>
          <w:szCs w:val="24"/>
        </w:rPr>
      </w:pPr>
      <w:r w:rsidRPr="00AE4EE4">
        <w:rPr>
          <w:rFonts w:ascii="Times New Roman" w:hAnsi="Times New Roman" w:cs="Times New Roman"/>
          <w:sz w:val="24"/>
          <w:szCs w:val="24"/>
        </w:rPr>
        <w:t xml:space="preserve"> Hay planteos y cuestiones que son comunes a ambos a</w:t>
      </w:r>
      <w:bookmarkStart w:id="0" w:name="_GoBack"/>
      <w:bookmarkEnd w:id="0"/>
      <w:r w:rsidRPr="00AE4EE4">
        <w:rPr>
          <w:rFonts w:ascii="Times New Roman" w:hAnsi="Times New Roman" w:cs="Times New Roman"/>
          <w:sz w:val="24"/>
          <w:szCs w:val="24"/>
        </w:rPr>
        <w:t xml:space="preserve">utores como es la opción de pensar la Iglesia desde una teología de la liberación y por otro lado hay grandes diferencias entre estas obras, ya sea por el contexto y realidad de dichos autores como por el enfoque que tienen y de los cuáles surgen elaboraciones eclesiologías diferentes. </w:t>
      </w:r>
      <w:r>
        <w:rPr>
          <w:rFonts w:ascii="Times New Roman" w:hAnsi="Times New Roman" w:cs="Times New Roman"/>
          <w:sz w:val="24"/>
          <w:szCs w:val="24"/>
        </w:rPr>
        <w:t xml:space="preserve">Russell </w:t>
      </w:r>
      <w:r w:rsidRPr="00AE4EE4">
        <w:rPr>
          <w:rFonts w:ascii="Times New Roman" w:hAnsi="Times New Roman" w:cs="Times New Roman"/>
          <w:sz w:val="24"/>
          <w:szCs w:val="24"/>
        </w:rPr>
        <w:t xml:space="preserve">escribe como teóloga feminista y pastora de la Iglesia Presbiteriana en EEUU, </w:t>
      </w:r>
      <w:proofErr w:type="spellStart"/>
      <w:r w:rsidRPr="00AE4EE4">
        <w:rPr>
          <w:rFonts w:ascii="Times New Roman" w:hAnsi="Times New Roman" w:cs="Times New Roman"/>
          <w:sz w:val="24"/>
          <w:szCs w:val="24"/>
        </w:rPr>
        <w:t>Comblin</w:t>
      </w:r>
      <w:proofErr w:type="spellEnd"/>
      <w:r w:rsidRPr="00AE4EE4">
        <w:rPr>
          <w:rFonts w:ascii="Times New Roman" w:hAnsi="Times New Roman" w:cs="Times New Roman"/>
          <w:sz w:val="24"/>
          <w:szCs w:val="24"/>
        </w:rPr>
        <w:t xml:space="preserve"> hace teología siendo sacerdote belga de la Iglesia Católica, con más de cincuenta años viviendo en América Latina y siendo uno de los exponentes de la teología </w:t>
      </w:r>
      <w:r>
        <w:rPr>
          <w:rFonts w:ascii="Times New Roman" w:hAnsi="Times New Roman" w:cs="Times New Roman"/>
          <w:sz w:val="24"/>
          <w:szCs w:val="24"/>
        </w:rPr>
        <w:t>de la liberación latinoamericana</w:t>
      </w:r>
      <w:r w:rsidRPr="00AE4EE4">
        <w:rPr>
          <w:rFonts w:ascii="Times New Roman" w:hAnsi="Times New Roman" w:cs="Times New Roman"/>
          <w:sz w:val="24"/>
          <w:szCs w:val="24"/>
        </w:rPr>
        <w:t>.</w:t>
      </w:r>
    </w:p>
    <w:p w:rsidR="005D0BC5" w:rsidRDefault="005D0BC5" w:rsidP="005D0BC5">
      <w:pPr>
        <w:spacing w:line="240" w:lineRule="auto"/>
        <w:ind w:firstLine="708"/>
        <w:jc w:val="both"/>
        <w:rPr>
          <w:rFonts w:ascii="Times New Roman" w:hAnsi="Times New Roman" w:cs="Times New Roman"/>
          <w:sz w:val="24"/>
          <w:szCs w:val="24"/>
        </w:rPr>
      </w:pPr>
      <w:r w:rsidRPr="00AE4EE4">
        <w:rPr>
          <w:rFonts w:ascii="Times New Roman" w:hAnsi="Times New Roman" w:cs="Times New Roman"/>
          <w:sz w:val="24"/>
          <w:szCs w:val="24"/>
        </w:rPr>
        <w:t>Me interesa entrecruzar ambas obras privilegiando la comprensión que estos autores tienen acerca de la misión y la búsqueda que hacen de una interpretación alternativa de la misión de la Iglesia.</w:t>
      </w:r>
    </w:p>
    <w:p w:rsidR="005D0BC5" w:rsidRPr="00AE4EE4" w:rsidRDefault="005D0BC5" w:rsidP="005D0BC5">
      <w:pPr>
        <w:spacing w:line="240" w:lineRule="auto"/>
        <w:ind w:firstLine="708"/>
        <w:jc w:val="both"/>
        <w:rPr>
          <w:rFonts w:ascii="Times New Roman" w:hAnsi="Times New Roman" w:cs="Times New Roman"/>
          <w:sz w:val="24"/>
          <w:szCs w:val="24"/>
        </w:rPr>
      </w:pPr>
      <w:r w:rsidRPr="00AE4EE4">
        <w:rPr>
          <w:rFonts w:ascii="Times New Roman" w:hAnsi="Times New Roman" w:cs="Times New Roman"/>
          <w:sz w:val="24"/>
          <w:szCs w:val="24"/>
        </w:rPr>
        <w:t xml:space="preserve">En un primer momento voy hacer una presentación general y por separado de </w:t>
      </w:r>
      <w:r>
        <w:rPr>
          <w:rFonts w:ascii="Times New Roman" w:hAnsi="Times New Roman" w:cs="Times New Roman"/>
          <w:sz w:val="24"/>
          <w:szCs w:val="24"/>
        </w:rPr>
        <w:t xml:space="preserve">cada una de las obras: </w:t>
      </w:r>
      <w:r w:rsidRPr="00AE4EE4">
        <w:rPr>
          <w:rFonts w:ascii="Times New Roman" w:hAnsi="Times New Roman" w:cs="Times New Roman"/>
          <w:i/>
          <w:sz w:val="24"/>
          <w:szCs w:val="24"/>
        </w:rPr>
        <w:t>La Iglesia como comunidad inclusiva</w:t>
      </w:r>
      <w:r w:rsidRPr="00AE4EE4">
        <w:rPr>
          <w:rFonts w:ascii="Times New Roman" w:hAnsi="Times New Roman" w:cs="Times New Roman"/>
          <w:sz w:val="24"/>
          <w:szCs w:val="24"/>
        </w:rPr>
        <w:t xml:space="preserve"> </w:t>
      </w:r>
      <w:r w:rsidRPr="00152E6E">
        <w:rPr>
          <w:rFonts w:ascii="Times New Roman" w:hAnsi="Times New Roman" w:cs="Times New Roman"/>
          <w:sz w:val="24"/>
          <w:szCs w:val="24"/>
        </w:rPr>
        <w:t xml:space="preserve">y </w:t>
      </w:r>
      <w:r w:rsidRPr="00152E6E">
        <w:rPr>
          <w:rFonts w:ascii="Times New Roman" w:hAnsi="Times New Roman" w:cs="Times New Roman"/>
          <w:i/>
          <w:sz w:val="24"/>
          <w:szCs w:val="24"/>
        </w:rPr>
        <w:t xml:space="preserve">O </w:t>
      </w:r>
      <w:proofErr w:type="spellStart"/>
      <w:r w:rsidRPr="00152E6E">
        <w:rPr>
          <w:rFonts w:ascii="Times New Roman" w:hAnsi="Times New Roman" w:cs="Times New Roman"/>
          <w:i/>
          <w:sz w:val="24"/>
          <w:szCs w:val="24"/>
        </w:rPr>
        <w:t>povo</w:t>
      </w:r>
      <w:proofErr w:type="spellEnd"/>
      <w:r w:rsidRPr="00152E6E">
        <w:rPr>
          <w:rFonts w:ascii="Times New Roman" w:hAnsi="Times New Roman" w:cs="Times New Roman"/>
          <w:i/>
          <w:sz w:val="24"/>
          <w:szCs w:val="24"/>
        </w:rPr>
        <w:t xml:space="preserve"> de Deus</w:t>
      </w:r>
      <w:r w:rsidRPr="00152E6E">
        <w:rPr>
          <w:rFonts w:ascii="Times New Roman" w:hAnsi="Times New Roman" w:cs="Times New Roman"/>
          <w:sz w:val="24"/>
          <w:szCs w:val="24"/>
        </w:rPr>
        <w:t xml:space="preserve"> para, en un segundo momento, y desde la comparación entre ambas,  elaborar</w:t>
      </w:r>
      <w:r w:rsidRPr="00AE4EE4">
        <w:rPr>
          <w:rFonts w:ascii="Times New Roman" w:hAnsi="Times New Roman" w:cs="Times New Roman"/>
          <w:sz w:val="24"/>
          <w:szCs w:val="24"/>
        </w:rPr>
        <w:t xml:space="preserve"> los aportes más importantes que, según mi opinión e interés de investigación, los dos autores hacen al pensamiento teológico al replantear la Iglesia desde los pobres y las mujeres.</w:t>
      </w:r>
    </w:p>
    <w:p w:rsidR="005D0BC5" w:rsidRPr="00AE4EE4" w:rsidRDefault="005D0BC5" w:rsidP="005D0BC5">
      <w:pPr>
        <w:spacing w:line="240" w:lineRule="auto"/>
        <w:ind w:firstLine="708"/>
        <w:jc w:val="both"/>
        <w:rPr>
          <w:rFonts w:ascii="Times New Roman" w:hAnsi="Times New Roman" w:cs="Times New Roman"/>
          <w:sz w:val="24"/>
          <w:szCs w:val="24"/>
        </w:rPr>
      </w:pPr>
    </w:p>
    <w:p w:rsidR="005D0BC5" w:rsidRPr="00AE4EE4" w:rsidRDefault="005D0BC5" w:rsidP="005D0BC5">
      <w:pPr>
        <w:pStyle w:val="Prrafodelista"/>
        <w:numPr>
          <w:ilvl w:val="0"/>
          <w:numId w:val="1"/>
        </w:numPr>
        <w:spacing w:line="240" w:lineRule="auto"/>
        <w:jc w:val="both"/>
        <w:rPr>
          <w:rFonts w:ascii="Times New Roman" w:hAnsi="Times New Roman" w:cs="Times New Roman"/>
          <w:b/>
          <w:i/>
          <w:sz w:val="24"/>
          <w:szCs w:val="24"/>
        </w:rPr>
      </w:pPr>
      <w:r w:rsidRPr="00AE4EE4">
        <w:rPr>
          <w:rFonts w:ascii="Times New Roman" w:hAnsi="Times New Roman" w:cs="Times New Roman"/>
          <w:b/>
          <w:i/>
          <w:sz w:val="24"/>
          <w:szCs w:val="24"/>
        </w:rPr>
        <w:t>Presentación general de ambas obras:</w:t>
      </w:r>
    </w:p>
    <w:p w:rsidR="005D0BC5" w:rsidRPr="00AE4EE4" w:rsidRDefault="005D0BC5" w:rsidP="005D0BC5">
      <w:pPr>
        <w:spacing w:line="240" w:lineRule="auto"/>
        <w:ind w:left="360"/>
        <w:jc w:val="both"/>
        <w:rPr>
          <w:rFonts w:ascii="Times New Roman" w:hAnsi="Times New Roman" w:cs="Times New Roman"/>
          <w:sz w:val="24"/>
          <w:szCs w:val="24"/>
        </w:rPr>
      </w:pPr>
      <w:r w:rsidRPr="00AE4EE4">
        <w:rPr>
          <w:rFonts w:ascii="Times New Roman" w:hAnsi="Times New Roman" w:cs="Times New Roman"/>
          <w:sz w:val="24"/>
          <w:szCs w:val="24"/>
        </w:rPr>
        <w:t>1.1</w:t>
      </w:r>
      <w:proofErr w:type="gramStart"/>
      <w:r w:rsidRPr="00AE4EE4">
        <w:rPr>
          <w:rFonts w:ascii="Times New Roman" w:hAnsi="Times New Roman" w:cs="Times New Roman"/>
          <w:sz w:val="24"/>
          <w:szCs w:val="24"/>
        </w:rPr>
        <w:t>.RUSSELL</w:t>
      </w:r>
      <w:proofErr w:type="gramEnd"/>
      <w:r w:rsidRPr="00AE4EE4">
        <w:rPr>
          <w:rFonts w:ascii="Times New Roman" w:hAnsi="Times New Roman" w:cs="Times New Roman"/>
          <w:sz w:val="24"/>
          <w:szCs w:val="24"/>
        </w:rPr>
        <w:t xml:space="preserve">, </w:t>
      </w:r>
      <w:proofErr w:type="spellStart"/>
      <w:r w:rsidRPr="00AE4EE4">
        <w:rPr>
          <w:rFonts w:ascii="Times New Roman" w:hAnsi="Times New Roman" w:cs="Times New Roman"/>
          <w:sz w:val="24"/>
          <w:szCs w:val="24"/>
        </w:rPr>
        <w:t>Letty</w:t>
      </w:r>
      <w:proofErr w:type="spellEnd"/>
      <w:r w:rsidRPr="00AE4EE4">
        <w:rPr>
          <w:rFonts w:ascii="Times New Roman" w:hAnsi="Times New Roman" w:cs="Times New Roman"/>
          <w:i/>
          <w:sz w:val="24"/>
          <w:szCs w:val="24"/>
        </w:rPr>
        <w:t>. La Iglesia como comunidad inclusiva</w:t>
      </w:r>
      <w:r w:rsidRPr="00AE4EE4">
        <w:rPr>
          <w:rFonts w:ascii="Times New Roman" w:hAnsi="Times New Roman" w:cs="Times New Roman"/>
          <w:sz w:val="24"/>
          <w:szCs w:val="24"/>
        </w:rPr>
        <w:t>. Una interpretación feminista de la Iglesia. ISEDET/ Universidad Bíblica latinoamericana, UBL: Buenos Aires, 2004.</w:t>
      </w:r>
    </w:p>
    <w:p w:rsidR="005D0BC5" w:rsidRPr="00AE4EE4" w:rsidRDefault="005D0BC5" w:rsidP="005D0BC5">
      <w:pPr>
        <w:spacing w:line="240" w:lineRule="auto"/>
        <w:jc w:val="both"/>
        <w:rPr>
          <w:rFonts w:ascii="Times New Roman" w:hAnsi="Times New Roman" w:cs="Times New Roman"/>
          <w:sz w:val="24"/>
          <w:szCs w:val="24"/>
        </w:rPr>
      </w:pPr>
      <w:r w:rsidRPr="00AE4EE4">
        <w:rPr>
          <w:rFonts w:ascii="Times New Roman" w:hAnsi="Times New Roman" w:cs="Times New Roman"/>
          <w:sz w:val="24"/>
          <w:szCs w:val="24"/>
        </w:rPr>
        <w:tab/>
        <w:t xml:space="preserve">En esta obra </w:t>
      </w:r>
      <w:proofErr w:type="spellStart"/>
      <w:r w:rsidRPr="00AE4EE4">
        <w:rPr>
          <w:rFonts w:ascii="Times New Roman" w:hAnsi="Times New Roman" w:cs="Times New Roman"/>
          <w:sz w:val="24"/>
          <w:szCs w:val="24"/>
        </w:rPr>
        <w:t>Letty</w:t>
      </w:r>
      <w:proofErr w:type="spellEnd"/>
      <w:r w:rsidRPr="00AE4EE4">
        <w:rPr>
          <w:rFonts w:ascii="Times New Roman" w:hAnsi="Times New Roman" w:cs="Times New Roman"/>
          <w:sz w:val="24"/>
          <w:szCs w:val="24"/>
        </w:rPr>
        <w:t xml:space="preserve"> Russell se propone hacer una “reflexión sobre la naturaleza de la iglesia, a la luz de los interrogantes y perspectivas”</w:t>
      </w:r>
      <w:r>
        <w:rPr>
          <w:rStyle w:val="Refdenotaalpie"/>
          <w:szCs w:val="24"/>
        </w:rPr>
        <w:footnoteReference w:id="3"/>
      </w:r>
      <w:r>
        <w:rPr>
          <w:rFonts w:ascii="Times New Roman" w:hAnsi="Times New Roman" w:cs="Times New Roman"/>
          <w:sz w:val="24"/>
          <w:szCs w:val="24"/>
        </w:rPr>
        <w:t xml:space="preserve"> </w:t>
      </w:r>
      <w:r w:rsidRPr="00AE4EE4">
        <w:rPr>
          <w:rFonts w:ascii="Times New Roman" w:hAnsi="Times New Roman" w:cs="Times New Roman"/>
          <w:sz w:val="24"/>
          <w:szCs w:val="24"/>
        </w:rPr>
        <w:t xml:space="preserve">de las comunidades de fe y lucha con los cuáles ha compartido su vida y ministerio durante muchos años. Sostiene  que la </w:t>
      </w:r>
      <w:r w:rsidRPr="00AE4EE4">
        <w:rPr>
          <w:rFonts w:ascii="Times New Roman" w:hAnsi="Times New Roman" w:cs="Times New Roman"/>
          <w:sz w:val="24"/>
          <w:szCs w:val="24"/>
        </w:rPr>
        <w:lastRenderedPageBreak/>
        <w:t xml:space="preserve">“concepción de iglesia cambia cuando la miramos desde la óptica de las comunidades oprimidas </w:t>
      </w:r>
      <w:r>
        <w:rPr>
          <w:rFonts w:ascii="Times New Roman" w:hAnsi="Times New Roman" w:cs="Times New Roman"/>
          <w:sz w:val="24"/>
          <w:szCs w:val="24"/>
        </w:rPr>
        <w:t>que luchan por la justicia”</w:t>
      </w:r>
      <w:r w:rsidRPr="00AE4EE4">
        <w:rPr>
          <w:rFonts w:ascii="Times New Roman" w:hAnsi="Times New Roman" w:cs="Times New Roman"/>
          <w:sz w:val="24"/>
          <w:szCs w:val="24"/>
        </w:rPr>
        <w:t>.</w:t>
      </w:r>
      <w:r>
        <w:rPr>
          <w:rStyle w:val="Refdenotaalpie"/>
          <w:szCs w:val="24"/>
        </w:rPr>
        <w:footnoteReference w:id="4"/>
      </w:r>
    </w:p>
    <w:p w:rsidR="005D0BC5" w:rsidRPr="00AE4EE4" w:rsidRDefault="005D0BC5" w:rsidP="005D0BC5">
      <w:pPr>
        <w:spacing w:line="240" w:lineRule="auto"/>
        <w:jc w:val="both"/>
        <w:rPr>
          <w:rFonts w:ascii="Times New Roman" w:hAnsi="Times New Roman" w:cs="Times New Roman"/>
          <w:sz w:val="24"/>
          <w:szCs w:val="24"/>
        </w:rPr>
      </w:pPr>
      <w:r w:rsidRPr="00AE4EE4">
        <w:rPr>
          <w:rFonts w:ascii="Times New Roman" w:hAnsi="Times New Roman" w:cs="Times New Roman"/>
          <w:sz w:val="24"/>
          <w:szCs w:val="24"/>
        </w:rPr>
        <w:tab/>
        <w:t>Le interesa “utilizar la teología feminista para crear una nueva concepción de iglesia válida para quienes comparten la perspectiva de las mujeres que luchan por lograr la plena humanidad de todas las muje</w:t>
      </w:r>
      <w:r>
        <w:rPr>
          <w:rFonts w:ascii="Times New Roman" w:hAnsi="Times New Roman" w:cs="Times New Roman"/>
          <w:sz w:val="24"/>
          <w:szCs w:val="24"/>
        </w:rPr>
        <w:t>res, junto con los hombres”</w:t>
      </w:r>
      <w:r w:rsidRPr="00AE4EE4">
        <w:rPr>
          <w:rFonts w:ascii="Times New Roman" w:hAnsi="Times New Roman" w:cs="Times New Roman"/>
          <w:sz w:val="24"/>
          <w:szCs w:val="24"/>
        </w:rPr>
        <w:t>.</w:t>
      </w:r>
      <w:r>
        <w:rPr>
          <w:rStyle w:val="Refdenotaalpie"/>
          <w:szCs w:val="24"/>
        </w:rPr>
        <w:footnoteReference w:id="5"/>
      </w:r>
      <w:r w:rsidRPr="00AE4EE4">
        <w:rPr>
          <w:rFonts w:ascii="Times New Roman" w:hAnsi="Times New Roman" w:cs="Times New Roman"/>
          <w:sz w:val="24"/>
          <w:szCs w:val="24"/>
        </w:rPr>
        <w:t xml:space="preserve"> Para esto va a trabajar desde la metáfora de la “mesa”, de muchas mesas: la mesa redonda, la mesa de la cocina, la mesa de bienvenida, la mesa de Dios.</w:t>
      </w:r>
    </w:p>
    <w:p w:rsidR="005D0BC5" w:rsidRPr="00AE4EE4" w:rsidRDefault="005D0BC5" w:rsidP="005D0BC5">
      <w:pPr>
        <w:spacing w:line="240" w:lineRule="auto"/>
        <w:jc w:val="both"/>
        <w:rPr>
          <w:rFonts w:ascii="Times New Roman" w:hAnsi="Times New Roman" w:cs="Times New Roman"/>
          <w:b/>
          <w:sz w:val="24"/>
          <w:szCs w:val="24"/>
        </w:rPr>
      </w:pPr>
      <w:r w:rsidRPr="00AE4EE4">
        <w:rPr>
          <w:rFonts w:ascii="Times New Roman" w:hAnsi="Times New Roman" w:cs="Times New Roman"/>
          <w:b/>
          <w:sz w:val="24"/>
          <w:szCs w:val="24"/>
        </w:rPr>
        <w:t>Estructura y contenido de la obra:</w:t>
      </w:r>
    </w:p>
    <w:p w:rsidR="005D0BC5" w:rsidRPr="00AE4EE4" w:rsidRDefault="005D0BC5" w:rsidP="005D0BC5">
      <w:pPr>
        <w:spacing w:line="240" w:lineRule="auto"/>
        <w:jc w:val="both"/>
        <w:rPr>
          <w:rFonts w:ascii="Times New Roman" w:hAnsi="Times New Roman" w:cs="Times New Roman"/>
          <w:sz w:val="24"/>
          <w:szCs w:val="24"/>
        </w:rPr>
      </w:pPr>
      <w:r w:rsidRPr="00AE4EE4">
        <w:rPr>
          <w:rFonts w:ascii="Times New Roman" w:hAnsi="Times New Roman" w:cs="Times New Roman"/>
          <w:sz w:val="24"/>
          <w:szCs w:val="24"/>
        </w:rPr>
        <w:t>Primera Parte: Vinculación en la mesa redonda</w:t>
      </w:r>
    </w:p>
    <w:p w:rsidR="005D0BC5" w:rsidRPr="00AE4EE4" w:rsidRDefault="005D0BC5" w:rsidP="005D0BC5">
      <w:pPr>
        <w:spacing w:line="240" w:lineRule="auto"/>
        <w:jc w:val="both"/>
        <w:rPr>
          <w:rFonts w:ascii="Times New Roman" w:hAnsi="Times New Roman" w:cs="Times New Roman"/>
          <w:sz w:val="24"/>
          <w:szCs w:val="24"/>
        </w:rPr>
      </w:pPr>
      <w:r w:rsidRPr="00AE4EE4">
        <w:rPr>
          <w:rFonts w:ascii="Times New Roman" w:hAnsi="Times New Roman" w:cs="Times New Roman"/>
          <w:i/>
          <w:sz w:val="24"/>
          <w:szCs w:val="24"/>
        </w:rPr>
        <w:t>Diálogo alrededor de la mesa</w:t>
      </w:r>
      <w:r w:rsidRPr="00AE4EE4">
        <w:rPr>
          <w:rFonts w:ascii="Times New Roman" w:hAnsi="Times New Roman" w:cs="Times New Roman"/>
          <w:sz w:val="24"/>
          <w:szCs w:val="24"/>
        </w:rPr>
        <w:t>. En este capítulo se presenta un método de la eclesiología feminista: la metodología espiral de acción y reflexión a partir de las personas marginadas de la iglesia y de la sociedad y con la tradición bíblica y eclesial.</w:t>
      </w:r>
    </w:p>
    <w:p w:rsidR="005D0BC5" w:rsidRPr="00AE4EE4" w:rsidRDefault="005D0BC5" w:rsidP="005D0BC5">
      <w:pPr>
        <w:spacing w:line="240" w:lineRule="auto"/>
        <w:jc w:val="both"/>
        <w:rPr>
          <w:rFonts w:ascii="Times New Roman" w:hAnsi="Times New Roman" w:cs="Times New Roman"/>
          <w:sz w:val="24"/>
          <w:szCs w:val="24"/>
        </w:rPr>
      </w:pPr>
      <w:r w:rsidRPr="00AE4EE4">
        <w:rPr>
          <w:rFonts w:ascii="Times New Roman" w:hAnsi="Times New Roman" w:cs="Times New Roman"/>
          <w:i/>
          <w:sz w:val="24"/>
          <w:szCs w:val="24"/>
        </w:rPr>
        <w:t>Liderazgo alrededor de la mesa.</w:t>
      </w:r>
      <w:r w:rsidRPr="00AE4EE4">
        <w:rPr>
          <w:rFonts w:ascii="Times New Roman" w:hAnsi="Times New Roman" w:cs="Times New Roman"/>
          <w:sz w:val="24"/>
          <w:szCs w:val="24"/>
        </w:rPr>
        <w:t xml:space="preserve"> Se discute que tipo de liderazgo se necesita para hacer una eclesiología feminista.</w:t>
      </w:r>
    </w:p>
    <w:p w:rsidR="005D0BC5" w:rsidRPr="00AE4EE4" w:rsidRDefault="005D0BC5" w:rsidP="005D0BC5">
      <w:pPr>
        <w:spacing w:line="240" w:lineRule="auto"/>
        <w:jc w:val="both"/>
        <w:rPr>
          <w:rFonts w:ascii="Times New Roman" w:hAnsi="Times New Roman" w:cs="Times New Roman"/>
          <w:sz w:val="24"/>
          <w:szCs w:val="24"/>
        </w:rPr>
      </w:pPr>
      <w:r w:rsidRPr="00AE4EE4">
        <w:rPr>
          <w:rFonts w:ascii="Times New Roman" w:hAnsi="Times New Roman" w:cs="Times New Roman"/>
          <w:sz w:val="24"/>
          <w:szCs w:val="24"/>
        </w:rPr>
        <w:t>Segunda Parte: La solidaridad de la mesa de la cocina</w:t>
      </w:r>
    </w:p>
    <w:p w:rsidR="005D0BC5" w:rsidRPr="00AE4EE4" w:rsidRDefault="005D0BC5" w:rsidP="005D0BC5">
      <w:pPr>
        <w:spacing w:line="240" w:lineRule="auto"/>
        <w:jc w:val="both"/>
        <w:rPr>
          <w:rFonts w:ascii="Times New Roman" w:hAnsi="Times New Roman" w:cs="Times New Roman"/>
          <w:sz w:val="24"/>
          <w:szCs w:val="24"/>
        </w:rPr>
      </w:pPr>
      <w:r w:rsidRPr="00AE4EE4">
        <w:rPr>
          <w:rFonts w:ascii="Times New Roman" w:hAnsi="Times New Roman" w:cs="Times New Roman"/>
          <w:i/>
          <w:sz w:val="24"/>
          <w:szCs w:val="24"/>
        </w:rPr>
        <w:t>Comunidades de fe y lucha</w:t>
      </w:r>
      <w:r w:rsidRPr="00AE4EE4">
        <w:rPr>
          <w:rFonts w:ascii="Times New Roman" w:hAnsi="Times New Roman" w:cs="Times New Roman"/>
          <w:sz w:val="24"/>
          <w:szCs w:val="24"/>
        </w:rPr>
        <w:t>. En este capítulo se disciernen las claves que ya están surgiendo desde las comunidades que se solidarizan con los que sufren injusticia y exclusión.  Las mismas se relacionan con las eclesiologías feministas y de liberación.</w:t>
      </w:r>
    </w:p>
    <w:p w:rsidR="005D0BC5" w:rsidRPr="00AE4EE4" w:rsidRDefault="005D0BC5" w:rsidP="005D0BC5">
      <w:pPr>
        <w:spacing w:line="240" w:lineRule="auto"/>
        <w:jc w:val="both"/>
        <w:rPr>
          <w:rFonts w:ascii="Times New Roman" w:hAnsi="Times New Roman" w:cs="Times New Roman"/>
          <w:sz w:val="24"/>
          <w:szCs w:val="24"/>
        </w:rPr>
      </w:pPr>
      <w:r w:rsidRPr="00AE4EE4">
        <w:rPr>
          <w:rFonts w:ascii="Times New Roman" w:hAnsi="Times New Roman" w:cs="Times New Roman"/>
          <w:i/>
          <w:sz w:val="24"/>
          <w:szCs w:val="24"/>
        </w:rPr>
        <w:t>La justicia y la iglesia.</w:t>
      </w:r>
      <w:r w:rsidRPr="00AE4EE4">
        <w:rPr>
          <w:rFonts w:ascii="Times New Roman" w:hAnsi="Times New Roman" w:cs="Times New Roman"/>
          <w:sz w:val="24"/>
          <w:szCs w:val="24"/>
        </w:rPr>
        <w:t xml:space="preserve"> Evalúa como la solidaridad con los oprimidos y oprimidas cambia la forma de entender la Iglesia y su afirmación de ser la mediadora de la salvación de Dios.</w:t>
      </w:r>
    </w:p>
    <w:p w:rsidR="005D0BC5" w:rsidRPr="00AE4EE4" w:rsidRDefault="005D0BC5" w:rsidP="005D0BC5">
      <w:pPr>
        <w:spacing w:line="240" w:lineRule="auto"/>
        <w:jc w:val="both"/>
        <w:rPr>
          <w:rFonts w:ascii="Times New Roman" w:hAnsi="Times New Roman" w:cs="Times New Roman"/>
          <w:sz w:val="24"/>
          <w:szCs w:val="24"/>
        </w:rPr>
      </w:pPr>
      <w:r w:rsidRPr="00AE4EE4">
        <w:rPr>
          <w:rFonts w:ascii="Times New Roman" w:hAnsi="Times New Roman" w:cs="Times New Roman"/>
          <w:sz w:val="24"/>
          <w:szCs w:val="24"/>
        </w:rPr>
        <w:t>Tercera Parte: Comunión en la mesa de bienvenida</w:t>
      </w:r>
    </w:p>
    <w:p w:rsidR="005D0BC5" w:rsidRPr="00AE4EE4" w:rsidRDefault="005D0BC5" w:rsidP="005D0BC5">
      <w:pPr>
        <w:spacing w:line="240" w:lineRule="auto"/>
        <w:jc w:val="both"/>
        <w:rPr>
          <w:rFonts w:ascii="Times New Roman" w:hAnsi="Times New Roman" w:cs="Times New Roman"/>
          <w:sz w:val="24"/>
          <w:szCs w:val="24"/>
        </w:rPr>
      </w:pPr>
      <w:r w:rsidRPr="00AE4EE4">
        <w:rPr>
          <w:rFonts w:ascii="Times New Roman" w:hAnsi="Times New Roman" w:cs="Times New Roman"/>
          <w:i/>
          <w:sz w:val="24"/>
          <w:szCs w:val="24"/>
        </w:rPr>
        <w:t>Una Comunidad de hospitalidad</w:t>
      </w:r>
      <w:r w:rsidRPr="00AE4EE4">
        <w:rPr>
          <w:rFonts w:ascii="Times New Roman" w:hAnsi="Times New Roman" w:cs="Times New Roman"/>
          <w:sz w:val="24"/>
          <w:szCs w:val="24"/>
        </w:rPr>
        <w:t>, analiza la doctrina de la elección y del pueblo elegido de Dios, desde la perspectiva de quienes han sido excluidas y excluidos de la iglesia y busca formas alternativas de celebrar la hospitalidad de Dios.</w:t>
      </w:r>
    </w:p>
    <w:p w:rsidR="005D0BC5" w:rsidRPr="00AE4EE4" w:rsidRDefault="005D0BC5" w:rsidP="005D0BC5">
      <w:pPr>
        <w:spacing w:line="240" w:lineRule="auto"/>
        <w:jc w:val="both"/>
        <w:rPr>
          <w:rFonts w:ascii="Times New Roman" w:hAnsi="Times New Roman" w:cs="Times New Roman"/>
          <w:sz w:val="24"/>
          <w:szCs w:val="24"/>
        </w:rPr>
      </w:pPr>
      <w:r w:rsidRPr="00AE4EE4">
        <w:rPr>
          <w:rFonts w:ascii="Times New Roman" w:hAnsi="Times New Roman" w:cs="Times New Roman"/>
          <w:i/>
          <w:sz w:val="24"/>
          <w:szCs w:val="24"/>
        </w:rPr>
        <w:t xml:space="preserve">Una espiritualidad vinculada </w:t>
      </w:r>
      <w:r w:rsidRPr="00AE4EE4">
        <w:rPr>
          <w:rFonts w:ascii="Times New Roman" w:hAnsi="Times New Roman" w:cs="Times New Roman"/>
          <w:sz w:val="24"/>
          <w:szCs w:val="24"/>
        </w:rPr>
        <w:t>explora formas de nutrir la eclesiología feminista y de la liberación para personas que han escogido estar vinculadas con quienes están en los márgenes de la vida.</w:t>
      </w:r>
    </w:p>
    <w:p w:rsidR="005D0BC5" w:rsidRPr="00AE4EE4" w:rsidRDefault="005D0BC5" w:rsidP="005D0BC5">
      <w:pPr>
        <w:pStyle w:val="Textonotapie"/>
        <w:rPr>
          <w:rFonts w:ascii="Times New Roman" w:hAnsi="Times New Roman" w:cs="Times New Roman"/>
          <w:sz w:val="24"/>
          <w:szCs w:val="24"/>
        </w:rPr>
      </w:pPr>
      <w:r w:rsidRPr="00AE4EE4">
        <w:rPr>
          <w:rFonts w:ascii="Times New Roman" w:hAnsi="Times New Roman" w:cs="Times New Roman"/>
          <w:sz w:val="24"/>
          <w:szCs w:val="24"/>
        </w:rPr>
        <w:t>1.2</w:t>
      </w:r>
      <w:proofErr w:type="gramStart"/>
      <w:r w:rsidRPr="00AE4EE4">
        <w:rPr>
          <w:rFonts w:ascii="Times New Roman" w:hAnsi="Times New Roman" w:cs="Times New Roman"/>
          <w:sz w:val="24"/>
          <w:szCs w:val="24"/>
        </w:rPr>
        <w:t>.COMBLIN</w:t>
      </w:r>
      <w:proofErr w:type="gramEnd"/>
      <w:r w:rsidRPr="00AE4EE4">
        <w:rPr>
          <w:rFonts w:ascii="Times New Roman" w:hAnsi="Times New Roman" w:cs="Times New Roman"/>
          <w:sz w:val="24"/>
          <w:szCs w:val="24"/>
        </w:rPr>
        <w:t xml:space="preserve">, José. </w:t>
      </w:r>
      <w:r w:rsidRPr="00AE4EE4">
        <w:rPr>
          <w:rFonts w:ascii="Times New Roman" w:hAnsi="Times New Roman" w:cs="Times New Roman"/>
          <w:i/>
          <w:sz w:val="24"/>
          <w:szCs w:val="24"/>
        </w:rPr>
        <w:t xml:space="preserve">O </w:t>
      </w:r>
      <w:proofErr w:type="spellStart"/>
      <w:r w:rsidRPr="00AE4EE4">
        <w:rPr>
          <w:rFonts w:ascii="Times New Roman" w:hAnsi="Times New Roman" w:cs="Times New Roman"/>
          <w:i/>
          <w:sz w:val="24"/>
          <w:szCs w:val="24"/>
        </w:rPr>
        <w:t>Povo</w:t>
      </w:r>
      <w:proofErr w:type="spellEnd"/>
      <w:r w:rsidRPr="00AE4EE4">
        <w:rPr>
          <w:rFonts w:ascii="Times New Roman" w:hAnsi="Times New Roman" w:cs="Times New Roman"/>
          <w:i/>
          <w:sz w:val="24"/>
          <w:szCs w:val="24"/>
        </w:rPr>
        <w:t xml:space="preserve"> de Deus,</w:t>
      </w:r>
      <w:r w:rsidRPr="00AE4EE4">
        <w:rPr>
          <w:rFonts w:ascii="Times New Roman" w:hAnsi="Times New Roman" w:cs="Times New Roman"/>
          <w:sz w:val="24"/>
          <w:szCs w:val="24"/>
        </w:rPr>
        <w:t xml:space="preserve"> São Paulo, </w:t>
      </w:r>
      <w:proofErr w:type="spellStart"/>
      <w:r w:rsidRPr="00AE4EE4">
        <w:rPr>
          <w:rFonts w:ascii="Times New Roman" w:hAnsi="Times New Roman" w:cs="Times New Roman"/>
          <w:sz w:val="24"/>
          <w:szCs w:val="24"/>
        </w:rPr>
        <w:t>Paulus</w:t>
      </w:r>
      <w:proofErr w:type="spellEnd"/>
      <w:r w:rsidRPr="00AE4EE4">
        <w:rPr>
          <w:rFonts w:ascii="Times New Roman" w:hAnsi="Times New Roman" w:cs="Times New Roman"/>
          <w:sz w:val="24"/>
          <w:szCs w:val="24"/>
        </w:rPr>
        <w:t>, 2002.</w:t>
      </w:r>
    </w:p>
    <w:p w:rsidR="005D0BC5" w:rsidRPr="00AE4EE4" w:rsidRDefault="005D0BC5" w:rsidP="005D0BC5">
      <w:pPr>
        <w:pStyle w:val="Textonotapie"/>
        <w:rPr>
          <w:rFonts w:ascii="Times New Roman" w:hAnsi="Times New Roman" w:cs="Times New Roman"/>
          <w:sz w:val="24"/>
          <w:szCs w:val="24"/>
        </w:rPr>
      </w:pPr>
    </w:p>
    <w:p w:rsidR="005D0BC5" w:rsidRPr="00AE4EE4" w:rsidRDefault="005D0BC5" w:rsidP="005D0BC5">
      <w:pPr>
        <w:spacing w:line="240" w:lineRule="auto"/>
        <w:ind w:firstLine="360"/>
        <w:jc w:val="both"/>
        <w:rPr>
          <w:rFonts w:ascii="Times New Roman" w:hAnsi="Times New Roman" w:cs="Times New Roman"/>
          <w:sz w:val="24"/>
          <w:szCs w:val="24"/>
        </w:rPr>
      </w:pPr>
      <w:r w:rsidRPr="00AE4EE4">
        <w:rPr>
          <w:rFonts w:ascii="Times New Roman" w:hAnsi="Times New Roman" w:cs="Times New Roman"/>
          <w:sz w:val="24"/>
          <w:szCs w:val="24"/>
        </w:rPr>
        <w:t xml:space="preserve">Este libro fue escrito al final del pontificado de Juan Pablo II. El autor quiere contribuir para una nueva etapa en la Iglesia, en vistas a un nuevo pontificado, donde se pueda volver a los principios del Vaticano II. Termina el libro diciendo “Lo que se espera para un próximo pontificado será una mayor aproximación de la Iglesia como </w:t>
      </w:r>
      <w:r w:rsidRPr="00AE4EE4">
        <w:rPr>
          <w:rFonts w:ascii="Times New Roman" w:hAnsi="Times New Roman" w:cs="Times New Roman"/>
          <w:i/>
          <w:sz w:val="24"/>
          <w:szCs w:val="24"/>
        </w:rPr>
        <w:t>pueblo de Dios</w:t>
      </w:r>
      <w:r w:rsidRPr="00AE4EE4">
        <w:rPr>
          <w:rFonts w:ascii="Times New Roman" w:hAnsi="Times New Roman" w:cs="Times New Roman"/>
          <w:sz w:val="24"/>
          <w:szCs w:val="24"/>
        </w:rPr>
        <w:t xml:space="preserve">: una </w:t>
      </w:r>
      <w:r w:rsidRPr="00AE4EE4">
        <w:rPr>
          <w:rFonts w:ascii="Times New Roman" w:hAnsi="Times New Roman" w:cs="Times New Roman"/>
          <w:sz w:val="24"/>
          <w:szCs w:val="24"/>
        </w:rPr>
        <w:lastRenderedPageBreak/>
        <w:t>Iglesia de los pobres. Para fundamentar esto ¿será por demás esperar alguien con la visión de mundo de Juan XXIII?”</w:t>
      </w:r>
      <w:r w:rsidRPr="00AE4EE4">
        <w:rPr>
          <w:rStyle w:val="Refdenotaalpie"/>
          <w:szCs w:val="24"/>
        </w:rPr>
        <w:footnoteReference w:id="6"/>
      </w:r>
    </w:p>
    <w:p w:rsidR="005D0BC5" w:rsidRPr="00AE4EE4" w:rsidRDefault="005D0BC5" w:rsidP="005D0BC5">
      <w:pPr>
        <w:spacing w:line="240" w:lineRule="auto"/>
        <w:ind w:firstLine="360"/>
        <w:jc w:val="both"/>
        <w:rPr>
          <w:rFonts w:ascii="Times New Roman" w:hAnsi="Times New Roman" w:cs="Times New Roman"/>
          <w:sz w:val="24"/>
          <w:szCs w:val="24"/>
        </w:rPr>
      </w:pPr>
      <w:proofErr w:type="spellStart"/>
      <w:r w:rsidRPr="00AE4EE4">
        <w:rPr>
          <w:rFonts w:ascii="Times New Roman" w:hAnsi="Times New Roman" w:cs="Times New Roman"/>
          <w:sz w:val="24"/>
          <w:szCs w:val="24"/>
        </w:rPr>
        <w:t>Comblin</w:t>
      </w:r>
      <w:proofErr w:type="spellEnd"/>
      <w:r w:rsidRPr="00AE4EE4">
        <w:rPr>
          <w:rFonts w:ascii="Times New Roman" w:hAnsi="Times New Roman" w:cs="Times New Roman"/>
          <w:sz w:val="24"/>
          <w:szCs w:val="24"/>
        </w:rPr>
        <w:t xml:space="preserve"> sostiene en varias partes de esta obra que lo conquistado en el Concilio Vaticano II y su contribución teológica más importante que es el concepto “pueblo de Dios” fue abandonado en el Sínodo de 1985. Este Sínodo para José </w:t>
      </w:r>
      <w:proofErr w:type="spellStart"/>
      <w:r w:rsidRPr="00AE4EE4">
        <w:rPr>
          <w:rFonts w:ascii="Times New Roman" w:hAnsi="Times New Roman" w:cs="Times New Roman"/>
          <w:sz w:val="24"/>
          <w:szCs w:val="24"/>
        </w:rPr>
        <w:t>Comblin</w:t>
      </w:r>
      <w:proofErr w:type="spellEnd"/>
      <w:r w:rsidRPr="00AE4EE4">
        <w:rPr>
          <w:rFonts w:ascii="Times New Roman" w:hAnsi="Times New Roman" w:cs="Times New Roman"/>
          <w:sz w:val="24"/>
          <w:szCs w:val="24"/>
        </w:rPr>
        <w:t xml:space="preserve"> significó un cambio radical en la orientación de la Iglesia: la sustitución del tema pueblo de Dios por el de comunión como centro de la eclesiología. Dicho cambio tiene como origen una preocupación nueva de parte de la curia romana. Este autor examina como ejemplo de dicha preocupación el famoso “Informe sobre la fe” presentado en forma de entrevista al cardenal Ratzinger por el periodista italiano Vittorio </w:t>
      </w:r>
      <w:proofErr w:type="spellStart"/>
      <w:r w:rsidRPr="00AE4EE4">
        <w:rPr>
          <w:rFonts w:ascii="Times New Roman" w:hAnsi="Times New Roman" w:cs="Times New Roman"/>
          <w:sz w:val="24"/>
          <w:szCs w:val="24"/>
        </w:rPr>
        <w:t>Messori</w:t>
      </w:r>
      <w:proofErr w:type="spellEnd"/>
      <w:r w:rsidRPr="00AE4EE4">
        <w:rPr>
          <w:rFonts w:ascii="Times New Roman" w:hAnsi="Times New Roman" w:cs="Times New Roman"/>
          <w:sz w:val="24"/>
          <w:szCs w:val="24"/>
        </w:rPr>
        <w:t xml:space="preserve"> en el mismo año de la celebración del Sínodo. </w:t>
      </w:r>
    </w:p>
    <w:p w:rsidR="005D0BC5" w:rsidRPr="00AE4EE4" w:rsidRDefault="005D0BC5" w:rsidP="005D0BC5">
      <w:pPr>
        <w:spacing w:line="240" w:lineRule="auto"/>
        <w:ind w:firstLine="360"/>
        <w:jc w:val="both"/>
        <w:rPr>
          <w:rFonts w:ascii="Times New Roman" w:hAnsi="Times New Roman" w:cs="Times New Roman"/>
          <w:sz w:val="24"/>
          <w:szCs w:val="24"/>
        </w:rPr>
      </w:pPr>
      <w:r w:rsidRPr="00AE4EE4">
        <w:rPr>
          <w:rFonts w:ascii="Times New Roman" w:hAnsi="Times New Roman" w:cs="Times New Roman"/>
          <w:sz w:val="24"/>
          <w:szCs w:val="24"/>
        </w:rPr>
        <w:t>En esta entrevista el Cardenal Ratzinger advierte acerca del peligro de limitar toda la eclesiología del Nuevo Testamento a la expresión “pueblo de Dios” o de considerar a la Iglesia únicamente como pueblo de Dios. El cardenal enuncia dos peligros ligados al pueblo de Dios: la vuelta al Antiguo Testamento y el dejarse llevar por razones políticas, partidarias y colectivistas al subrayar la importancia de este concepto eclesiológico. Aquí presenta el ejemplo de América Latina donde muchos se dejaron llevar por el concepto pueblo de Dios y cayeron en el marxismo.</w:t>
      </w:r>
      <w:r w:rsidRPr="00AE4EE4">
        <w:rPr>
          <w:rStyle w:val="Refdenotaalpie"/>
          <w:szCs w:val="24"/>
        </w:rPr>
        <w:footnoteReference w:id="7"/>
      </w:r>
      <w:r w:rsidRPr="00AE4EE4">
        <w:rPr>
          <w:rFonts w:ascii="Times New Roman" w:hAnsi="Times New Roman" w:cs="Times New Roman"/>
          <w:sz w:val="24"/>
          <w:szCs w:val="24"/>
        </w:rPr>
        <w:t xml:space="preserve"> </w:t>
      </w:r>
    </w:p>
    <w:p w:rsidR="005D0BC5" w:rsidRPr="00AE4EE4" w:rsidRDefault="005D0BC5" w:rsidP="005D0BC5">
      <w:pPr>
        <w:spacing w:line="240" w:lineRule="auto"/>
        <w:ind w:firstLine="360"/>
        <w:jc w:val="both"/>
        <w:rPr>
          <w:rFonts w:ascii="Times New Roman" w:hAnsi="Times New Roman" w:cs="Times New Roman"/>
          <w:sz w:val="24"/>
          <w:szCs w:val="24"/>
        </w:rPr>
      </w:pPr>
      <w:r w:rsidRPr="00AE4EE4">
        <w:rPr>
          <w:rFonts w:ascii="Times New Roman" w:hAnsi="Times New Roman" w:cs="Times New Roman"/>
          <w:sz w:val="24"/>
          <w:szCs w:val="24"/>
        </w:rPr>
        <w:t xml:space="preserve">Según </w:t>
      </w:r>
      <w:proofErr w:type="spellStart"/>
      <w:r w:rsidRPr="00AE4EE4">
        <w:rPr>
          <w:rFonts w:ascii="Times New Roman" w:hAnsi="Times New Roman" w:cs="Times New Roman"/>
          <w:sz w:val="24"/>
          <w:szCs w:val="24"/>
        </w:rPr>
        <w:t>Comblin</w:t>
      </w:r>
      <w:proofErr w:type="spellEnd"/>
      <w:r w:rsidRPr="00AE4EE4">
        <w:rPr>
          <w:rFonts w:ascii="Times New Roman" w:hAnsi="Times New Roman" w:cs="Times New Roman"/>
          <w:sz w:val="24"/>
          <w:szCs w:val="24"/>
        </w:rPr>
        <w:t xml:space="preserve"> el concepto Pueblo de Dios fue la contribución teológica principal del Concilio Vaticano II. Además el lugar que este ocupó en el documento </w:t>
      </w:r>
      <w:r w:rsidRPr="00AE4EE4">
        <w:rPr>
          <w:rFonts w:ascii="Times New Roman" w:hAnsi="Times New Roman" w:cs="Times New Roman"/>
          <w:i/>
          <w:sz w:val="24"/>
          <w:szCs w:val="24"/>
        </w:rPr>
        <w:t>Lumen Gentium</w:t>
      </w:r>
      <w:r w:rsidRPr="00AE4EE4">
        <w:rPr>
          <w:rFonts w:ascii="Times New Roman" w:hAnsi="Times New Roman" w:cs="Times New Roman"/>
          <w:sz w:val="24"/>
          <w:szCs w:val="24"/>
        </w:rPr>
        <w:t xml:space="preserve"> fue aceptado como señal de los cambios que el Concilio quería imprimir a la Iglesia. Sin embargo, esta centralidad del Pueblo de Dios no fue </w:t>
      </w:r>
      <w:proofErr w:type="spellStart"/>
      <w:r w:rsidRPr="00AE4EE4">
        <w:rPr>
          <w:rFonts w:ascii="Times New Roman" w:hAnsi="Times New Roman" w:cs="Times New Roman"/>
          <w:sz w:val="24"/>
          <w:szCs w:val="24"/>
        </w:rPr>
        <w:t>recepcionada</w:t>
      </w:r>
      <w:proofErr w:type="spellEnd"/>
      <w:r w:rsidRPr="00AE4EE4">
        <w:rPr>
          <w:rFonts w:ascii="Times New Roman" w:hAnsi="Times New Roman" w:cs="Times New Roman"/>
          <w:sz w:val="24"/>
          <w:szCs w:val="24"/>
        </w:rPr>
        <w:t xml:space="preserve"> de la misma manera en las Iglesias locales. Mientras en Europa se extendían las críticas al concepto “pueblo de Dios”, el episcopado de América Latina le dio una expansión notable.</w:t>
      </w:r>
      <w:r w:rsidRPr="00AE4EE4">
        <w:rPr>
          <w:rFonts w:ascii="Times New Roman" w:hAnsi="Times New Roman"/>
          <w:sz w:val="24"/>
          <w:szCs w:val="24"/>
        </w:rPr>
        <w:t xml:space="preserve"> Fue solamente en América Latina que la teología del Pueblo de Dios llegó a su expresión más amplia.</w:t>
      </w:r>
      <w:r w:rsidRPr="00AE4EE4">
        <w:rPr>
          <w:rFonts w:ascii="Times New Roman" w:hAnsi="Times New Roman" w:cs="Times New Roman"/>
          <w:sz w:val="24"/>
          <w:szCs w:val="24"/>
        </w:rPr>
        <w:t xml:space="preserve"> El retorno a los pobres y el redescubrimiento de la Iglesia de los pobres fue el camino que llevó a la rehabilitación del concepto “pueblo de Dios”. Pocos meses antes de la convocatoria al Sínodo extraordinario el cardenal Ratzinger había condenado la teología de la liberación. </w:t>
      </w:r>
    </w:p>
    <w:p w:rsidR="005D0BC5" w:rsidRPr="00AE4EE4" w:rsidRDefault="005D0BC5" w:rsidP="005D0BC5">
      <w:pPr>
        <w:spacing w:line="240" w:lineRule="auto"/>
        <w:ind w:firstLine="360"/>
        <w:jc w:val="both"/>
        <w:rPr>
          <w:rFonts w:ascii="Times New Roman" w:hAnsi="Times New Roman" w:cs="Times New Roman"/>
          <w:sz w:val="24"/>
          <w:szCs w:val="24"/>
        </w:rPr>
      </w:pPr>
      <w:r w:rsidRPr="00AE4EE4">
        <w:rPr>
          <w:rFonts w:ascii="Times New Roman" w:hAnsi="Times New Roman" w:cs="Times New Roman"/>
          <w:sz w:val="24"/>
          <w:szCs w:val="24"/>
        </w:rPr>
        <w:t xml:space="preserve">Veinte años después del Sínodo se confirma que aunque no se haya explicitado, el objetivo del mismo era apartar el concepto pueblo de Dios y volver a la eclesiología anterior al Concilio Vaticano II. </w:t>
      </w:r>
      <w:proofErr w:type="spellStart"/>
      <w:r w:rsidRPr="00AE4EE4">
        <w:rPr>
          <w:rFonts w:ascii="Times New Roman" w:hAnsi="Times New Roman" w:cs="Times New Roman"/>
          <w:sz w:val="24"/>
          <w:szCs w:val="24"/>
        </w:rPr>
        <w:t>Comblin</w:t>
      </w:r>
      <w:proofErr w:type="spellEnd"/>
      <w:r w:rsidRPr="00AE4EE4">
        <w:rPr>
          <w:rFonts w:ascii="Times New Roman" w:hAnsi="Times New Roman" w:cs="Times New Roman"/>
          <w:sz w:val="24"/>
          <w:szCs w:val="24"/>
        </w:rPr>
        <w:t xml:space="preserve"> se pregunta ¿será que un nuevo pontificado podrá resucitar el Vaticano II? Solo rehabilitando la eclesiología del pueblo de Dios se podrán lograr los cambios que el Concilio quería provocar y desde esta convicción </w:t>
      </w:r>
      <w:proofErr w:type="spellStart"/>
      <w:r w:rsidRPr="00AE4EE4">
        <w:rPr>
          <w:rFonts w:ascii="Times New Roman" w:hAnsi="Times New Roman" w:cs="Times New Roman"/>
          <w:sz w:val="24"/>
          <w:szCs w:val="24"/>
        </w:rPr>
        <w:t>Comblin</w:t>
      </w:r>
      <w:proofErr w:type="spellEnd"/>
      <w:r w:rsidRPr="00AE4EE4">
        <w:rPr>
          <w:rFonts w:ascii="Times New Roman" w:hAnsi="Times New Roman" w:cs="Times New Roman"/>
          <w:sz w:val="24"/>
          <w:szCs w:val="24"/>
        </w:rPr>
        <w:t xml:space="preserve"> escribe esta obra.</w:t>
      </w:r>
    </w:p>
    <w:p w:rsidR="005D0BC5" w:rsidRPr="00AE4EE4" w:rsidRDefault="005D0BC5" w:rsidP="005D0BC5">
      <w:pPr>
        <w:spacing w:line="240" w:lineRule="auto"/>
        <w:jc w:val="both"/>
        <w:rPr>
          <w:rFonts w:ascii="Times New Roman" w:hAnsi="Times New Roman" w:cs="Times New Roman"/>
          <w:b/>
          <w:sz w:val="24"/>
          <w:szCs w:val="24"/>
        </w:rPr>
      </w:pPr>
      <w:r w:rsidRPr="00AE4EE4">
        <w:rPr>
          <w:rFonts w:ascii="Times New Roman" w:hAnsi="Times New Roman" w:cs="Times New Roman"/>
          <w:b/>
          <w:sz w:val="24"/>
          <w:szCs w:val="24"/>
        </w:rPr>
        <w:t>Estructura y contenido de la obra:</w:t>
      </w:r>
    </w:p>
    <w:p w:rsidR="005D0BC5" w:rsidRPr="00AE4EE4" w:rsidRDefault="005D0BC5" w:rsidP="005D0BC5">
      <w:pPr>
        <w:spacing w:line="240" w:lineRule="auto"/>
        <w:ind w:firstLine="708"/>
        <w:jc w:val="both"/>
        <w:rPr>
          <w:rFonts w:ascii="Times New Roman" w:hAnsi="Times New Roman" w:cs="Times New Roman"/>
          <w:sz w:val="24"/>
          <w:szCs w:val="24"/>
        </w:rPr>
      </w:pPr>
      <w:r w:rsidRPr="00AE4EE4">
        <w:rPr>
          <w:rFonts w:ascii="Times New Roman" w:hAnsi="Times New Roman" w:cs="Times New Roman"/>
          <w:sz w:val="24"/>
          <w:szCs w:val="24"/>
        </w:rPr>
        <w:t xml:space="preserve">El libro cuenta con una introducción, diez capítulos y una pequeña conclusión. Se trabaja la categoría Pueblo de Dios desde la historia de la tradición viva de la Iglesia y su crítica; la perspectiva histórica es fundamental para </w:t>
      </w:r>
      <w:proofErr w:type="spellStart"/>
      <w:r w:rsidRPr="00AE4EE4">
        <w:rPr>
          <w:rFonts w:ascii="Times New Roman" w:hAnsi="Times New Roman" w:cs="Times New Roman"/>
          <w:sz w:val="24"/>
          <w:szCs w:val="24"/>
        </w:rPr>
        <w:t>Comblin</w:t>
      </w:r>
      <w:proofErr w:type="spellEnd"/>
      <w:r w:rsidRPr="00AE4EE4">
        <w:rPr>
          <w:rFonts w:ascii="Times New Roman" w:hAnsi="Times New Roman" w:cs="Times New Roman"/>
          <w:sz w:val="24"/>
          <w:szCs w:val="24"/>
        </w:rPr>
        <w:t xml:space="preserve">. “Lo importante es practicar el </w:t>
      </w:r>
      <w:r w:rsidRPr="00AE4EE4">
        <w:rPr>
          <w:rFonts w:ascii="Times New Roman" w:hAnsi="Times New Roman" w:cs="Times New Roman"/>
          <w:sz w:val="24"/>
          <w:szCs w:val="24"/>
        </w:rPr>
        <w:lastRenderedPageBreak/>
        <w:t>discernimiento. A partir de los ejemplos de aciertos y de errores del pasado es que podemos orientarnos con más seguridad rumbo al futuro”.</w:t>
      </w:r>
      <w:r w:rsidRPr="00AE4EE4">
        <w:rPr>
          <w:rStyle w:val="Refdenotaalpie"/>
          <w:szCs w:val="24"/>
        </w:rPr>
        <w:footnoteReference w:id="8"/>
      </w:r>
      <w:r w:rsidRPr="00AE4EE4">
        <w:rPr>
          <w:rFonts w:ascii="Times New Roman" w:hAnsi="Times New Roman" w:cs="Times New Roman"/>
          <w:sz w:val="24"/>
          <w:szCs w:val="24"/>
        </w:rPr>
        <w:t xml:space="preserve"> </w:t>
      </w:r>
    </w:p>
    <w:p w:rsidR="005D0BC5" w:rsidRPr="007218CA" w:rsidRDefault="005D0BC5" w:rsidP="005D0BC5">
      <w:pPr>
        <w:spacing w:line="240" w:lineRule="auto"/>
        <w:jc w:val="both"/>
        <w:rPr>
          <w:rFonts w:ascii="Times New Roman" w:hAnsi="Times New Roman"/>
        </w:rPr>
      </w:pPr>
      <w:r w:rsidRPr="00AE4EE4">
        <w:rPr>
          <w:rFonts w:ascii="Times New Roman" w:hAnsi="Times New Roman" w:cs="Times New Roman"/>
          <w:sz w:val="24"/>
          <w:szCs w:val="24"/>
        </w:rPr>
        <w:t>En el primer capítulo analiza la noción “Pueblo de Dios”</w:t>
      </w:r>
      <w:r w:rsidRPr="00AE4EE4">
        <w:rPr>
          <w:rStyle w:val="Refdenotaalpie"/>
          <w:szCs w:val="24"/>
        </w:rPr>
        <w:footnoteReference w:id="9"/>
      </w:r>
      <w:r w:rsidRPr="00AE4EE4">
        <w:rPr>
          <w:rFonts w:ascii="Times New Roman" w:hAnsi="Times New Roman" w:cs="Times New Roman"/>
          <w:sz w:val="24"/>
          <w:szCs w:val="24"/>
        </w:rPr>
        <w:t xml:space="preserve"> en el Concilio Vaticano II y rescata desde aquí la realidad humana de la Iglesia, la realidad ecuménica del PD y la promoción del laicado. En los capítulos 2, 3 y 4 trabaja diacrónicamente la noción PD en la Iglesia universal, en América Latina y el giro que se produce con el Sínodo extraordinario de 1985.</w:t>
      </w:r>
      <w:r w:rsidRPr="007218CA">
        <w:rPr>
          <w:rFonts w:ascii="Times New Roman" w:hAnsi="Times New Roman"/>
        </w:rPr>
        <w:t xml:space="preserve"> </w:t>
      </w:r>
      <w:r w:rsidRPr="009D7F0C">
        <w:rPr>
          <w:rFonts w:ascii="Times New Roman" w:hAnsi="Times New Roman"/>
          <w:sz w:val="24"/>
          <w:szCs w:val="24"/>
        </w:rPr>
        <w:t xml:space="preserve">En toda esta parte </w:t>
      </w:r>
      <w:proofErr w:type="spellStart"/>
      <w:r w:rsidRPr="009D7F0C">
        <w:rPr>
          <w:rFonts w:ascii="Times New Roman" w:hAnsi="Times New Roman"/>
          <w:sz w:val="24"/>
          <w:szCs w:val="24"/>
        </w:rPr>
        <w:t>Comblin</w:t>
      </w:r>
      <w:proofErr w:type="spellEnd"/>
      <w:r w:rsidRPr="009D7F0C">
        <w:rPr>
          <w:rFonts w:ascii="Times New Roman" w:hAnsi="Times New Roman"/>
          <w:sz w:val="24"/>
          <w:szCs w:val="24"/>
        </w:rPr>
        <w:t xml:space="preserve"> sostiene y va demostrando cómo la noción </w:t>
      </w:r>
      <w:r w:rsidRPr="009D7F0C">
        <w:rPr>
          <w:rFonts w:ascii="Times New Roman" w:hAnsi="Times New Roman"/>
          <w:i/>
          <w:sz w:val="24"/>
          <w:szCs w:val="24"/>
        </w:rPr>
        <w:t xml:space="preserve">pueblo </w:t>
      </w:r>
      <w:r w:rsidRPr="009D7F0C">
        <w:rPr>
          <w:rFonts w:ascii="Times New Roman" w:hAnsi="Times New Roman"/>
          <w:sz w:val="24"/>
          <w:szCs w:val="24"/>
        </w:rPr>
        <w:t>es una contribución judeo-cristiana a la humanidad y no al revés.</w:t>
      </w:r>
      <w:r>
        <w:rPr>
          <w:rFonts w:ascii="Times New Roman" w:hAnsi="Times New Roman"/>
        </w:rPr>
        <w:t xml:space="preserve"> </w:t>
      </w:r>
      <w:r w:rsidRPr="00AE4EE4">
        <w:rPr>
          <w:rFonts w:ascii="Times New Roman" w:hAnsi="Times New Roman" w:cs="Times New Roman"/>
          <w:sz w:val="24"/>
          <w:szCs w:val="24"/>
        </w:rPr>
        <w:t xml:space="preserve"> En los capítulos 5, 6 y 7 analiza el contenido que el tema PD trae a la Iglesia, para lo cual trabaja la “Iglesia como pueblo”, el “pueblo como sujeto” y “la iglesia de los pobres”. En los capítulos 8 y 9 se detiene a trabajar la interrelación con los pueblos del mundo, ya sea lo que la Iglesia recibe de los diferentes pueblos como lo que ella da al mundo y su actuar como pueblo de Dios. Por último en el capítulo 10 analiza “el pueblo de Dios y la institución”. Aquí trabaja la necesidad de la participación del PD en </w:t>
      </w:r>
      <w:r>
        <w:rPr>
          <w:rFonts w:ascii="Times New Roman" w:hAnsi="Times New Roman" w:cs="Times New Roman"/>
          <w:sz w:val="24"/>
          <w:szCs w:val="24"/>
        </w:rPr>
        <w:t xml:space="preserve">la liturgia, en </w:t>
      </w:r>
      <w:r w:rsidRPr="00AE4EE4">
        <w:rPr>
          <w:rFonts w:ascii="Times New Roman" w:hAnsi="Times New Roman" w:cs="Times New Roman"/>
          <w:sz w:val="24"/>
          <w:szCs w:val="24"/>
        </w:rPr>
        <w:t>el magisterio y gobierno de la Iglesia, así como la relación clero y laicado.</w:t>
      </w:r>
    </w:p>
    <w:p w:rsidR="005D0BC5" w:rsidRPr="00AE4EE4" w:rsidRDefault="005D0BC5" w:rsidP="005D0BC5">
      <w:pPr>
        <w:pStyle w:val="Prrafodelista"/>
        <w:numPr>
          <w:ilvl w:val="0"/>
          <w:numId w:val="1"/>
        </w:numPr>
        <w:spacing w:line="240" w:lineRule="auto"/>
        <w:jc w:val="both"/>
        <w:rPr>
          <w:rFonts w:ascii="Times New Roman" w:hAnsi="Times New Roman" w:cs="Times New Roman"/>
          <w:b/>
          <w:i/>
          <w:sz w:val="24"/>
          <w:szCs w:val="24"/>
        </w:rPr>
      </w:pPr>
      <w:r w:rsidRPr="00AE4EE4">
        <w:rPr>
          <w:rFonts w:ascii="Times New Roman" w:hAnsi="Times New Roman" w:cs="Times New Roman"/>
          <w:b/>
          <w:i/>
          <w:sz w:val="24"/>
          <w:szCs w:val="24"/>
        </w:rPr>
        <w:t>Algunos aportes más significativos de ambas obras</w:t>
      </w:r>
    </w:p>
    <w:p w:rsidR="005D0BC5" w:rsidRPr="00AE4EE4" w:rsidRDefault="005D0BC5" w:rsidP="005D0BC5">
      <w:pPr>
        <w:spacing w:line="240" w:lineRule="auto"/>
        <w:ind w:firstLine="360"/>
        <w:jc w:val="both"/>
        <w:rPr>
          <w:rFonts w:ascii="Times New Roman" w:hAnsi="Times New Roman" w:cs="Times New Roman"/>
          <w:sz w:val="24"/>
          <w:szCs w:val="24"/>
        </w:rPr>
      </w:pPr>
      <w:r w:rsidRPr="00AE4EE4">
        <w:rPr>
          <w:rFonts w:ascii="Times New Roman" w:hAnsi="Times New Roman" w:cs="Times New Roman"/>
          <w:sz w:val="24"/>
          <w:szCs w:val="24"/>
        </w:rPr>
        <w:t xml:space="preserve">Los dos autores hacen muchos y diversos aportes desde ambas obras, aquí solo se privilegiarán  algunos de ellos que contribuyan a repensar la misión de la Iglesia desde los pobres y las mujeres. </w:t>
      </w:r>
    </w:p>
    <w:p w:rsidR="005D0BC5" w:rsidRPr="00AE4EE4" w:rsidRDefault="005D0BC5" w:rsidP="005D0BC5">
      <w:pPr>
        <w:spacing w:line="240" w:lineRule="auto"/>
        <w:jc w:val="both"/>
        <w:rPr>
          <w:rFonts w:ascii="Times New Roman" w:hAnsi="Times New Roman" w:cs="Times New Roman"/>
          <w:b/>
          <w:sz w:val="24"/>
          <w:szCs w:val="24"/>
        </w:rPr>
      </w:pPr>
      <w:r w:rsidRPr="00AE4EE4">
        <w:rPr>
          <w:rFonts w:ascii="Times New Roman" w:hAnsi="Times New Roman" w:cs="Times New Roman"/>
          <w:b/>
          <w:sz w:val="24"/>
          <w:szCs w:val="24"/>
        </w:rPr>
        <w:t>La Iglesia como realidad escatológica</w:t>
      </w:r>
    </w:p>
    <w:p w:rsidR="005D0BC5" w:rsidRPr="00AE4EE4" w:rsidRDefault="005D0BC5" w:rsidP="005D0BC5">
      <w:pPr>
        <w:spacing w:line="240" w:lineRule="auto"/>
        <w:ind w:firstLine="360"/>
        <w:jc w:val="both"/>
        <w:rPr>
          <w:rFonts w:ascii="Times New Roman" w:hAnsi="Times New Roman" w:cs="Times New Roman"/>
          <w:sz w:val="24"/>
          <w:szCs w:val="24"/>
        </w:rPr>
      </w:pPr>
      <w:r w:rsidRPr="00AE4EE4">
        <w:rPr>
          <w:rFonts w:ascii="Times New Roman" w:hAnsi="Times New Roman" w:cs="Times New Roman"/>
          <w:sz w:val="24"/>
          <w:szCs w:val="24"/>
        </w:rPr>
        <w:t xml:space="preserve">Las eclesiologías que elaboran </w:t>
      </w:r>
      <w:proofErr w:type="spellStart"/>
      <w:r w:rsidRPr="00AE4EE4">
        <w:rPr>
          <w:rFonts w:ascii="Times New Roman" w:hAnsi="Times New Roman" w:cs="Times New Roman"/>
          <w:sz w:val="24"/>
          <w:szCs w:val="24"/>
        </w:rPr>
        <w:t>Letty</w:t>
      </w:r>
      <w:proofErr w:type="spellEnd"/>
      <w:r w:rsidRPr="00AE4EE4">
        <w:rPr>
          <w:rFonts w:ascii="Times New Roman" w:hAnsi="Times New Roman" w:cs="Times New Roman"/>
          <w:sz w:val="24"/>
          <w:szCs w:val="24"/>
        </w:rPr>
        <w:t xml:space="preserve"> Russell como José </w:t>
      </w:r>
      <w:proofErr w:type="spellStart"/>
      <w:r w:rsidRPr="00AE4EE4">
        <w:rPr>
          <w:rFonts w:ascii="Times New Roman" w:hAnsi="Times New Roman" w:cs="Times New Roman"/>
          <w:sz w:val="24"/>
          <w:szCs w:val="24"/>
        </w:rPr>
        <w:t>Comblin</w:t>
      </w:r>
      <w:proofErr w:type="spellEnd"/>
      <w:r w:rsidRPr="00AE4EE4">
        <w:rPr>
          <w:rFonts w:ascii="Times New Roman" w:hAnsi="Times New Roman" w:cs="Times New Roman"/>
          <w:sz w:val="24"/>
          <w:szCs w:val="24"/>
        </w:rPr>
        <w:t xml:space="preserve"> pertenecen a las teologías contextuales críticas. Ambos experimentan una “disonancia cognitiva”, una contradicción entre la propuesta evangélica y cómo se la ha interpretado y vivido a través de los siglos.</w:t>
      </w:r>
    </w:p>
    <w:p w:rsidR="005D0BC5" w:rsidRPr="00AE4EE4" w:rsidRDefault="005D0BC5" w:rsidP="005D0BC5">
      <w:pPr>
        <w:spacing w:line="240" w:lineRule="auto"/>
        <w:ind w:firstLine="360"/>
        <w:jc w:val="both"/>
        <w:rPr>
          <w:rFonts w:ascii="Times New Roman" w:hAnsi="Times New Roman" w:cs="Times New Roman"/>
          <w:sz w:val="24"/>
          <w:szCs w:val="24"/>
        </w:rPr>
      </w:pPr>
      <w:r w:rsidRPr="00AE4EE4">
        <w:rPr>
          <w:rFonts w:ascii="Times New Roman" w:hAnsi="Times New Roman" w:cs="Times New Roman"/>
          <w:sz w:val="24"/>
          <w:szCs w:val="24"/>
        </w:rPr>
        <w:t xml:space="preserve">Russell </w:t>
      </w:r>
      <w:r>
        <w:rPr>
          <w:rFonts w:ascii="Times New Roman" w:hAnsi="Times New Roman" w:cs="Times New Roman"/>
          <w:sz w:val="24"/>
          <w:szCs w:val="24"/>
        </w:rPr>
        <w:t>piensa</w:t>
      </w:r>
      <w:r w:rsidRPr="00AE4EE4">
        <w:rPr>
          <w:rFonts w:ascii="Times New Roman" w:hAnsi="Times New Roman" w:cs="Times New Roman"/>
          <w:sz w:val="24"/>
          <w:szCs w:val="24"/>
        </w:rPr>
        <w:t xml:space="preserve"> en formas de ser Iglesia que afirmen la plena humanidad de todas las mujeres y los varones, reflexiona sobre qué tipo de Iglesia podría, de a</w:t>
      </w:r>
      <w:r>
        <w:rPr>
          <w:rFonts w:ascii="Times New Roman" w:hAnsi="Times New Roman" w:cs="Times New Roman"/>
          <w:sz w:val="24"/>
          <w:szCs w:val="24"/>
        </w:rPr>
        <w:t>lguna manera, convertirse en</w:t>
      </w:r>
      <w:r w:rsidRPr="00AE4EE4">
        <w:rPr>
          <w:rFonts w:ascii="Times New Roman" w:hAnsi="Times New Roman" w:cs="Times New Roman"/>
          <w:sz w:val="24"/>
          <w:szCs w:val="24"/>
        </w:rPr>
        <w:t xml:space="preserve"> “casa de libertad”. “Si esta casa de libertad pretende ser un signo de la casa escatológica de Dios, debe haber alguna descripción concreta que nos ayude a comprender cómo tendría que funcionar”.</w:t>
      </w:r>
      <w:r w:rsidRPr="00AE4EE4">
        <w:rPr>
          <w:rStyle w:val="Refdenotaalpie"/>
          <w:szCs w:val="24"/>
        </w:rPr>
        <w:footnoteReference w:id="10"/>
      </w:r>
      <w:r w:rsidRPr="00AE4EE4">
        <w:rPr>
          <w:rFonts w:ascii="Times New Roman" w:hAnsi="Times New Roman" w:cs="Times New Roman"/>
          <w:sz w:val="24"/>
          <w:szCs w:val="24"/>
        </w:rPr>
        <w:t xml:space="preserve"> Elige la metáfora de la “mesa” como principio crítico para repensar la tradición y la estructura de la Iglesia. </w:t>
      </w:r>
    </w:p>
    <w:p w:rsidR="005D0BC5" w:rsidRPr="00AE4EE4" w:rsidRDefault="005D0BC5" w:rsidP="005D0BC5">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L</w:t>
      </w:r>
      <w:r w:rsidRPr="00AE4EE4">
        <w:rPr>
          <w:rFonts w:ascii="Times New Roman" w:hAnsi="Times New Roman" w:cs="Times New Roman"/>
          <w:sz w:val="24"/>
          <w:szCs w:val="24"/>
        </w:rPr>
        <w:t>a mesa</w:t>
      </w:r>
      <w:r>
        <w:rPr>
          <w:rFonts w:ascii="Times New Roman" w:hAnsi="Times New Roman" w:cs="Times New Roman"/>
          <w:sz w:val="24"/>
          <w:szCs w:val="24"/>
        </w:rPr>
        <w:t xml:space="preserve"> es el principio crítico de la eclesiología feminista </w:t>
      </w:r>
      <w:r w:rsidRPr="00AE4EE4">
        <w:rPr>
          <w:rFonts w:ascii="Times New Roman" w:hAnsi="Times New Roman" w:cs="Times New Roman"/>
          <w:sz w:val="24"/>
          <w:szCs w:val="24"/>
        </w:rPr>
        <w:t xml:space="preserve">que utiliza Russell. </w:t>
      </w:r>
      <w:r>
        <w:rPr>
          <w:rFonts w:ascii="Times New Roman" w:hAnsi="Times New Roman" w:cs="Times New Roman"/>
          <w:sz w:val="24"/>
          <w:szCs w:val="24"/>
        </w:rPr>
        <w:t>Ella b</w:t>
      </w:r>
      <w:r w:rsidRPr="00AE4EE4">
        <w:rPr>
          <w:rFonts w:ascii="Times New Roman" w:hAnsi="Times New Roman" w:cs="Times New Roman"/>
          <w:sz w:val="24"/>
          <w:szCs w:val="24"/>
        </w:rPr>
        <w:t xml:space="preserve">usca las formas en las que Dios actúa para incluir a todas las personas excluidas por la sociedad y la religión, y las invita a reunirse alrededor de la mesa de la hospitalidad de Dios. El feminismo representa para </w:t>
      </w:r>
      <w:proofErr w:type="spellStart"/>
      <w:r w:rsidRPr="00AE4EE4">
        <w:rPr>
          <w:rFonts w:ascii="Times New Roman" w:hAnsi="Times New Roman" w:cs="Times New Roman"/>
          <w:sz w:val="24"/>
          <w:szCs w:val="24"/>
        </w:rPr>
        <w:t>Letty</w:t>
      </w:r>
      <w:proofErr w:type="spellEnd"/>
      <w:r w:rsidRPr="00AE4EE4">
        <w:rPr>
          <w:rFonts w:ascii="Times New Roman" w:hAnsi="Times New Roman" w:cs="Times New Roman"/>
          <w:sz w:val="24"/>
          <w:szCs w:val="24"/>
        </w:rPr>
        <w:t xml:space="preserve"> una búsqueda de liberación de todas las formas de deshumanización, por parte de quienes abogan por la plena integridad humana de la persona, para toda raza, clase social, sexo, orientación sexual, habilidad y edad. Para Russell “feminismo” es una palabra moderna, una ideología en el sentido de un conjunto de ideas utilizadas para originar un cambio social. “La coherencia en la vida de una iglesia, se </w:t>
      </w:r>
      <w:r w:rsidRPr="00AE4EE4">
        <w:rPr>
          <w:rFonts w:ascii="Times New Roman" w:hAnsi="Times New Roman" w:cs="Times New Roman"/>
          <w:sz w:val="24"/>
          <w:szCs w:val="24"/>
        </w:rPr>
        <w:lastRenderedPageBreak/>
        <w:t xml:space="preserve">mide en términos de su relación con quienes se encuentran en la periferia… La predicación de Jesús está siempre destinada a invitar a las personas que la sociedad rechaza, </w:t>
      </w:r>
      <w:r>
        <w:rPr>
          <w:rFonts w:ascii="Times New Roman" w:hAnsi="Times New Roman" w:cs="Times New Roman"/>
          <w:sz w:val="24"/>
          <w:szCs w:val="24"/>
        </w:rPr>
        <w:t>a quienes están en la periferia,</w:t>
      </w:r>
      <w:r w:rsidRPr="00AE4EE4">
        <w:rPr>
          <w:rFonts w:ascii="Times New Roman" w:hAnsi="Times New Roman" w:cs="Times New Roman"/>
          <w:sz w:val="24"/>
          <w:szCs w:val="24"/>
        </w:rPr>
        <w:t xml:space="preserve"> a compartir el banquete de la nueva casa de Dios (</w:t>
      </w:r>
      <w:proofErr w:type="spellStart"/>
      <w:r w:rsidRPr="00AE4EE4">
        <w:rPr>
          <w:rFonts w:ascii="Times New Roman" w:hAnsi="Times New Roman" w:cs="Times New Roman"/>
          <w:sz w:val="24"/>
          <w:szCs w:val="24"/>
        </w:rPr>
        <w:t>Lc</w:t>
      </w:r>
      <w:proofErr w:type="spellEnd"/>
      <w:r w:rsidRPr="00AE4EE4">
        <w:rPr>
          <w:rFonts w:ascii="Times New Roman" w:hAnsi="Times New Roman" w:cs="Times New Roman"/>
          <w:sz w:val="24"/>
          <w:szCs w:val="24"/>
        </w:rPr>
        <w:t xml:space="preserve"> 19,1-10)”.</w:t>
      </w:r>
      <w:r w:rsidRPr="00AE4EE4">
        <w:rPr>
          <w:rStyle w:val="Refdenotaalpie"/>
          <w:szCs w:val="24"/>
        </w:rPr>
        <w:footnoteReference w:id="11"/>
      </w:r>
    </w:p>
    <w:p w:rsidR="005D0BC5" w:rsidRPr="00AE4EE4" w:rsidRDefault="005D0BC5" w:rsidP="005D0BC5">
      <w:pPr>
        <w:spacing w:line="240" w:lineRule="auto"/>
        <w:ind w:firstLine="360"/>
        <w:jc w:val="both"/>
        <w:rPr>
          <w:rFonts w:ascii="Times New Roman" w:hAnsi="Times New Roman"/>
          <w:sz w:val="24"/>
          <w:szCs w:val="24"/>
        </w:rPr>
      </w:pPr>
      <w:r>
        <w:rPr>
          <w:rFonts w:ascii="Times New Roman" w:hAnsi="Times New Roman" w:cs="Times New Roman"/>
          <w:sz w:val="24"/>
          <w:szCs w:val="24"/>
        </w:rPr>
        <w:t xml:space="preserve">Por otro lado, </w:t>
      </w:r>
      <w:proofErr w:type="spellStart"/>
      <w:r w:rsidRPr="00AE4EE4">
        <w:rPr>
          <w:rFonts w:ascii="Times New Roman" w:hAnsi="Times New Roman" w:cs="Times New Roman"/>
          <w:sz w:val="24"/>
          <w:szCs w:val="24"/>
        </w:rPr>
        <w:t>Comblin</w:t>
      </w:r>
      <w:proofErr w:type="spellEnd"/>
      <w:r w:rsidRPr="00AE4EE4">
        <w:rPr>
          <w:rFonts w:ascii="Times New Roman" w:hAnsi="Times New Roman" w:cs="Times New Roman"/>
          <w:sz w:val="24"/>
          <w:szCs w:val="24"/>
        </w:rPr>
        <w:t xml:space="preserve"> repiensa y profundiza lo que el Concilio Vaticano nos enseñó acerca de la Iglesia- Pueblo de Dios</w:t>
      </w:r>
      <w:r w:rsidRPr="00AE4EE4">
        <w:rPr>
          <w:rFonts w:ascii="Times New Roman" w:hAnsi="Times New Roman"/>
          <w:sz w:val="24"/>
          <w:szCs w:val="24"/>
        </w:rPr>
        <w:t xml:space="preserve"> y muestra cómo en América Latina la teología del PD llega a su expresión máxima a través de la Iglesia de los pobres</w:t>
      </w:r>
      <w:r w:rsidRPr="00AE4EE4">
        <w:rPr>
          <w:rFonts w:ascii="Times New Roman" w:hAnsi="Times New Roman" w:cs="Times New Roman"/>
          <w:sz w:val="24"/>
          <w:szCs w:val="24"/>
        </w:rPr>
        <w:t xml:space="preserve">. </w:t>
      </w:r>
      <w:r w:rsidRPr="00AE4EE4">
        <w:rPr>
          <w:rFonts w:ascii="Times New Roman" w:hAnsi="Times New Roman"/>
          <w:sz w:val="24"/>
          <w:szCs w:val="24"/>
        </w:rPr>
        <w:t>El origen remoto del pueblo occidental está en el pueblo de Israel que nos presenta la Biblia. “Lo que tuvo fuerza histórica y lanzó en el mundo la historia del pueblo es la descripción de Israel que hace la Biblia. Desde el inicio Israel es realidad escatológica. Es pueblo de Dios, pero todavía no es. Es llamado a ser lo que es desde el inicio. Sabe que nunca será lo que es, salvo por una intervención final de Dios que lo llamo, como si Dios quisiese obligarlo a ir hasta los límites de sus posibilidades y al mismo tiempo reconociendo su incapacidad. El pueblo de Israel es esperanza y realidad escatológica siempre en camino”.</w:t>
      </w:r>
      <w:r w:rsidRPr="00AE4EE4">
        <w:rPr>
          <w:rStyle w:val="Refdenotaalpie"/>
          <w:szCs w:val="24"/>
        </w:rPr>
        <w:footnoteReference w:id="12"/>
      </w:r>
      <w:r w:rsidRPr="00AE4EE4">
        <w:rPr>
          <w:rFonts w:ascii="Times New Roman" w:hAnsi="Times New Roman"/>
          <w:sz w:val="24"/>
          <w:szCs w:val="24"/>
        </w:rPr>
        <w:t xml:space="preserve"> </w:t>
      </w:r>
    </w:p>
    <w:p w:rsidR="005D0BC5" w:rsidRDefault="005D0BC5" w:rsidP="005D0BC5">
      <w:pPr>
        <w:spacing w:line="240" w:lineRule="auto"/>
        <w:ind w:firstLine="360"/>
        <w:jc w:val="both"/>
        <w:rPr>
          <w:rFonts w:ascii="Times New Roman" w:hAnsi="Times New Roman" w:cs="Times New Roman"/>
          <w:sz w:val="24"/>
          <w:szCs w:val="24"/>
        </w:rPr>
      </w:pPr>
      <w:r>
        <w:rPr>
          <w:rFonts w:ascii="Times New Roman" w:hAnsi="Times New Roman"/>
          <w:sz w:val="24"/>
          <w:szCs w:val="24"/>
        </w:rPr>
        <w:t>La señal del PD</w:t>
      </w:r>
      <w:r w:rsidRPr="00AE4EE4">
        <w:rPr>
          <w:rFonts w:ascii="Times New Roman" w:hAnsi="Times New Roman"/>
          <w:sz w:val="24"/>
          <w:szCs w:val="24"/>
        </w:rPr>
        <w:t xml:space="preserve"> es que actúa para liberar, construir, aumentar y promover el pueblo. El PD nunca existió de forma pacífica, sosegada, libre de problemas. El pueblo es pueblo cuando decide asumir colectivamente su destino, emancipándose de cualquier poder superior. El </w:t>
      </w:r>
      <w:r>
        <w:rPr>
          <w:rFonts w:ascii="Times New Roman" w:hAnsi="Times New Roman"/>
          <w:sz w:val="24"/>
          <w:szCs w:val="24"/>
        </w:rPr>
        <w:t>PD</w:t>
      </w:r>
      <w:r w:rsidRPr="00AE4EE4">
        <w:rPr>
          <w:rFonts w:ascii="Times New Roman" w:hAnsi="Times New Roman"/>
          <w:sz w:val="24"/>
          <w:szCs w:val="24"/>
        </w:rPr>
        <w:t xml:space="preserve"> camina para su plena realización, camina en esta tierra para llegar más allá de sí mismo. Constantemente está en cambio y precisa preguntarse cuáles son las transformaciones que precisa hacer para ser fiel a su misión. </w:t>
      </w:r>
      <w:proofErr w:type="spellStart"/>
      <w:r w:rsidRPr="00AE4EE4">
        <w:rPr>
          <w:rFonts w:ascii="Times New Roman" w:hAnsi="Times New Roman"/>
          <w:sz w:val="24"/>
          <w:szCs w:val="24"/>
        </w:rPr>
        <w:t>Comblin</w:t>
      </w:r>
      <w:proofErr w:type="spellEnd"/>
      <w:r w:rsidRPr="00AE4EE4">
        <w:rPr>
          <w:rFonts w:ascii="Times New Roman" w:hAnsi="Times New Roman"/>
          <w:sz w:val="24"/>
          <w:szCs w:val="24"/>
        </w:rPr>
        <w:t xml:space="preserve"> termina esta obra preguntando </w:t>
      </w:r>
      <w:r w:rsidRPr="00AE4EE4">
        <w:rPr>
          <w:rFonts w:ascii="Times New Roman" w:hAnsi="Times New Roman" w:cs="Times New Roman"/>
          <w:sz w:val="24"/>
          <w:szCs w:val="24"/>
        </w:rPr>
        <w:t xml:space="preserve">¿Cuál es la estructura de Iglesia que favorecerá la liberación de los pueblos? </w:t>
      </w:r>
      <w:r>
        <w:rPr>
          <w:rFonts w:ascii="Times New Roman" w:hAnsi="Times New Roman" w:cs="Times New Roman"/>
          <w:sz w:val="24"/>
          <w:szCs w:val="24"/>
        </w:rPr>
        <w:t xml:space="preserve">En concreto él dice que el 80 % de la humanidad vive en el tercer mundo. Y el problema del tercer mundo es la liberación de los pobres. Se pregunta por la contribución de la Iglesia al mundo y por la estructura de Iglesia que va a favorecer más la liberación del tercer mundo. </w:t>
      </w:r>
      <w:r w:rsidRPr="00AE4EE4">
        <w:rPr>
          <w:rFonts w:ascii="Times New Roman" w:hAnsi="Times New Roman" w:cs="Times New Roman"/>
          <w:sz w:val="24"/>
          <w:szCs w:val="24"/>
        </w:rPr>
        <w:t>Alrededor de esta</w:t>
      </w:r>
      <w:r>
        <w:rPr>
          <w:rFonts w:ascii="Times New Roman" w:hAnsi="Times New Roman" w:cs="Times New Roman"/>
          <w:sz w:val="24"/>
          <w:szCs w:val="24"/>
        </w:rPr>
        <w:t xml:space="preserve"> pregunta</w:t>
      </w:r>
      <w:r w:rsidRPr="00AE4EE4">
        <w:rPr>
          <w:rFonts w:ascii="Times New Roman" w:hAnsi="Times New Roman" w:cs="Times New Roman"/>
          <w:sz w:val="24"/>
          <w:szCs w:val="24"/>
        </w:rPr>
        <w:t xml:space="preserve"> levanta varias preguntas</w:t>
      </w:r>
      <w:r>
        <w:rPr>
          <w:rFonts w:ascii="Times New Roman" w:hAnsi="Times New Roman" w:cs="Times New Roman"/>
          <w:sz w:val="24"/>
          <w:szCs w:val="24"/>
        </w:rPr>
        <w:t xml:space="preserve"> más</w:t>
      </w:r>
      <w:r w:rsidRPr="00AE4EE4">
        <w:rPr>
          <w:rFonts w:ascii="Times New Roman" w:hAnsi="Times New Roman" w:cs="Times New Roman"/>
          <w:sz w:val="24"/>
          <w:szCs w:val="24"/>
        </w:rPr>
        <w:t xml:space="preserve"> acerc</w:t>
      </w:r>
      <w:r>
        <w:rPr>
          <w:rFonts w:ascii="Times New Roman" w:hAnsi="Times New Roman" w:cs="Times New Roman"/>
          <w:sz w:val="24"/>
          <w:szCs w:val="24"/>
        </w:rPr>
        <w:t>a de la participación del PD</w:t>
      </w:r>
      <w:r w:rsidRPr="00AE4EE4">
        <w:rPr>
          <w:rFonts w:ascii="Times New Roman" w:hAnsi="Times New Roman" w:cs="Times New Roman"/>
          <w:sz w:val="24"/>
          <w:szCs w:val="24"/>
        </w:rPr>
        <w:t xml:space="preserve"> en la liturgia, en el magisterio y en el gobierno de la Iglesia.</w:t>
      </w:r>
      <w:r>
        <w:rPr>
          <w:rStyle w:val="Refdenotaalpie"/>
          <w:szCs w:val="24"/>
        </w:rPr>
        <w:footnoteReference w:id="13"/>
      </w:r>
      <w:r w:rsidRPr="00AE4EE4">
        <w:rPr>
          <w:rFonts w:ascii="Times New Roman" w:hAnsi="Times New Roman" w:cs="Times New Roman"/>
          <w:sz w:val="24"/>
          <w:szCs w:val="24"/>
        </w:rPr>
        <w:t xml:space="preserve"> </w:t>
      </w:r>
    </w:p>
    <w:p w:rsidR="005D0BC5" w:rsidRPr="00AE4EE4" w:rsidRDefault="005D0BC5" w:rsidP="005D0BC5">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Se podría decir que </w:t>
      </w:r>
      <w:proofErr w:type="spellStart"/>
      <w:r>
        <w:rPr>
          <w:rFonts w:ascii="Times New Roman" w:hAnsi="Times New Roman" w:cs="Times New Roman"/>
          <w:sz w:val="24"/>
          <w:szCs w:val="24"/>
        </w:rPr>
        <w:t>Letty</w:t>
      </w:r>
      <w:proofErr w:type="spellEnd"/>
      <w:r>
        <w:rPr>
          <w:rFonts w:ascii="Times New Roman" w:hAnsi="Times New Roman" w:cs="Times New Roman"/>
          <w:sz w:val="24"/>
          <w:szCs w:val="24"/>
        </w:rPr>
        <w:t xml:space="preserve"> Russell con la metáfora de la mesa redonda inclusiva y sus conclusiones teológicas respondería a esta pregunta de </w:t>
      </w:r>
      <w:proofErr w:type="spellStart"/>
      <w:r>
        <w:rPr>
          <w:rFonts w:ascii="Times New Roman" w:hAnsi="Times New Roman" w:cs="Times New Roman"/>
          <w:sz w:val="24"/>
          <w:szCs w:val="24"/>
        </w:rPr>
        <w:t>Comblin</w:t>
      </w:r>
      <w:proofErr w:type="spellEnd"/>
      <w:r>
        <w:rPr>
          <w:rFonts w:ascii="Times New Roman" w:hAnsi="Times New Roman" w:cs="Times New Roman"/>
          <w:sz w:val="24"/>
          <w:szCs w:val="24"/>
        </w:rPr>
        <w:t xml:space="preserve"> por la estructura eclesial que aportaría a la liberación. A su vez  la construcción de una Iglesia de los pobres con la participación del PD en la liturgia, magisterio y gobierno de la Iglesia que </w:t>
      </w:r>
      <w:proofErr w:type="spellStart"/>
      <w:r>
        <w:rPr>
          <w:rFonts w:ascii="Times New Roman" w:hAnsi="Times New Roman" w:cs="Times New Roman"/>
          <w:sz w:val="24"/>
          <w:szCs w:val="24"/>
        </w:rPr>
        <w:t>Comblin</w:t>
      </w:r>
      <w:proofErr w:type="spellEnd"/>
      <w:r>
        <w:rPr>
          <w:rFonts w:ascii="Times New Roman" w:hAnsi="Times New Roman" w:cs="Times New Roman"/>
          <w:sz w:val="24"/>
          <w:szCs w:val="24"/>
        </w:rPr>
        <w:t xml:space="preserve"> presenta, materializa desde la teología latinoamericana la metáfora de la “mesa de la cocina” y la “mesa de la bienvenida” donde se lucha y se comprometen las comunidades eclesiales y desde donde se da la bienvenida a todas y a todos, como iguales, en la casa-mundo de Dios. Y todo esto como realidad escatológica o sea como meta, como horizonte hacia el que “ya” se camina pero que “todavía” no se llega plenamente. “El movimiento de transformación de la Iglesia es parte del movimiento para la liberación total”.</w:t>
      </w:r>
      <w:r>
        <w:rPr>
          <w:rStyle w:val="Refdenotaalpie"/>
          <w:szCs w:val="24"/>
        </w:rPr>
        <w:footnoteReference w:id="14"/>
      </w:r>
    </w:p>
    <w:p w:rsidR="005D0BC5" w:rsidRDefault="005D0BC5" w:rsidP="005D0BC5">
      <w:pPr>
        <w:spacing w:line="240" w:lineRule="auto"/>
        <w:jc w:val="both"/>
        <w:rPr>
          <w:rFonts w:ascii="Times New Roman" w:hAnsi="Times New Roman" w:cs="Times New Roman"/>
          <w:b/>
          <w:sz w:val="24"/>
          <w:szCs w:val="24"/>
        </w:rPr>
      </w:pPr>
      <w:r w:rsidRPr="00AE4EE4">
        <w:rPr>
          <w:rFonts w:ascii="Times New Roman" w:hAnsi="Times New Roman" w:cs="Times New Roman"/>
          <w:b/>
          <w:sz w:val="24"/>
          <w:szCs w:val="24"/>
        </w:rPr>
        <w:t>Misión e Iglesia</w:t>
      </w:r>
    </w:p>
    <w:p w:rsidR="005D0BC5" w:rsidRDefault="005D0BC5" w:rsidP="005D0BC5">
      <w:pPr>
        <w:pStyle w:val="Textoindependiente"/>
        <w:ind w:firstLine="708"/>
        <w:rPr>
          <w:szCs w:val="24"/>
        </w:rPr>
      </w:pPr>
      <w:r>
        <w:rPr>
          <w:szCs w:val="24"/>
        </w:rPr>
        <w:t xml:space="preserve">Una de las cuestiones en las que he focalizado mi lectura por la investigación que estoy realizando ha sido cómo se aborda el tema de la misión desde una obra de </w:t>
      </w:r>
      <w:r>
        <w:rPr>
          <w:szCs w:val="24"/>
        </w:rPr>
        <w:lastRenderedPageBreak/>
        <w:t>eclesiología feminista de la liberación y desde una eclesiología de la liberación latinoamericana. Intentaré sintetizar los aportes de ambos autores.</w:t>
      </w:r>
    </w:p>
    <w:p w:rsidR="005D0BC5" w:rsidRPr="00062137" w:rsidRDefault="005D0BC5" w:rsidP="005D0BC5">
      <w:pPr>
        <w:pStyle w:val="Textoindependiente"/>
        <w:ind w:firstLine="708"/>
        <w:rPr>
          <w:rFonts w:eastAsia="Calibri"/>
          <w:szCs w:val="24"/>
        </w:rPr>
      </w:pPr>
      <w:r>
        <w:rPr>
          <w:szCs w:val="24"/>
        </w:rPr>
        <w:t xml:space="preserve">Russell recurre al cambio de paradigma en la misión que ha aportado el redescubrimiento de la </w:t>
      </w:r>
      <w:proofErr w:type="spellStart"/>
      <w:r>
        <w:rPr>
          <w:i/>
          <w:szCs w:val="24"/>
        </w:rPr>
        <w:t>missio</w:t>
      </w:r>
      <w:proofErr w:type="spellEnd"/>
      <w:r>
        <w:rPr>
          <w:i/>
          <w:szCs w:val="24"/>
        </w:rPr>
        <w:t xml:space="preserve"> Dei. </w:t>
      </w:r>
      <w:proofErr w:type="spellStart"/>
      <w:r w:rsidRPr="00062137">
        <w:rPr>
          <w:rFonts w:eastAsia="Calibri"/>
          <w:szCs w:val="24"/>
        </w:rPr>
        <w:t>Letty</w:t>
      </w:r>
      <w:proofErr w:type="spellEnd"/>
      <w:r w:rsidRPr="00062137">
        <w:rPr>
          <w:rFonts w:eastAsia="Calibri"/>
          <w:szCs w:val="24"/>
        </w:rPr>
        <w:t xml:space="preserve"> plantea que los cambios en la comprensión del significado de la misión están presentes en las raíces de los cambios en el paradigma teológico y eclesiológico. A su vez estos cambios se vienen desarrollando en la historia desde la Ilustración, cuando, por el impacto de las ciencias modernas, se reconoció la necesidad de nuevas teologías</w:t>
      </w:r>
      <w:r>
        <w:rPr>
          <w:szCs w:val="24"/>
        </w:rPr>
        <w:t xml:space="preserve"> como las teologías feminista y de la liberación</w:t>
      </w:r>
      <w:r w:rsidRPr="00062137">
        <w:rPr>
          <w:rFonts w:eastAsia="Calibri"/>
          <w:szCs w:val="24"/>
        </w:rPr>
        <w:t>.</w:t>
      </w:r>
    </w:p>
    <w:p w:rsidR="005D0BC5" w:rsidRPr="00062137" w:rsidRDefault="005D0BC5" w:rsidP="005D0BC5">
      <w:pPr>
        <w:spacing w:line="240" w:lineRule="auto"/>
        <w:jc w:val="both"/>
        <w:rPr>
          <w:rFonts w:ascii="Times New Roman" w:eastAsia="Calibri" w:hAnsi="Times New Roman" w:cs="Times New Roman"/>
          <w:sz w:val="24"/>
          <w:szCs w:val="24"/>
        </w:rPr>
      </w:pPr>
      <w:r w:rsidRPr="00062137">
        <w:rPr>
          <w:rFonts w:ascii="Times New Roman" w:eastAsia="Calibri" w:hAnsi="Times New Roman" w:cs="Times New Roman"/>
          <w:sz w:val="24"/>
          <w:szCs w:val="24"/>
        </w:rPr>
        <w:tab/>
        <w:t xml:space="preserve">Russell señala el aporte de Kart </w:t>
      </w:r>
      <w:proofErr w:type="spellStart"/>
      <w:r w:rsidRPr="00062137">
        <w:rPr>
          <w:rFonts w:ascii="Times New Roman" w:eastAsia="Calibri" w:hAnsi="Times New Roman" w:cs="Times New Roman"/>
          <w:sz w:val="24"/>
          <w:szCs w:val="24"/>
        </w:rPr>
        <w:t>Barth</w:t>
      </w:r>
      <w:proofErr w:type="spellEnd"/>
      <w:r w:rsidRPr="00062137">
        <w:rPr>
          <w:rFonts w:ascii="Times New Roman" w:eastAsia="Calibri" w:hAnsi="Times New Roman" w:cs="Times New Roman"/>
          <w:sz w:val="24"/>
          <w:szCs w:val="24"/>
        </w:rPr>
        <w:t xml:space="preserve"> (en 1932) con respecto a la naturaleza teocéntrica de la misión, “ampliamente olvidada en el desarrollo de los movimientos misioneros occidentales </w:t>
      </w:r>
      <w:r>
        <w:rPr>
          <w:rFonts w:ascii="Times New Roman" w:eastAsia="Calibri" w:hAnsi="Times New Roman" w:cs="Times New Roman"/>
          <w:sz w:val="24"/>
          <w:szCs w:val="24"/>
        </w:rPr>
        <w:t>(</w:t>
      </w:r>
      <w:r w:rsidRPr="00062137">
        <w:rPr>
          <w:rFonts w:ascii="Times New Roman" w:eastAsia="Calibri" w:hAnsi="Times New Roman" w:cs="Times New Roman"/>
          <w:sz w:val="24"/>
          <w:szCs w:val="24"/>
        </w:rPr>
        <w:t>…</w:t>
      </w:r>
      <w:r>
        <w:rPr>
          <w:rFonts w:ascii="Times New Roman" w:eastAsia="Calibri" w:hAnsi="Times New Roman" w:cs="Times New Roman"/>
          <w:sz w:val="24"/>
          <w:szCs w:val="24"/>
        </w:rPr>
        <w:t>)</w:t>
      </w:r>
      <w:r w:rsidRPr="00062137">
        <w:rPr>
          <w:rFonts w:ascii="Times New Roman" w:eastAsia="Calibri" w:hAnsi="Times New Roman" w:cs="Times New Roman"/>
          <w:sz w:val="24"/>
          <w:szCs w:val="24"/>
        </w:rPr>
        <w:t xml:space="preserve"> hasta la crisis de la Segunda Guerra</w:t>
      </w:r>
      <w:r>
        <w:rPr>
          <w:rFonts w:ascii="Times New Roman" w:eastAsia="Calibri" w:hAnsi="Times New Roman" w:cs="Times New Roman"/>
          <w:sz w:val="24"/>
          <w:szCs w:val="24"/>
        </w:rPr>
        <w:t xml:space="preserve"> Mundial”</w:t>
      </w:r>
      <w:r w:rsidRPr="00062137">
        <w:rPr>
          <w:rFonts w:ascii="Times New Roman" w:eastAsia="Calibri" w:hAnsi="Times New Roman" w:cs="Times New Roman"/>
          <w:sz w:val="24"/>
          <w:szCs w:val="24"/>
        </w:rPr>
        <w:t>.</w:t>
      </w:r>
      <w:r>
        <w:rPr>
          <w:rStyle w:val="Refdenotaalpie"/>
          <w:rFonts w:eastAsia="Calibri"/>
          <w:szCs w:val="24"/>
        </w:rPr>
        <w:footnoteReference w:id="15"/>
      </w:r>
      <w:r w:rsidRPr="00062137">
        <w:rPr>
          <w:rFonts w:ascii="Times New Roman" w:eastAsia="Calibri" w:hAnsi="Times New Roman" w:cs="Times New Roman"/>
          <w:sz w:val="24"/>
          <w:szCs w:val="24"/>
        </w:rPr>
        <w:t xml:space="preserve"> “La Iglesia no tiene una misión sino que participa en la Misión de Dios</w:t>
      </w:r>
      <w:r>
        <w:rPr>
          <w:rStyle w:val="Refdenotaalpie"/>
          <w:rFonts w:eastAsia="Calibri"/>
          <w:szCs w:val="24"/>
        </w:rPr>
        <w:footnoteReference w:id="16"/>
      </w:r>
      <w:r w:rsidRPr="00062137">
        <w:rPr>
          <w:rFonts w:ascii="Times New Roman" w:eastAsia="Calibri" w:hAnsi="Times New Roman" w:cs="Times New Roman"/>
          <w:sz w:val="24"/>
          <w:szCs w:val="24"/>
        </w:rPr>
        <w:t xml:space="preserve"> de redimir a la humanidad y </w:t>
      </w:r>
      <w:r>
        <w:rPr>
          <w:rFonts w:ascii="Times New Roman" w:eastAsia="Calibri" w:hAnsi="Times New Roman" w:cs="Times New Roman"/>
          <w:sz w:val="24"/>
          <w:szCs w:val="24"/>
        </w:rPr>
        <w:t>restaurar toda la creación”</w:t>
      </w:r>
      <w:r w:rsidRPr="00062137">
        <w:rPr>
          <w:rFonts w:ascii="Times New Roman" w:eastAsia="Calibri" w:hAnsi="Times New Roman" w:cs="Times New Roman"/>
          <w:sz w:val="24"/>
          <w:szCs w:val="24"/>
        </w:rPr>
        <w:t>.</w:t>
      </w:r>
      <w:r>
        <w:rPr>
          <w:rStyle w:val="Refdenotaalpie"/>
          <w:rFonts w:eastAsia="Calibri"/>
          <w:szCs w:val="24"/>
        </w:rPr>
        <w:footnoteReference w:id="17"/>
      </w:r>
      <w:r w:rsidRPr="00062137">
        <w:rPr>
          <w:rFonts w:ascii="Times New Roman" w:eastAsia="Calibri" w:hAnsi="Times New Roman" w:cs="Times New Roman"/>
          <w:sz w:val="24"/>
          <w:szCs w:val="24"/>
        </w:rPr>
        <w:t xml:space="preserve"> Hay un cambio en el modo de pensar la relación “Dios-Iglesia-</w:t>
      </w:r>
      <w:r>
        <w:rPr>
          <w:rFonts w:ascii="Times New Roman" w:eastAsia="Calibri" w:hAnsi="Times New Roman" w:cs="Times New Roman"/>
          <w:sz w:val="24"/>
          <w:szCs w:val="24"/>
        </w:rPr>
        <w:t xml:space="preserve">mundo” sustituyéndola por “Dios-mundo-Iglesia”. </w:t>
      </w:r>
    </w:p>
    <w:p w:rsidR="005D0BC5" w:rsidRDefault="005D0BC5" w:rsidP="005D0BC5">
      <w:pPr>
        <w:spacing w:line="240" w:lineRule="auto"/>
        <w:jc w:val="both"/>
        <w:rPr>
          <w:rFonts w:ascii="Times New Roman" w:eastAsia="Calibri" w:hAnsi="Times New Roman" w:cs="Times New Roman"/>
          <w:sz w:val="24"/>
          <w:szCs w:val="24"/>
        </w:rPr>
      </w:pPr>
      <w:r w:rsidRPr="00062137">
        <w:rPr>
          <w:rFonts w:ascii="Times New Roman" w:eastAsia="Calibri" w:hAnsi="Times New Roman" w:cs="Times New Roman"/>
          <w:sz w:val="24"/>
          <w:szCs w:val="24"/>
        </w:rPr>
        <w:tab/>
      </w:r>
      <w:proofErr w:type="spellStart"/>
      <w:r>
        <w:rPr>
          <w:rFonts w:ascii="Times New Roman" w:eastAsia="Calibri" w:hAnsi="Times New Roman" w:cs="Times New Roman"/>
          <w:sz w:val="24"/>
          <w:szCs w:val="24"/>
        </w:rPr>
        <w:t>Letty</w:t>
      </w:r>
      <w:proofErr w:type="spellEnd"/>
      <w:r>
        <w:rPr>
          <w:rFonts w:ascii="Times New Roman" w:eastAsia="Calibri" w:hAnsi="Times New Roman" w:cs="Times New Roman"/>
          <w:sz w:val="24"/>
          <w:szCs w:val="24"/>
        </w:rPr>
        <w:t xml:space="preserve"> afirma por un lado lo difícil que es encontrar una </w:t>
      </w:r>
      <w:proofErr w:type="spellStart"/>
      <w:r>
        <w:rPr>
          <w:rFonts w:ascii="Times New Roman" w:eastAsia="Calibri" w:hAnsi="Times New Roman" w:cs="Times New Roman"/>
          <w:sz w:val="24"/>
          <w:szCs w:val="24"/>
        </w:rPr>
        <w:t>misionología</w:t>
      </w:r>
      <w:proofErr w:type="spellEnd"/>
      <w:r>
        <w:rPr>
          <w:rFonts w:ascii="Times New Roman" w:eastAsia="Calibri" w:hAnsi="Times New Roman" w:cs="Times New Roman"/>
          <w:sz w:val="24"/>
          <w:szCs w:val="24"/>
        </w:rPr>
        <w:t xml:space="preserve"> feminista y por otro lado que hoy es imprescindible incluir la categoría de género y un análisis poscolonial si se quiere una interpretación alternativa de la misión en un mundo multicultural ya que hay una conexión tradicional entre la práctica misionera, el colonialismo y las estructuras patriarcales.</w:t>
      </w:r>
      <w:r>
        <w:rPr>
          <w:rStyle w:val="Refdenotaalpie"/>
          <w:rFonts w:eastAsia="Calibri"/>
          <w:szCs w:val="24"/>
        </w:rPr>
        <w:footnoteReference w:id="18"/>
      </w:r>
    </w:p>
    <w:p w:rsidR="005D0BC5" w:rsidRDefault="005D0BC5" w:rsidP="005D0BC5">
      <w:pPr>
        <w:spacing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rPr>
        <w:t xml:space="preserve"> Junto a otras teólogas africanas y asiáticas desarrollará una comprensión de la Misión de Dios como acogida para todas y todos y en cada lugar. Para lo cual trabaja el valor de las diferencias (culturales, étnicas, religiosas, de orientación sexual, etc.) y la consideración de estas como liberadoras. Previene acerca de la </w:t>
      </w:r>
      <w:proofErr w:type="spellStart"/>
      <w:r>
        <w:rPr>
          <w:rFonts w:ascii="Times New Roman" w:eastAsia="Calibri" w:hAnsi="Times New Roman" w:cs="Times New Roman"/>
          <w:sz w:val="24"/>
          <w:szCs w:val="24"/>
        </w:rPr>
        <w:t>esencialización</w:t>
      </w:r>
      <w:proofErr w:type="spellEnd"/>
      <w:r>
        <w:rPr>
          <w:rFonts w:ascii="Times New Roman" w:eastAsia="Calibri" w:hAnsi="Times New Roman" w:cs="Times New Roman"/>
          <w:sz w:val="24"/>
          <w:szCs w:val="24"/>
        </w:rPr>
        <w:t xml:space="preserve"> de las diferencias pues ésta puede ser un arma de dominación.</w:t>
      </w:r>
      <w:r w:rsidRPr="00787DAD">
        <w:rPr>
          <w:rFonts w:ascii="Times New Roman" w:hAnsi="Times New Roman" w:cs="Times New Roman"/>
          <w:sz w:val="24"/>
          <w:szCs w:val="24"/>
        </w:rPr>
        <w:t xml:space="preserve"> </w:t>
      </w:r>
      <w:r>
        <w:rPr>
          <w:rFonts w:ascii="Times New Roman" w:hAnsi="Times New Roman" w:cs="Times New Roman"/>
          <w:sz w:val="24"/>
          <w:szCs w:val="24"/>
        </w:rPr>
        <w:t>L</w:t>
      </w:r>
      <w:r w:rsidRPr="00787DAD">
        <w:rPr>
          <w:rFonts w:ascii="Times New Roman" w:hAnsi="Times New Roman" w:cs="Times New Roman"/>
          <w:sz w:val="24"/>
          <w:szCs w:val="24"/>
        </w:rPr>
        <w:t xml:space="preserve">lama a resistir el uso de ideologías y </w:t>
      </w:r>
      <w:r>
        <w:rPr>
          <w:rFonts w:ascii="Times New Roman" w:hAnsi="Times New Roman" w:cs="Times New Roman"/>
          <w:sz w:val="24"/>
          <w:szCs w:val="24"/>
        </w:rPr>
        <w:t xml:space="preserve">las </w:t>
      </w:r>
      <w:r w:rsidRPr="00787DAD">
        <w:rPr>
          <w:rFonts w:ascii="Times New Roman" w:hAnsi="Times New Roman" w:cs="Times New Roman"/>
          <w:sz w:val="24"/>
          <w:szCs w:val="24"/>
        </w:rPr>
        <w:t xml:space="preserve">políticas de la diferencia que destruyen a los seres humanos y sus culturas por declararlos como “otros” y no enteramente humanos de acuerdo al estándar del grupo dominante. </w:t>
      </w:r>
      <w:proofErr w:type="spellStart"/>
      <w:r>
        <w:rPr>
          <w:rFonts w:ascii="Times New Roman" w:hAnsi="Times New Roman" w:cs="Times New Roman"/>
          <w:sz w:val="24"/>
          <w:szCs w:val="24"/>
        </w:rPr>
        <w:t>Letty</w:t>
      </w:r>
      <w:proofErr w:type="spellEnd"/>
      <w:r>
        <w:rPr>
          <w:rFonts w:ascii="Times New Roman" w:hAnsi="Times New Roman" w:cs="Times New Roman"/>
          <w:sz w:val="24"/>
          <w:szCs w:val="24"/>
        </w:rPr>
        <w:t xml:space="preserve"> se basa en la experiencia que ella misma y otras mujeres están facilitando entre organizaciones ecuménicas y teológicas de mujeres negras, blancas, indígenas y de diferentes continentes.</w:t>
      </w:r>
    </w:p>
    <w:p w:rsidR="005D0BC5" w:rsidRDefault="005D0BC5" w:rsidP="005D0BC5">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Russell propone l</w:t>
      </w:r>
      <w:r w:rsidRPr="006E1DBD">
        <w:rPr>
          <w:rFonts w:ascii="Times New Roman" w:hAnsi="Times New Roman" w:cs="Times New Roman"/>
          <w:sz w:val="24"/>
          <w:szCs w:val="24"/>
        </w:rPr>
        <w:t xml:space="preserve">a comprensión de las diferencias como un regalo de Dios </w:t>
      </w:r>
      <w:r>
        <w:rPr>
          <w:rFonts w:ascii="Times New Roman" w:hAnsi="Times New Roman" w:cs="Times New Roman"/>
          <w:sz w:val="24"/>
          <w:szCs w:val="24"/>
        </w:rPr>
        <w:t>que</w:t>
      </w:r>
      <w:r w:rsidRPr="006E1DBD">
        <w:rPr>
          <w:rFonts w:ascii="Times New Roman" w:hAnsi="Times New Roman" w:cs="Times New Roman"/>
          <w:sz w:val="24"/>
          <w:szCs w:val="24"/>
        </w:rPr>
        <w:t xml:space="preserve"> puede</w:t>
      </w:r>
      <w:r>
        <w:rPr>
          <w:rFonts w:ascii="Times New Roman" w:hAnsi="Times New Roman" w:cs="Times New Roman"/>
          <w:sz w:val="24"/>
          <w:szCs w:val="24"/>
        </w:rPr>
        <w:t xml:space="preserve"> ayudar a buscar </w:t>
      </w:r>
      <w:r w:rsidRPr="006E1DBD">
        <w:rPr>
          <w:rFonts w:ascii="Times New Roman" w:hAnsi="Times New Roman" w:cs="Times New Roman"/>
          <w:sz w:val="24"/>
          <w:szCs w:val="24"/>
        </w:rPr>
        <w:t xml:space="preserve">caminos </w:t>
      </w:r>
      <w:r>
        <w:rPr>
          <w:rFonts w:ascii="Times New Roman" w:hAnsi="Times New Roman" w:cs="Times New Roman"/>
          <w:sz w:val="24"/>
          <w:szCs w:val="24"/>
        </w:rPr>
        <w:t xml:space="preserve">de emancipación. Para esto sugiere tres claves desde una </w:t>
      </w:r>
      <w:proofErr w:type="spellStart"/>
      <w:r>
        <w:rPr>
          <w:rFonts w:ascii="Times New Roman" w:hAnsi="Times New Roman" w:cs="Times New Roman"/>
          <w:sz w:val="24"/>
          <w:szCs w:val="24"/>
        </w:rPr>
        <w:t>misionología</w:t>
      </w:r>
      <w:proofErr w:type="spellEnd"/>
      <w:r>
        <w:rPr>
          <w:rFonts w:ascii="Times New Roman" w:hAnsi="Times New Roman" w:cs="Times New Roman"/>
          <w:sz w:val="24"/>
          <w:szCs w:val="24"/>
        </w:rPr>
        <w:t xml:space="preserve"> feminista: resistir a la </w:t>
      </w:r>
      <w:proofErr w:type="spellStart"/>
      <w:r>
        <w:rPr>
          <w:rFonts w:ascii="Times New Roman" w:hAnsi="Times New Roman" w:cs="Times New Roman"/>
          <w:sz w:val="24"/>
          <w:szCs w:val="24"/>
        </w:rPr>
        <w:t>esencialización</w:t>
      </w:r>
      <w:proofErr w:type="spellEnd"/>
      <w:r>
        <w:rPr>
          <w:rFonts w:ascii="Times New Roman" w:hAnsi="Times New Roman" w:cs="Times New Roman"/>
          <w:sz w:val="24"/>
          <w:szCs w:val="24"/>
        </w:rPr>
        <w:t xml:space="preserve"> de las diferencias, construir diferencias relacionales o sea no eliminar las diferencias sino favorecer la comunicación a través de las diferencias y hacer esto en forma de coalición o sea a través del desarrollo de redes que </w:t>
      </w:r>
      <w:r>
        <w:rPr>
          <w:rFonts w:ascii="Times New Roman" w:hAnsi="Times New Roman" w:cs="Times New Roman"/>
          <w:sz w:val="24"/>
          <w:szCs w:val="24"/>
        </w:rPr>
        <w:lastRenderedPageBreak/>
        <w:t>puedan sostener grupos en sus luchas y proveer oportunidades para relaciones con y entre sujetos poscoloniales.</w:t>
      </w:r>
      <w:r>
        <w:rPr>
          <w:rStyle w:val="Refdenotaalpie"/>
          <w:szCs w:val="24"/>
        </w:rPr>
        <w:footnoteReference w:id="19"/>
      </w:r>
      <w:r>
        <w:rPr>
          <w:rFonts w:ascii="Times New Roman" w:hAnsi="Times New Roman" w:cs="Times New Roman"/>
          <w:sz w:val="24"/>
          <w:szCs w:val="24"/>
        </w:rPr>
        <w:t xml:space="preserve"> </w:t>
      </w:r>
    </w:p>
    <w:p w:rsidR="005D0BC5" w:rsidRDefault="005D0BC5" w:rsidP="005D0BC5">
      <w:pPr>
        <w:pStyle w:val="Textoindependiente"/>
        <w:ind w:firstLine="708"/>
        <w:rPr>
          <w:szCs w:val="24"/>
        </w:rPr>
      </w:pPr>
      <w:r>
        <w:rPr>
          <w:szCs w:val="24"/>
        </w:rPr>
        <w:t xml:space="preserve">Para </w:t>
      </w:r>
      <w:proofErr w:type="spellStart"/>
      <w:r>
        <w:rPr>
          <w:szCs w:val="24"/>
        </w:rPr>
        <w:t>Comblin</w:t>
      </w:r>
      <w:proofErr w:type="spellEnd"/>
      <w:r>
        <w:rPr>
          <w:szCs w:val="24"/>
        </w:rPr>
        <w:t>, l</w:t>
      </w:r>
      <w:r w:rsidRPr="0040437D">
        <w:rPr>
          <w:szCs w:val="24"/>
        </w:rPr>
        <w:t xml:space="preserve">a misión es </w:t>
      </w:r>
      <w:r>
        <w:rPr>
          <w:szCs w:val="24"/>
        </w:rPr>
        <w:t>“</w:t>
      </w:r>
      <w:r w:rsidRPr="0040437D">
        <w:rPr>
          <w:szCs w:val="24"/>
        </w:rPr>
        <w:t>el modo de ser humano de la Iglesia, su manera de estar en la historia humana</w:t>
      </w:r>
      <w:r>
        <w:rPr>
          <w:szCs w:val="24"/>
        </w:rPr>
        <w:t>”</w:t>
      </w:r>
      <w:r w:rsidRPr="0040437D">
        <w:rPr>
          <w:szCs w:val="24"/>
        </w:rPr>
        <w:t>.</w:t>
      </w:r>
      <w:r>
        <w:rPr>
          <w:rStyle w:val="Refdenotaalpie"/>
          <w:szCs w:val="24"/>
        </w:rPr>
        <w:footnoteReference w:id="20"/>
      </w:r>
      <w:r w:rsidRPr="005902F9">
        <w:rPr>
          <w:szCs w:val="24"/>
        </w:rPr>
        <w:t xml:space="preserve"> Al adoptar el concepto de pueblo de Dios, el Concilio hizo de la misión la propia razón de ser de la Iglesia, su gran novedad en relación al antiguo Israel. De esa manera renovó la teología de la misión dándole su significado más amplio que había perdido a través de los siglos.</w:t>
      </w:r>
      <w:r w:rsidRPr="004D4557">
        <w:rPr>
          <w:szCs w:val="24"/>
        </w:rPr>
        <w:t xml:space="preserve"> </w:t>
      </w:r>
      <w:r w:rsidRPr="005902F9">
        <w:rPr>
          <w:szCs w:val="24"/>
        </w:rPr>
        <w:t>La antigua teología de la sociedad perfecta daba una visión estática de la Iglesia, sin relación con el mundo de los pueblos y con la historia, como entidad aislada y solitaria en el universo. La adhesión a la Iglesia</w:t>
      </w:r>
      <w:r>
        <w:rPr>
          <w:szCs w:val="24"/>
        </w:rPr>
        <w:t xml:space="preserve"> parecía suponer la ruptura con</w:t>
      </w:r>
      <w:r w:rsidRPr="005902F9">
        <w:rPr>
          <w:szCs w:val="24"/>
        </w:rPr>
        <w:t xml:space="preserve"> el dinamismo del mundo y con la evolución de la humanidad. </w:t>
      </w:r>
    </w:p>
    <w:p w:rsidR="005D0BC5" w:rsidRDefault="005D0BC5" w:rsidP="005D0BC5">
      <w:pPr>
        <w:pStyle w:val="Textoindependiente"/>
        <w:ind w:firstLine="708"/>
        <w:rPr>
          <w:szCs w:val="24"/>
        </w:rPr>
      </w:pPr>
    </w:p>
    <w:p w:rsidR="005D0BC5" w:rsidRDefault="005D0BC5" w:rsidP="005D0BC5">
      <w:pPr>
        <w:pStyle w:val="Textoindependiente"/>
        <w:ind w:firstLine="708"/>
      </w:pPr>
      <w:r w:rsidRPr="005902F9">
        <w:rPr>
          <w:szCs w:val="24"/>
        </w:rPr>
        <w:t xml:space="preserve"> Antes, la misión era vivida como realidad marginal, que se desarrollaba al lado de la vida de la Iglesia. Ahora</w:t>
      </w:r>
      <w:r>
        <w:rPr>
          <w:szCs w:val="24"/>
        </w:rPr>
        <w:t>,</w:t>
      </w:r>
      <w:r w:rsidRPr="005902F9">
        <w:rPr>
          <w:szCs w:val="24"/>
        </w:rPr>
        <w:t xml:space="preserve"> la misión a las naciones del mundo aparece como el movimiento histórico que define el modo de ser de la Iglesia.</w:t>
      </w:r>
      <w:r>
        <w:rPr>
          <w:szCs w:val="24"/>
        </w:rPr>
        <w:t xml:space="preserve"> </w:t>
      </w:r>
      <w:r>
        <w:t>Por la misión, la teología del pueblo de Dios hace de la Iglesia una entidad presente en medio de los pueblos de la tierra, en movimiento, en expansión continúa por la interacción con todos los pueblos de la tierra.</w:t>
      </w:r>
      <w:r w:rsidRPr="00DF0ACA">
        <w:t xml:space="preserve"> </w:t>
      </w:r>
      <w:r>
        <w:t xml:space="preserve">Esta es su realidad humana, manera misionera de existir en medio de los dramas de todos los pueblos. Su vocación consiste en ser fermento nuevo, fermento de libertad y de amor. </w:t>
      </w:r>
    </w:p>
    <w:p w:rsidR="005D0BC5" w:rsidRDefault="005D0BC5" w:rsidP="005D0BC5">
      <w:pPr>
        <w:pStyle w:val="Textoindependiente"/>
        <w:ind w:firstLine="708"/>
      </w:pPr>
    </w:p>
    <w:p w:rsidR="005D0BC5" w:rsidRDefault="005D0BC5" w:rsidP="005D0BC5">
      <w:pPr>
        <w:pStyle w:val="Textoindependiente"/>
        <w:ind w:firstLine="708"/>
        <w:rPr>
          <w:szCs w:val="24"/>
        </w:rPr>
      </w:pPr>
      <w:r w:rsidRPr="00BF4759">
        <w:rPr>
          <w:szCs w:val="24"/>
        </w:rPr>
        <w:t>Una cuestión muy importante</w:t>
      </w:r>
      <w:r>
        <w:rPr>
          <w:szCs w:val="24"/>
        </w:rPr>
        <w:t xml:space="preserve"> para la teología de la misión que tiene como fundamento el reino de Dios </w:t>
      </w:r>
      <w:r w:rsidRPr="00BF4759">
        <w:rPr>
          <w:szCs w:val="24"/>
        </w:rPr>
        <w:t>es el valor humano de la mi</w:t>
      </w:r>
      <w:r>
        <w:rPr>
          <w:szCs w:val="24"/>
        </w:rPr>
        <w:t>sión para la vida y la historia.</w:t>
      </w:r>
      <w:r w:rsidRPr="00BF4759">
        <w:rPr>
          <w:szCs w:val="24"/>
        </w:rPr>
        <w:t xml:space="preserve"> Según </w:t>
      </w:r>
      <w:proofErr w:type="spellStart"/>
      <w:r w:rsidRPr="00BF4759">
        <w:rPr>
          <w:szCs w:val="24"/>
        </w:rPr>
        <w:t>Comblin</w:t>
      </w:r>
      <w:proofErr w:type="spellEnd"/>
      <w:r w:rsidRPr="00BF4759">
        <w:rPr>
          <w:szCs w:val="24"/>
        </w:rPr>
        <w:t xml:space="preserve"> se estudia la presencia de la Iglesia en el mundo sin cuest</w:t>
      </w:r>
      <w:r>
        <w:rPr>
          <w:szCs w:val="24"/>
        </w:rPr>
        <w:t>ionar esa presencia fundamental</w:t>
      </w:r>
      <w:r w:rsidRPr="00BF4759">
        <w:rPr>
          <w:szCs w:val="24"/>
        </w:rPr>
        <w:t xml:space="preserve"> que es la misión. </w:t>
      </w:r>
      <w:r>
        <w:rPr>
          <w:szCs w:val="24"/>
        </w:rPr>
        <w:t>Algunas preguntas que el autor plantea:</w:t>
      </w:r>
      <w:r w:rsidRPr="00BF4759">
        <w:rPr>
          <w:szCs w:val="24"/>
        </w:rPr>
        <w:t xml:space="preserve"> </w:t>
      </w:r>
    </w:p>
    <w:p w:rsidR="005D0BC5" w:rsidRDefault="005D0BC5" w:rsidP="005D0BC5">
      <w:pPr>
        <w:pStyle w:val="Textoindependiente"/>
        <w:ind w:firstLine="708"/>
        <w:rPr>
          <w:szCs w:val="24"/>
        </w:rPr>
      </w:pPr>
    </w:p>
    <w:p w:rsidR="005D0BC5" w:rsidRPr="00571D21" w:rsidRDefault="005D0BC5" w:rsidP="005D0BC5">
      <w:pPr>
        <w:pStyle w:val="Textoindependiente"/>
        <w:ind w:firstLine="708"/>
        <w:rPr>
          <w:sz w:val="20"/>
        </w:rPr>
      </w:pPr>
      <w:r w:rsidRPr="00571D21">
        <w:rPr>
          <w:sz w:val="20"/>
        </w:rPr>
        <w:t>“¿Cómo apreciar estos bienes que la Iglesia da al mundo en el conjunto del mundo? ¿Son realmente fundamentales? ¿Son interesantes para la sociedad actual? ¿La Iglesia trajo también históricamente ciertos males? ¿Los bienes que resultan de la presencia activa de la Iglesia justifican la misión, si esta misión encierra graves problemas? ¿Estos bienes a la sociedad son algo marginal a su misión? ¿El compromiso con el mundo vale hasta qué punto para la Iglesia?”</w:t>
      </w:r>
      <w:r w:rsidRPr="00571D21">
        <w:rPr>
          <w:rStyle w:val="Refdenotaalpie"/>
          <w:sz w:val="20"/>
        </w:rPr>
        <w:footnoteReference w:id="21"/>
      </w:r>
    </w:p>
    <w:p w:rsidR="005D0BC5" w:rsidRPr="00AA787E" w:rsidRDefault="005D0BC5" w:rsidP="005D0BC5">
      <w:pPr>
        <w:pStyle w:val="Textoindependiente"/>
        <w:ind w:firstLine="708"/>
      </w:pPr>
    </w:p>
    <w:p w:rsidR="005D0BC5" w:rsidRDefault="005D0BC5" w:rsidP="005D0BC5">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Siguiendo la línea teológica de Jon Sobrino y </w:t>
      </w:r>
      <w:proofErr w:type="spellStart"/>
      <w:r>
        <w:rPr>
          <w:rFonts w:ascii="Times New Roman" w:hAnsi="Times New Roman" w:cs="Times New Roman"/>
          <w:sz w:val="24"/>
          <w:szCs w:val="24"/>
        </w:rPr>
        <w:t>Ellacuría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Comblin</w:t>
      </w:r>
      <w:proofErr w:type="spellEnd"/>
      <w:r>
        <w:rPr>
          <w:rFonts w:ascii="Times New Roman" w:hAnsi="Times New Roman" w:cs="Times New Roman"/>
          <w:sz w:val="24"/>
          <w:szCs w:val="24"/>
        </w:rPr>
        <w:t xml:space="preserve"> plantea que la Iglesia debe encarnarse en las luchas populares. </w:t>
      </w:r>
    </w:p>
    <w:p w:rsidR="005D0BC5" w:rsidRPr="00571D21" w:rsidRDefault="005D0BC5" w:rsidP="005D0BC5">
      <w:pPr>
        <w:spacing w:line="240" w:lineRule="auto"/>
        <w:ind w:firstLine="708"/>
        <w:jc w:val="both"/>
        <w:rPr>
          <w:rFonts w:ascii="Times New Roman" w:hAnsi="Times New Roman" w:cs="Times New Roman"/>
          <w:sz w:val="20"/>
          <w:szCs w:val="20"/>
        </w:rPr>
      </w:pPr>
      <w:r w:rsidRPr="00571D21">
        <w:rPr>
          <w:rFonts w:ascii="Times New Roman" w:hAnsi="Times New Roman" w:cs="Times New Roman"/>
          <w:sz w:val="20"/>
          <w:szCs w:val="20"/>
        </w:rPr>
        <w:t>“</w:t>
      </w:r>
      <w:r w:rsidRPr="00571D21">
        <w:rPr>
          <w:rFonts w:ascii="Times New Roman" w:hAnsi="Times New Roman"/>
          <w:sz w:val="20"/>
          <w:szCs w:val="20"/>
        </w:rPr>
        <w:t>Las masas populares están abandonadas, sin empleo, sin servicios públicos y sobretodo sin futuro. Lo peor para un pueblo es perder la esperanza, porque lo que lo constituye como pueblo es la esperanza. Sin esperanza un pueblo se desintegra, cae en la anarquía y la violencia</w:t>
      </w:r>
      <w:r w:rsidRPr="00571D21">
        <w:rPr>
          <w:rFonts w:ascii="Times New Roman" w:hAnsi="Times New Roman" w:cs="Times New Roman"/>
          <w:sz w:val="20"/>
          <w:szCs w:val="20"/>
        </w:rPr>
        <w:t xml:space="preserve">… </w:t>
      </w:r>
      <w:r w:rsidRPr="00571D21">
        <w:rPr>
          <w:rFonts w:ascii="Times New Roman" w:hAnsi="Times New Roman"/>
          <w:sz w:val="20"/>
          <w:szCs w:val="20"/>
        </w:rPr>
        <w:t>El sistema actual logró desmovilizar, dispersar al pueblo, darle mala conciencia, como si el pueblo fuese el enemigo de la nación, del progreso, del desarrollo y de la economía. La desintegración del pueblo se realiza en el mayor silencio. Si crece la violencia se piensa que eso se soluciona con más y mejor policía. Mientras tanto la Iglesia debería permanecer atenta para alentar el renacimiento del pueblo”.</w:t>
      </w:r>
      <w:r w:rsidRPr="00571D21">
        <w:rPr>
          <w:rStyle w:val="Refdenotaalpie"/>
          <w:sz w:val="20"/>
        </w:rPr>
        <w:footnoteReference w:id="22"/>
      </w:r>
    </w:p>
    <w:p w:rsidR="005D0BC5" w:rsidRDefault="005D0BC5" w:rsidP="005D0BC5">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571D21">
        <w:rPr>
          <w:rFonts w:ascii="Times New Roman" w:hAnsi="Times New Roman" w:cs="Times New Roman"/>
          <w:sz w:val="24"/>
          <w:szCs w:val="24"/>
        </w:rPr>
        <w:t xml:space="preserve">Desde la Iglesia de los pobres </w:t>
      </w:r>
      <w:proofErr w:type="spellStart"/>
      <w:r w:rsidRPr="00571D21">
        <w:rPr>
          <w:rFonts w:ascii="Times New Roman" w:hAnsi="Times New Roman" w:cs="Times New Roman"/>
          <w:sz w:val="24"/>
          <w:szCs w:val="24"/>
        </w:rPr>
        <w:t>Comblin</w:t>
      </w:r>
      <w:proofErr w:type="spellEnd"/>
      <w:r w:rsidRPr="00571D21">
        <w:rPr>
          <w:rFonts w:ascii="Times New Roman" w:hAnsi="Times New Roman" w:cs="Times New Roman"/>
          <w:sz w:val="24"/>
          <w:szCs w:val="24"/>
        </w:rPr>
        <w:t xml:space="preserve"> entiende la evangelización como un “despertar para la libertad”, ayudar a cada persona a vivir como ciudadanos o sea a pensar por sí mismos</w:t>
      </w:r>
      <w:r>
        <w:rPr>
          <w:rFonts w:ascii="Times New Roman" w:hAnsi="Times New Roman" w:cs="Times New Roman"/>
          <w:sz w:val="24"/>
          <w:szCs w:val="24"/>
        </w:rPr>
        <w:t xml:space="preserve"> y a expresar sus convicciones:</w:t>
      </w:r>
    </w:p>
    <w:p w:rsidR="005D0BC5" w:rsidRDefault="005D0BC5" w:rsidP="005D0BC5">
      <w:pPr>
        <w:spacing w:line="240" w:lineRule="auto"/>
        <w:ind w:firstLine="708"/>
        <w:jc w:val="both"/>
        <w:rPr>
          <w:rFonts w:ascii="Times New Roman" w:hAnsi="Times New Roman"/>
          <w:sz w:val="20"/>
          <w:szCs w:val="20"/>
        </w:rPr>
      </w:pPr>
      <w:r w:rsidRPr="00571D21">
        <w:rPr>
          <w:rFonts w:ascii="Times New Roman" w:hAnsi="Times New Roman" w:cs="Times New Roman"/>
          <w:sz w:val="24"/>
          <w:szCs w:val="24"/>
        </w:rPr>
        <w:t xml:space="preserve"> </w:t>
      </w:r>
      <w:r w:rsidRPr="00571D21">
        <w:rPr>
          <w:rFonts w:ascii="Times New Roman" w:hAnsi="Times New Roman" w:cs="Times New Roman"/>
          <w:sz w:val="20"/>
          <w:szCs w:val="20"/>
        </w:rPr>
        <w:t>“</w:t>
      </w:r>
      <w:r w:rsidRPr="00571D21">
        <w:rPr>
          <w:rFonts w:ascii="Times New Roman" w:hAnsi="Times New Roman"/>
          <w:sz w:val="20"/>
          <w:szCs w:val="20"/>
        </w:rPr>
        <w:t>El evangelio cristiano, como anuncio de la buena noticia, consiste justamente en despertar la conciencia de los derechos en aquellos que no saben que tienen derechos. A partir de esta conciencia de los propios derechos, se vuelven ciudadanos dignos. Se sienten hijos de Dios, dignos de respeto. El evangelio cristiano, como anuncio de la buena noticia, consiste justamente en despertar la conciencia de los derechos en aquellos que no saben que tienen derechos. A partir de esta conciencia de los propios derechos, se vuelven ciudadanos dignos. Se sienten hijos de Dios, dignos de respeto”.</w:t>
      </w:r>
      <w:r>
        <w:rPr>
          <w:rStyle w:val="Refdenotaalpie"/>
          <w:sz w:val="20"/>
        </w:rPr>
        <w:footnoteReference w:id="23"/>
      </w:r>
    </w:p>
    <w:p w:rsidR="005D0BC5" w:rsidRDefault="005D0BC5" w:rsidP="005D0BC5">
      <w:pPr>
        <w:spacing w:line="240" w:lineRule="auto"/>
        <w:ind w:firstLine="709"/>
        <w:jc w:val="both"/>
        <w:rPr>
          <w:rFonts w:ascii="Times New Roman" w:hAnsi="Times New Roman"/>
          <w:sz w:val="24"/>
          <w:szCs w:val="24"/>
        </w:rPr>
      </w:pPr>
      <w:r>
        <w:rPr>
          <w:rFonts w:ascii="Times New Roman" w:hAnsi="Times New Roman"/>
          <w:sz w:val="24"/>
          <w:szCs w:val="24"/>
        </w:rPr>
        <w:t xml:space="preserve">En los aportes de Russell y </w:t>
      </w:r>
      <w:proofErr w:type="spellStart"/>
      <w:r>
        <w:rPr>
          <w:rFonts w:ascii="Times New Roman" w:hAnsi="Times New Roman"/>
          <w:sz w:val="24"/>
          <w:szCs w:val="24"/>
        </w:rPr>
        <w:t>Comblin</w:t>
      </w:r>
      <w:proofErr w:type="spellEnd"/>
      <w:r>
        <w:rPr>
          <w:rFonts w:ascii="Times New Roman" w:hAnsi="Times New Roman"/>
          <w:sz w:val="24"/>
          <w:szCs w:val="24"/>
        </w:rPr>
        <w:t xml:space="preserve">  pueden verse expresados dos de los tres modelos de misión que aportaron para la renovación misionera del siglo XX y que preparan para la </w:t>
      </w:r>
      <w:proofErr w:type="spellStart"/>
      <w:r>
        <w:rPr>
          <w:rFonts w:ascii="Times New Roman" w:hAnsi="Times New Roman"/>
          <w:sz w:val="24"/>
          <w:szCs w:val="24"/>
        </w:rPr>
        <w:t>misionología</w:t>
      </w:r>
      <w:proofErr w:type="spellEnd"/>
      <w:r>
        <w:rPr>
          <w:rFonts w:ascii="Times New Roman" w:hAnsi="Times New Roman"/>
          <w:sz w:val="24"/>
          <w:szCs w:val="24"/>
        </w:rPr>
        <w:t xml:space="preserve"> del siglo XXI.</w:t>
      </w:r>
      <w:r>
        <w:rPr>
          <w:rStyle w:val="Refdenotaalpie"/>
          <w:szCs w:val="24"/>
        </w:rPr>
        <w:footnoteReference w:id="24"/>
      </w:r>
      <w:r>
        <w:rPr>
          <w:rFonts w:ascii="Times New Roman" w:hAnsi="Times New Roman"/>
          <w:sz w:val="24"/>
          <w:szCs w:val="24"/>
        </w:rPr>
        <w:t xml:space="preserve"> Me estoy refiriendo a la misión como participación de la </w:t>
      </w:r>
      <w:proofErr w:type="spellStart"/>
      <w:r>
        <w:rPr>
          <w:rFonts w:ascii="Times New Roman" w:hAnsi="Times New Roman"/>
          <w:i/>
          <w:sz w:val="24"/>
          <w:szCs w:val="24"/>
        </w:rPr>
        <w:t>missio</w:t>
      </w:r>
      <w:proofErr w:type="spellEnd"/>
      <w:r>
        <w:rPr>
          <w:rFonts w:ascii="Times New Roman" w:hAnsi="Times New Roman"/>
          <w:i/>
          <w:sz w:val="24"/>
          <w:szCs w:val="24"/>
        </w:rPr>
        <w:t xml:space="preserve"> Dei </w:t>
      </w:r>
      <w:r>
        <w:rPr>
          <w:rFonts w:ascii="Times New Roman" w:hAnsi="Times New Roman"/>
          <w:sz w:val="24"/>
          <w:szCs w:val="24"/>
        </w:rPr>
        <w:t xml:space="preserve">(muy fuerte en las teologías protestantes pero también presente en AG) y a la misión como participación en la misión de Jesús al servicio del reino de Dios (expresado en la exhortación apostólica EN de Pablo VI y enfatizado por la teología de la liberación latinoamericana). Ambos modelos de misión pueden considerarse como raíces teológicas para una nueva </w:t>
      </w:r>
      <w:proofErr w:type="spellStart"/>
      <w:r>
        <w:rPr>
          <w:rFonts w:ascii="Times New Roman" w:hAnsi="Times New Roman"/>
          <w:sz w:val="24"/>
          <w:szCs w:val="24"/>
        </w:rPr>
        <w:t>misionología</w:t>
      </w:r>
      <w:proofErr w:type="spellEnd"/>
      <w:r>
        <w:rPr>
          <w:rFonts w:ascii="Times New Roman" w:hAnsi="Times New Roman"/>
          <w:sz w:val="24"/>
          <w:szCs w:val="24"/>
        </w:rPr>
        <w:t xml:space="preserve"> que los integre y recree al servicio de un mundo globalizado, multicultural y </w:t>
      </w:r>
      <w:proofErr w:type="spellStart"/>
      <w:r>
        <w:rPr>
          <w:rFonts w:ascii="Times New Roman" w:hAnsi="Times New Roman"/>
          <w:sz w:val="24"/>
          <w:szCs w:val="24"/>
        </w:rPr>
        <w:t>pluriétnico</w:t>
      </w:r>
      <w:proofErr w:type="spellEnd"/>
      <w:r>
        <w:rPr>
          <w:rFonts w:ascii="Times New Roman" w:hAnsi="Times New Roman"/>
          <w:sz w:val="24"/>
          <w:szCs w:val="24"/>
        </w:rPr>
        <w:t>, con grandes fracturas provocadas por desigualdades sociales, políticas, económicas y de género: una misión como “diálogo profético”</w:t>
      </w:r>
      <w:r>
        <w:rPr>
          <w:rStyle w:val="Refdenotaalpie"/>
          <w:szCs w:val="24"/>
        </w:rPr>
        <w:footnoteReference w:id="25"/>
      </w:r>
      <w:r>
        <w:rPr>
          <w:rFonts w:ascii="Times New Roman" w:hAnsi="Times New Roman"/>
          <w:sz w:val="24"/>
          <w:szCs w:val="24"/>
        </w:rPr>
        <w:t xml:space="preserve"> o como “tender puentes”.</w:t>
      </w:r>
      <w:r>
        <w:rPr>
          <w:rStyle w:val="Refdenotaalpie"/>
          <w:szCs w:val="24"/>
        </w:rPr>
        <w:footnoteReference w:id="26"/>
      </w:r>
      <w:r>
        <w:rPr>
          <w:rFonts w:ascii="Times New Roman" w:hAnsi="Times New Roman"/>
          <w:sz w:val="24"/>
          <w:szCs w:val="24"/>
        </w:rPr>
        <w:t xml:space="preserve"> </w:t>
      </w:r>
    </w:p>
    <w:p w:rsidR="005D0BC5" w:rsidRPr="00531F3D" w:rsidRDefault="005D0BC5" w:rsidP="005D0BC5">
      <w:pPr>
        <w:spacing w:line="240" w:lineRule="auto"/>
        <w:jc w:val="both"/>
        <w:rPr>
          <w:rFonts w:ascii="Times New Roman" w:hAnsi="Times New Roman" w:cs="Times New Roman"/>
          <w:b/>
          <w:sz w:val="24"/>
          <w:szCs w:val="24"/>
        </w:rPr>
      </w:pPr>
      <w:r w:rsidRPr="00531F3D">
        <w:rPr>
          <w:rFonts w:ascii="Times New Roman" w:hAnsi="Times New Roman" w:cs="Times New Roman"/>
          <w:b/>
          <w:sz w:val="24"/>
          <w:szCs w:val="24"/>
        </w:rPr>
        <w:t>¿Comunidad inclusiva o ambigüedad de la comunión?</w:t>
      </w:r>
    </w:p>
    <w:p w:rsidR="005D0BC5" w:rsidRDefault="005D0BC5" w:rsidP="005D0BC5">
      <w:pPr>
        <w:spacing w:line="240" w:lineRule="auto"/>
        <w:jc w:val="both"/>
        <w:rPr>
          <w:rFonts w:ascii="Times New Roman" w:hAnsi="Times New Roman"/>
        </w:rPr>
      </w:pPr>
      <w:r>
        <w:rPr>
          <w:rFonts w:ascii="Times New Roman" w:hAnsi="Times New Roman"/>
          <w:sz w:val="24"/>
          <w:szCs w:val="24"/>
        </w:rPr>
        <w:tab/>
        <w:t xml:space="preserve">Nadie puede dudar que la noción </w:t>
      </w:r>
      <w:r w:rsidRPr="00CA6190">
        <w:rPr>
          <w:rFonts w:ascii="Times New Roman" w:hAnsi="Times New Roman"/>
          <w:i/>
          <w:sz w:val="24"/>
          <w:szCs w:val="24"/>
        </w:rPr>
        <w:t>comunión</w:t>
      </w:r>
      <w:r>
        <w:rPr>
          <w:rFonts w:ascii="Times New Roman" w:hAnsi="Times New Roman"/>
          <w:sz w:val="24"/>
          <w:szCs w:val="24"/>
        </w:rPr>
        <w:t xml:space="preserve"> sea fundamental en la eclesiología y que ocupe un lugar importante en el Concilio Vaticano II. Sin embargo, como ya se ha dicho anteriormente, José </w:t>
      </w:r>
      <w:proofErr w:type="spellStart"/>
      <w:r>
        <w:rPr>
          <w:rFonts w:ascii="Times New Roman" w:hAnsi="Times New Roman"/>
          <w:sz w:val="24"/>
          <w:szCs w:val="24"/>
        </w:rPr>
        <w:t>Comblin</w:t>
      </w:r>
      <w:proofErr w:type="spellEnd"/>
      <w:r>
        <w:rPr>
          <w:rFonts w:ascii="Times New Roman" w:hAnsi="Times New Roman"/>
          <w:sz w:val="24"/>
          <w:szCs w:val="24"/>
        </w:rPr>
        <w:t xml:space="preserve"> sostiene que la sustitución del tema PD por el de comunión como centro de la eclesiología significó el cambio radical en la orientación de la Iglesia Católica a partir del Sínodo extraordinario de 1985.</w:t>
      </w:r>
      <w:r w:rsidRPr="00700DE8">
        <w:rPr>
          <w:rFonts w:ascii="Times New Roman" w:hAnsi="Times New Roman"/>
        </w:rPr>
        <w:t xml:space="preserve"> </w:t>
      </w:r>
      <w:r w:rsidRPr="003A5535">
        <w:rPr>
          <w:rFonts w:ascii="Times New Roman" w:hAnsi="Times New Roman"/>
        </w:rPr>
        <w:t xml:space="preserve">El concepto </w:t>
      </w:r>
      <w:r>
        <w:rPr>
          <w:rFonts w:ascii="Times New Roman" w:hAnsi="Times New Roman"/>
        </w:rPr>
        <w:t>PD</w:t>
      </w:r>
      <w:r w:rsidRPr="003A5535">
        <w:rPr>
          <w:rFonts w:ascii="Times New Roman" w:hAnsi="Times New Roman"/>
        </w:rPr>
        <w:t xml:space="preserve"> ofrecía un fundamento para las iniciativa</w:t>
      </w:r>
      <w:r>
        <w:rPr>
          <w:rFonts w:ascii="Times New Roman" w:hAnsi="Times New Roman"/>
        </w:rPr>
        <w:t>s</w:t>
      </w:r>
      <w:r w:rsidRPr="003A5535">
        <w:rPr>
          <w:rFonts w:ascii="Times New Roman" w:hAnsi="Times New Roman"/>
        </w:rPr>
        <w:t xml:space="preserve"> de los laicos, las diversidades de las opciones pastorales, el compromiso temporal de acuerdo a los países y continentes o sea</w:t>
      </w:r>
      <w:r>
        <w:rPr>
          <w:rFonts w:ascii="Times New Roman" w:hAnsi="Times New Roman"/>
        </w:rPr>
        <w:t>,</w:t>
      </w:r>
      <w:r w:rsidRPr="003A5535">
        <w:rPr>
          <w:rFonts w:ascii="Times New Roman" w:hAnsi="Times New Roman"/>
        </w:rPr>
        <w:t xml:space="preserve"> fomentaba la descentralización del poder en la Iglesia.</w:t>
      </w:r>
      <w:r>
        <w:rPr>
          <w:rFonts w:ascii="Times New Roman" w:hAnsi="Times New Roman"/>
        </w:rPr>
        <w:t xml:space="preserve"> La teología latinoamericana y todo el “episcopado profético”</w:t>
      </w:r>
      <w:r>
        <w:rPr>
          <w:rStyle w:val="Refdenotaalpie"/>
        </w:rPr>
        <w:footnoteReference w:id="27"/>
      </w:r>
      <w:r>
        <w:rPr>
          <w:rFonts w:ascii="Times New Roman" w:hAnsi="Times New Roman"/>
        </w:rPr>
        <w:t xml:space="preserve"> en América Latina estaban convencidos de que para la Iglesia la pobreza y la opción por los pobres no son puramente problemas éticos sino que pertenecen a la esencia de la Iglesia porque son cualidades del pueblo de Dios.</w:t>
      </w:r>
    </w:p>
    <w:p w:rsidR="005D0BC5" w:rsidRDefault="005D0BC5" w:rsidP="005D0BC5">
      <w:pPr>
        <w:spacing w:line="240" w:lineRule="auto"/>
        <w:jc w:val="both"/>
        <w:rPr>
          <w:rFonts w:ascii="Times New Roman" w:hAnsi="Times New Roman"/>
        </w:rPr>
      </w:pPr>
      <w:r>
        <w:rPr>
          <w:rFonts w:ascii="Times New Roman" w:hAnsi="Times New Roman"/>
        </w:rPr>
        <w:lastRenderedPageBreak/>
        <w:tab/>
      </w:r>
      <w:proofErr w:type="spellStart"/>
      <w:r>
        <w:rPr>
          <w:rFonts w:ascii="Times New Roman" w:hAnsi="Times New Roman"/>
        </w:rPr>
        <w:t>Comblin</w:t>
      </w:r>
      <w:proofErr w:type="spellEnd"/>
      <w:r>
        <w:rPr>
          <w:rFonts w:ascii="Times New Roman" w:hAnsi="Times New Roman"/>
        </w:rPr>
        <w:t xml:space="preserve"> explica las dificultades de que el concepto comunión ocupe el lugar de PD. En primer lugar, por este camino se puede llegar a un “monofisismo eclesiológico”.</w:t>
      </w:r>
      <w:r>
        <w:rPr>
          <w:rStyle w:val="Refdenotaalpie"/>
        </w:rPr>
        <w:footnoteReference w:id="28"/>
      </w:r>
      <w:r>
        <w:rPr>
          <w:rFonts w:ascii="Times New Roman" w:hAnsi="Times New Roman"/>
        </w:rPr>
        <w:t xml:space="preserve"> La naturaleza humana es absorbida en el elemento divino de la Iglesia, y por lo tanto se favorece una espiritualización de la Iglesia cada vez más desencarnada. Además en la teología católica el término comunión es muy ambiguo; puede haber una comunión vertical y otra horizontal.</w:t>
      </w:r>
      <w:r w:rsidRPr="00740D6F">
        <w:rPr>
          <w:rStyle w:val="Refdenotaalpie"/>
        </w:rPr>
        <w:t xml:space="preserve"> </w:t>
      </w:r>
      <w:r>
        <w:rPr>
          <w:rStyle w:val="Refdenotaalpie"/>
        </w:rPr>
        <w:footnoteReference w:id="29"/>
      </w:r>
      <w:r>
        <w:rPr>
          <w:rFonts w:ascii="Times New Roman" w:hAnsi="Times New Roman"/>
        </w:rPr>
        <w:t xml:space="preserve">  La primera se refiere a una unión creada por la jerarquía y resulta de la aceptación común de los dogmas, recepción de los sacramentos, sumisión a la jerarquía. La segunda nace entre iguales, por relaciones de reciprocidad. No impide que haya instancias de gobierno pero sabiendo que lo importante es el acuerdo de las personas: “Si la Iglesia es pueblo de Dios, eso quiere decir que </w:t>
      </w:r>
      <w:r w:rsidRPr="00584A41">
        <w:rPr>
          <w:rFonts w:ascii="Times New Roman" w:hAnsi="Times New Roman"/>
        </w:rPr>
        <w:t>su misterio de comunión con el Padre, el Hijo y el Espíritu Santo se vive y se realiza en una condición de pueblo.</w:t>
      </w:r>
      <w:r>
        <w:rPr>
          <w:rFonts w:ascii="Times New Roman" w:hAnsi="Times New Roman"/>
        </w:rPr>
        <w:t xml:space="preserve"> Pueblo, como veremos, incluye toda la realidad humana en su diversidad concreta”.</w:t>
      </w:r>
      <w:r>
        <w:rPr>
          <w:rStyle w:val="Refdenotaalpie"/>
        </w:rPr>
        <w:footnoteReference w:id="30"/>
      </w:r>
      <w:r>
        <w:rPr>
          <w:rFonts w:ascii="Times New Roman" w:hAnsi="Times New Roman"/>
        </w:rPr>
        <w:tab/>
      </w:r>
    </w:p>
    <w:p w:rsidR="005D0BC5" w:rsidRDefault="005D0BC5" w:rsidP="005D0BC5">
      <w:pPr>
        <w:spacing w:line="240" w:lineRule="auto"/>
        <w:ind w:firstLine="708"/>
        <w:jc w:val="both"/>
        <w:rPr>
          <w:rFonts w:ascii="Times New Roman" w:hAnsi="Times New Roman"/>
        </w:rPr>
      </w:pPr>
      <w:r>
        <w:rPr>
          <w:rFonts w:ascii="Times New Roman" w:hAnsi="Times New Roman"/>
        </w:rPr>
        <w:t xml:space="preserve">La obra de Russell se ubica en una eclesiología de </w:t>
      </w:r>
      <w:r>
        <w:rPr>
          <w:rFonts w:ascii="Times New Roman" w:hAnsi="Times New Roman"/>
          <w:i/>
        </w:rPr>
        <w:t xml:space="preserve">comunión </w:t>
      </w:r>
      <w:r>
        <w:rPr>
          <w:rFonts w:ascii="Times New Roman" w:hAnsi="Times New Roman"/>
        </w:rPr>
        <w:t>atravesada por la clave del “compañerismo” o “cooperación” (</w:t>
      </w:r>
      <w:proofErr w:type="spellStart"/>
      <w:r>
        <w:rPr>
          <w:rFonts w:ascii="Times New Roman" w:hAnsi="Times New Roman"/>
          <w:i/>
        </w:rPr>
        <w:t>partnership</w:t>
      </w:r>
      <w:proofErr w:type="spellEnd"/>
      <w:r>
        <w:rPr>
          <w:rFonts w:ascii="Times New Roman" w:hAnsi="Times New Roman"/>
        </w:rPr>
        <w:t>).</w:t>
      </w:r>
      <w:r w:rsidRPr="00405EB1">
        <w:rPr>
          <w:rStyle w:val="Refdenotaalpie"/>
          <w:i/>
        </w:rPr>
        <w:t xml:space="preserve"> </w:t>
      </w:r>
      <w:r>
        <w:rPr>
          <w:rStyle w:val="Refdenotaalpie"/>
          <w:i/>
        </w:rPr>
        <w:footnoteReference w:id="31"/>
      </w:r>
      <w:r>
        <w:rPr>
          <w:rFonts w:ascii="Times New Roman" w:hAnsi="Times New Roman"/>
        </w:rPr>
        <w:t xml:space="preserve">  Por lo tanto, su propuesta de Iglesia como comunidad inclusiva pertenece a lo que </w:t>
      </w:r>
      <w:proofErr w:type="spellStart"/>
      <w:r>
        <w:rPr>
          <w:rFonts w:ascii="Times New Roman" w:hAnsi="Times New Roman"/>
        </w:rPr>
        <w:t>Comblin</w:t>
      </w:r>
      <w:proofErr w:type="spellEnd"/>
      <w:r>
        <w:rPr>
          <w:rFonts w:ascii="Times New Roman" w:hAnsi="Times New Roman"/>
        </w:rPr>
        <w:t xml:space="preserve"> llama “comunión horizontal” donde las relaciones son liberadoras y los vínculos fundamentales. </w:t>
      </w:r>
    </w:p>
    <w:p w:rsidR="005D0BC5" w:rsidRDefault="005D0BC5" w:rsidP="005D0BC5">
      <w:pPr>
        <w:spacing w:line="240" w:lineRule="auto"/>
        <w:jc w:val="both"/>
        <w:rPr>
          <w:rFonts w:ascii="Times New Roman" w:hAnsi="Times New Roman"/>
        </w:rPr>
      </w:pPr>
      <w:r>
        <w:rPr>
          <w:rFonts w:ascii="Times New Roman" w:hAnsi="Times New Roman"/>
        </w:rPr>
        <w:tab/>
      </w:r>
      <w:proofErr w:type="spellStart"/>
      <w:r>
        <w:rPr>
          <w:rFonts w:ascii="Times New Roman" w:hAnsi="Times New Roman"/>
        </w:rPr>
        <w:t>Letty</w:t>
      </w:r>
      <w:proofErr w:type="spellEnd"/>
      <w:r>
        <w:rPr>
          <w:rFonts w:ascii="Times New Roman" w:hAnsi="Times New Roman"/>
        </w:rPr>
        <w:t xml:space="preserve"> describe la espiritualidad feminista que sostiene a la Iglesia como comunidad inclusiva como una espiritualidad vinculada, donde los vínculos con nosotros-as mismos, con nuestros cuerpos, con las personas marginadas y sus luchas por la justicia son centrales. Sin embargo, dice que:</w:t>
      </w:r>
    </w:p>
    <w:p w:rsidR="005D0BC5" w:rsidRDefault="005D0BC5" w:rsidP="005D0BC5">
      <w:pPr>
        <w:spacing w:line="240" w:lineRule="auto"/>
        <w:ind w:firstLine="360"/>
        <w:jc w:val="both"/>
        <w:rPr>
          <w:rFonts w:ascii="Times New Roman" w:hAnsi="Times New Roman" w:cs="Times New Roman"/>
          <w:sz w:val="20"/>
          <w:szCs w:val="20"/>
        </w:rPr>
      </w:pPr>
      <w:r>
        <w:rPr>
          <w:rFonts w:ascii="Times New Roman" w:hAnsi="Times New Roman"/>
        </w:rPr>
        <w:t xml:space="preserve"> </w:t>
      </w:r>
      <w:r w:rsidRPr="00C22834">
        <w:rPr>
          <w:rFonts w:ascii="Times New Roman" w:hAnsi="Times New Roman" w:cs="Times New Roman"/>
          <w:sz w:val="20"/>
          <w:szCs w:val="20"/>
        </w:rPr>
        <w:t>“</w:t>
      </w:r>
      <w:r w:rsidRPr="00C22834">
        <w:rPr>
          <w:rFonts w:ascii="Times New Roman" w:eastAsia="Calibri" w:hAnsi="Times New Roman" w:cs="Times New Roman"/>
          <w:sz w:val="20"/>
          <w:szCs w:val="20"/>
        </w:rPr>
        <w:t>Cuanto más nos relacionamos con la periferia y trabajemos para transformarnos a nosotras mismas y a la sociedad, más conscientes seremos de las contradicciones entre la manera en que experimentamos la realidad social y la forma en que</w:t>
      </w:r>
      <w:r>
        <w:rPr>
          <w:rFonts w:ascii="Times New Roman" w:hAnsi="Times New Roman" w:cs="Times New Roman"/>
          <w:sz w:val="20"/>
          <w:szCs w:val="20"/>
        </w:rPr>
        <w:t xml:space="preserve"> la han interpretado por nosotra</w:t>
      </w:r>
      <w:r w:rsidRPr="00C22834">
        <w:rPr>
          <w:rFonts w:ascii="Times New Roman" w:eastAsia="Calibri" w:hAnsi="Times New Roman" w:cs="Times New Roman"/>
          <w:sz w:val="20"/>
          <w:szCs w:val="20"/>
        </w:rPr>
        <w:t>s</w:t>
      </w:r>
      <w:r>
        <w:rPr>
          <w:rFonts w:ascii="Times New Roman" w:hAnsi="Times New Roman" w:cs="Times New Roman"/>
          <w:sz w:val="20"/>
          <w:szCs w:val="20"/>
        </w:rPr>
        <w:t xml:space="preserve"> y nosotro</w:t>
      </w:r>
      <w:r w:rsidRPr="00C22834">
        <w:rPr>
          <w:rFonts w:ascii="Times New Roman" w:eastAsia="Calibri" w:hAnsi="Times New Roman" w:cs="Times New Roman"/>
          <w:sz w:val="20"/>
          <w:szCs w:val="20"/>
        </w:rPr>
        <w:t>s en nuestra casa, iglesia y sociedad. Aprender a percibir estas contradicciones y tratar</w:t>
      </w:r>
      <w:r>
        <w:rPr>
          <w:rFonts w:ascii="Times New Roman" w:hAnsi="Times New Roman" w:cs="Times New Roman"/>
          <w:sz w:val="20"/>
          <w:szCs w:val="20"/>
        </w:rPr>
        <w:t>, junto con otras personas,</w:t>
      </w:r>
      <w:r w:rsidRPr="00C22834">
        <w:rPr>
          <w:rFonts w:ascii="Times New Roman" w:eastAsia="Calibri" w:hAnsi="Times New Roman" w:cs="Times New Roman"/>
          <w:sz w:val="20"/>
          <w:szCs w:val="20"/>
        </w:rPr>
        <w:t xml:space="preserve"> de cambiarlas</w:t>
      </w:r>
      <w:r>
        <w:rPr>
          <w:rFonts w:ascii="Times New Roman" w:hAnsi="Times New Roman" w:cs="Times New Roman"/>
          <w:sz w:val="20"/>
          <w:szCs w:val="20"/>
        </w:rPr>
        <w:t xml:space="preserve">, es </w:t>
      </w:r>
      <w:r w:rsidRPr="00C22834">
        <w:rPr>
          <w:rFonts w:ascii="Times New Roman" w:eastAsia="Calibri" w:hAnsi="Times New Roman" w:cs="Times New Roman"/>
          <w:sz w:val="20"/>
          <w:szCs w:val="20"/>
        </w:rPr>
        <w:t>parte de</w:t>
      </w:r>
      <w:r>
        <w:rPr>
          <w:rFonts w:ascii="Times New Roman" w:hAnsi="Times New Roman" w:cs="Times New Roman"/>
          <w:sz w:val="20"/>
          <w:szCs w:val="20"/>
        </w:rPr>
        <w:t xml:space="preserve"> nuestro</w:t>
      </w:r>
      <w:r w:rsidRPr="00C22834">
        <w:rPr>
          <w:rFonts w:ascii="Times New Roman" w:eastAsia="Calibri" w:hAnsi="Times New Roman" w:cs="Times New Roman"/>
          <w:sz w:val="20"/>
          <w:szCs w:val="20"/>
        </w:rPr>
        <w:t xml:space="preserve"> camino espiritual de liberación</w:t>
      </w:r>
      <w:r>
        <w:rPr>
          <w:rFonts w:ascii="Times New Roman" w:hAnsi="Times New Roman" w:cs="Times New Roman"/>
          <w:sz w:val="20"/>
          <w:szCs w:val="20"/>
        </w:rPr>
        <w:t>.”</w:t>
      </w:r>
      <w:r>
        <w:rPr>
          <w:rStyle w:val="Refdenotaalpie"/>
          <w:sz w:val="20"/>
        </w:rPr>
        <w:footnoteReference w:id="32"/>
      </w:r>
    </w:p>
    <w:p w:rsidR="005D0BC5" w:rsidRDefault="005D0BC5" w:rsidP="005D0BC5">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Russell habla de cuatro contradicciones en la vida de la Iglesia que dificultan la solidaridad con las personas que luchan por la justicia: establecer coaliciones sin correr riesgos (coalición y seguridad es una contradicción), tratar de resolver conflictos sin compartir el poder, crear comunidad sin diversidad (una comunidad se construye a partir de las diferencias), celebrar la liberación sin luchar por la justicia.</w:t>
      </w:r>
      <w:r>
        <w:rPr>
          <w:rStyle w:val="Refdenotaalpie"/>
          <w:szCs w:val="24"/>
        </w:rPr>
        <w:footnoteReference w:id="33"/>
      </w:r>
    </w:p>
    <w:p w:rsidR="005D0BC5" w:rsidRPr="00A17B32" w:rsidRDefault="005D0BC5" w:rsidP="005D0BC5">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Creo que percibir estas contradicciones en nuestro caminar eclesial y buscar resolverlas nos ayudaría a vivir nuestro ser Iglesia como comunidad inclusiva, siendo PD en medio de los pueblos de la tierra.</w:t>
      </w:r>
    </w:p>
    <w:p w:rsidR="005D0BC5" w:rsidRPr="005143C6" w:rsidRDefault="005D0BC5" w:rsidP="005D0BC5">
      <w:pPr>
        <w:spacing w:line="240" w:lineRule="auto"/>
        <w:jc w:val="both"/>
        <w:rPr>
          <w:rFonts w:ascii="Times New Roman" w:hAnsi="Times New Roman"/>
          <w:sz w:val="24"/>
          <w:szCs w:val="24"/>
        </w:rPr>
      </w:pPr>
      <w:r>
        <w:rPr>
          <w:rFonts w:ascii="Times New Roman" w:hAnsi="Times New Roman"/>
          <w:sz w:val="24"/>
          <w:szCs w:val="24"/>
        </w:rPr>
        <w:tab/>
      </w:r>
    </w:p>
    <w:p w:rsidR="005D0BC5" w:rsidRPr="00307AA4" w:rsidRDefault="005D0BC5" w:rsidP="005D0BC5">
      <w:pPr>
        <w:pStyle w:val="Prrafodelista"/>
        <w:numPr>
          <w:ilvl w:val="0"/>
          <w:numId w:val="1"/>
        </w:numPr>
        <w:spacing w:line="240" w:lineRule="auto"/>
        <w:jc w:val="both"/>
        <w:rPr>
          <w:rFonts w:ascii="Times New Roman" w:hAnsi="Times New Roman" w:cs="Times New Roman"/>
          <w:sz w:val="24"/>
          <w:szCs w:val="24"/>
        </w:rPr>
      </w:pPr>
      <w:r w:rsidRPr="00307AA4">
        <w:rPr>
          <w:rFonts w:ascii="Times New Roman" w:hAnsi="Times New Roman" w:cs="Times New Roman"/>
          <w:b/>
          <w:i/>
          <w:sz w:val="24"/>
          <w:szCs w:val="24"/>
        </w:rPr>
        <w:t>El diseño de este entretejido</w:t>
      </w:r>
    </w:p>
    <w:p w:rsidR="005D0BC5" w:rsidRDefault="005D0BC5" w:rsidP="005D0BC5">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Viviendo en Perú, conocí el arte de “tejer puentes” que practicaban cuatro comunidades quechuas del Sur Andino, divididas por un río caudaloso y altas cumbres. Dicho puente estaba hecho de sogas inmensas que las comunidades tejían con la participación de varones, mujeres, jóvenes, niños y niñas; todo era absolutamente artesanal y comunitario. </w:t>
      </w:r>
    </w:p>
    <w:p w:rsidR="005D0BC5" w:rsidRDefault="005D0BC5" w:rsidP="005D0BC5">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Estas imágenes quedaron en mí y poco a poco me sirvieron para expresar lo que yo fui entendiendo por “misión” y más en concreto por “misión de la Iglesia”. Después de 20 años de vivir como misionera en el monte santiagueño de Argentina o en el altiplano peruano y de haber animado durante seis años un espacio latinoamericano de formación misionera fui concibiendo la misión como un “tejer puentes”. Creo que tanto José </w:t>
      </w:r>
      <w:proofErr w:type="spellStart"/>
      <w:r>
        <w:rPr>
          <w:rFonts w:ascii="Times New Roman" w:hAnsi="Times New Roman" w:cs="Times New Roman"/>
          <w:sz w:val="24"/>
          <w:szCs w:val="24"/>
        </w:rPr>
        <w:t>Comblin</w:t>
      </w:r>
      <w:proofErr w:type="spellEnd"/>
      <w:r>
        <w:rPr>
          <w:rFonts w:ascii="Times New Roman" w:hAnsi="Times New Roman" w:cs="Times New Roman"/>
          <w:sz w:val="24"/>
          <w:szCs w:val="24"/>
        </w:rPr>
        <w:t xml:space="preserve"> como </w:t>
      </w:r>
      <w:proofErr w:type="spellStart"/>
      <w:r>
        <w:rPr>
          <w:rFonts w:ascii="Times New Roman" w:hAnsi="Times New Roman" w:cs="Times New Roman"/>
          <w:sz w:val="24"/>
          <w:szCs w:val="24"/>
        </w:rPr>
        <w:t>Letty</w:t>
      </w:r>
      <w:proofErr w:type="spellEnd"/>
      <w:r>
        <w:rPr>
          <w:rFonts w:ascii="Times New Roman" w:hAnsi="Times New Roman" w:cs="Times New Roman"/>
          <w:sz w:val="24"/>
          <w:szCs w:val="24"/>
        </w:rPr>
        <w:t xml:space="preserve"> Russell desde las obras trabajadas aportan para seguir pensando la misión en esta dirección.</w:t>
      </w:r>
    </w:p>
    <w:p w:rsidR="005D0BC5" w:rsidRPr="003B3F7B" w:rsidRDefault="005D0BC5" w:rsidP="005D0BC5">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En este momento quisiera “mirar” el diseño del entretejido que hasta aquí se fue logrando al trabajar las dos obras eclesiológicas. El entrecruzar ambos textos permite descubrir tanto sus límites como los aspectos más logrados para una interpretación alternativa de la misión de la Iglesia desde los pobres y las mujeres.</w:t>
      </w:r>
    </w:p>
    <w:p w:rsidR="005D0BC5" w:rsidRDefault="005D0BC5" w:rsidP="005D0BC5">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Lo primero que descubro al realizar una lectura más “separada” del texto de </w:t>
      </w:r>
      <w:proofErr w:type="spellStart"/>
      <w:r>
        <w:rPr>
          <w:rFonts w:ascii="Times New Roman" w:hAnsi="Times New Roman" w:cs="Times New Roman"/>
          <w:sz w:val="24"/>
          <w:szCs w:val="24"/>
        </w:rPr>
        <w:t>Comblin</w:t>
      </w:r>
      <w:proofErr w:type="spellEnd"/>
      <w:r>
        <w:rPr>
          <w:rFonts w:ascii="Times New Roman" w:hAnsi="Times New Roman" w:cs="Times New Roman"/>
          <w:sz w:val="24"/>
          <w:szCs w:val="24"/>
        </w:rPr>
        <w:t xml:space="preserve"> es la ausencia del análisis de género en el tratamiento de la obra </w:t>
      </w:r>
      <w:r>
        <w:rPr>
          <w:rFonts w:ascii="Times New Roman" w:hAnsi="Times New Roman" w:cs="Times New Roman"/>
          <w:i/>
          <w:sz w:val="24"/>
          <w:szCs w:val="24"/>
        </w:rPr>
        <w:t xml:space="preserve">O </w:t>
      </w:r>
      <w:proofErr w:type="spellStart"/>
      <w:r>
        <w:rPr>
          <w:rFonts w:ascii="Times New Roman" w:hAnsi="Times New Roman" w:cs="Times New Roman"/>
          <w:i/>
          <w:sz w:val="24"/>
          <w:szCs w:val="24"/>
        </w:rPr>
        <w:t>povo</w:t>
      </w:r>
      <w:proofErr w:type="spellEnd"/>
      <w:r>
        <w:rPr>
          <w:rFonts w:ascii="Times New Roman" w:hAnsi="Times New Roman" w:cs="Times New Roman"/>
          <w:i/>
          <w:sz w:val="24"/>
          <w:szCs w:val="24"/>
        </w:rPr>
        <w:t xml:space="preserve"> de Deus</w:t>
      </w:r>
      <w:r>
        <w:rPr>
          <w:rFonts w:ascii="Times New Roman" w:hAnsi="Times New Roman" w:cs="Times New Roman"/>
          <w:sz w:val="24"/>
          <w:szCs w:val="24"/>
        </w:rPr>
        <w:t xml:space="preserve"> y la </w:t>
      </w:r>
      <w:proofErr w:type="spellStart"/>
      <w:r>
        <w:rPr>
          <w:rFonts w:ascii="Times New Roman" w:hAnsi="Times New Roman" w:cs="Times New Roman"/>
          <w:sz w:val="24"/>
          <w:szCs w:val="24"/>
        </w:rPr>
        <w:t>invisibilización</w:t>
      </w:r>
      <w:proofErr w:type="spellEnd"/>
      <w:r>
        <w:rPr>
          <w:rFonts w:ascii="Times New Roman" w:hAnsi="Times New Roman" w:cs="Times New Roman"/>
          <w:sz w:val="24"/>
          <w:szCs w:val="24"/>
        </w:rPr>
        <w:t xml:space="preserve"> de la presencia de las mujeres en el proceso histórico del PD analizado por el autor en dicha obra. También está ausente la perspectiva intercultural al pensar la Iglesia como PD ya que dice recuperar el camino de la teología latinoamericana así como la realidad de los pueblos que la habitan. El PD en América Latina es pluricultural, multiétnico y con una diversidad religiosa muy importante; esta riqueza plural no está expresada en el texto de </w:t>
      </w:r>
      <w:proofErr w:type="spellStart"/>
      <w:r>
        <w:rPr>
          <w:rFonts w:ascii="Times New Roman" w:hAnsi="Times New Roman" w:cs="Times New Roman"/>
          <w:sz w:val="24"/>
          <w:szCs w:val="24"/>
        </w:rPr>
        <w:t>Comblin</w:t>
      </w:r>
      <w:proofErr w:type="spellEnd"/>
      <w:r>
        <w:rPr>
          <w:rFonts w:ascii="Times New Roman" w:hAnsi="Times New Roman" w:cs="Times New Roman"/>
          <w:sz w:val="24"/>
          <w:szCs w:val="24"/>
        </w:rPr>
        <w:t xml:space="preserve">. </w:t>
      </w:r>
    </w:p>
    <w:p w:rsidR="005D0BC5" w:rsidRDefault="005D0BC5" w:rsidP="005D0BC5">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En la obra de Russell está ausente el pensar la comunidad eclesial en procesos más colectivos como pueden ser las transformaciones políticas, sociales y económicas que acontecen en los diferentes países. La teología del PD posibilita trabajar mejor la relación Iglesia-mundo.</w:t>
      </w:r>
    </w:p>
    <w:p w:rsidR="005D0BC5" w:rsidRDefault="005D0BC5" w:rsidP="005D0BC5">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Sin embargo el tejido de estas dos obras eclesiológica tiene “hilos dorados”, que intentaré explicitar:</w:t>
      </w:r>
    </w:p>
    <w:p w:rsidR="005D0BC5" w:rsidRDefault="005D0BC5" w:rsidP="005D0BC5">
      <w:pPr>
        <w:pStyle w:val="Prrafodelista"/>
        <w:numPr>
          <w:ilvl w:val="0"/>
          <w:numId w:val="2"/>
        </w:numPr>
        <w:spacing w:line="240" w:lineRule="auto"/>
        <w:jc w:val="both"/>
        <w:rPr>
          <w:rFonts w:ascii="Times New Roman" w:hAnsi="Times New Roman" w:cs="Times New Roman"/>
          <w:sz w:val="24"/>
          <w:szCs w:val="24"/>
        </w:rPr>
      </w:pPr>
      <w:r w:rsidRPr="007E0B63">
        <w:rPr>
          <w:rFonts w:ascii="Times New Roman" w:hAnsi="Times New Roman" w:cs="Times New Roman"/>
          <w:sz w:val="24"/>
          <w:szCs w:val="24"/>
        </w:rPr>
        <w:t>Los sujetos</w:t>
      </w:r>
      <w:r>
        <w:rPr>
          <w:rFonts w:ascii="Times New Roman" w:hAnsi="Times New Roman" w:cs="Times New Roman"/>
          <w:sz w:val="24"/>
          <w:szCs w:val="24"/>
        </w:rPr>
        <w:t xml:space="preserve"> de una misión que “teje puentes”: La Iglesia de los pobres, donde se conforman comunidades inclusivas y se favorecen redes de organizaciones solidarias que luchan por los derechos de los excluidos-as de la sociedad y de la Iglesia. Las comunidades locales </w:t>
      </w:r>
      <w:proofErr w:type="spellStart"/>
      <w:r>
        <w:rPr>
          <w:rFonts w:ascii="Times New Roman" w:hAnsi="Times New Roman" w:cs="Times New Roman"/>
          <w:sz w:val="24"/>
          <w:szCs w:val="24"/>
        </w:rPr>
        <w:t>inculturan</w:t>
      </w:r>
      <w:proofErr w:type="spellEnd"/>
      <w:r>
        <w:rPr>
          <w:rFonts w:ascii="Times New Roman" w:hAnsi="Times New Roman" w:cs="Times New Roman"/>
          <w:sz w:val="24"/>
          <w:szCs w:val="24"/>
        </w:rPr>
        <w:t xml:space="preserve"> el evangelio y gestan relaciones interculturales liberadoras donde se comparte el poder y se resuelven los conflictos.</w:t>
      </w:r>
    </w:p>
    <w:p w:rsidR="005D0BC5" w:rsidRDefault="005D0BC5" w:rsidP="005D0BC5">
      <w:pPr>
        <w:pStyle w:val="Prrafodelista"/>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La metodología de este modelo de misión: el diálogo profético donde la acción profética, de reconciliación y martirial se las considera esencial para cristianas-os que dan testimonio del Resucitado en medio de un mundo complejo y fracturado que reclama liberación.</w:t>
      </w:r>
    </w:p>
    <w:p w:rsidR="005D0BC5" w:rsidRPr="007E0B63" w:rsidRDefault="005D0BC5" w:rsidP="005D0BC5">
      <w:pPr>
        <w:pStyle w:val="Prrafodelista"/>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Misión ¿para qué? Para que los pueblos vivan y vivan abundantemente. Una vida plenamente humana según el sueño profético de Dios: “</w:t>
      </w:r>
      <w:r>
        <w:rPr>
          <w:rFonts w:ascii="Times New Roman" w:hAnsi="Times New Roman" w:cs="Times New Roman"/>
          <w:i/>
          <w:sz w:val="24"/>
          <w:szCs w:val="24"/>
        </w:rPr>
        <w:t xml:space="preserve">Harán casas y vivirán en ellas, plantarán viñas y comerán sus frutos. Ya no edificarán para que otro vaya a vivir, ni plantarán para alimentar a otro. Los de mi pueblo </w:t>
      </w:r>
      <w:r>
        <w:rPr>
          <w:rFonts w:ascii="Times New Roman" w:hAnsi="Times New Roman" w:cs="Times New Roman"/>
          <w:i/>
          <w:sz w:val="24"/>
          <w:szCs w:val="24"/>
        </w:rPr>
        <w:lastRenderedPageBreak/>
        <w:t xml:space="preserve">tendrán vida tan larga como la de los árboles y mis elegidos gozarán de los frutos de su trabajo. No trabajarán inútilmente ni  tendrán hijos para perderlos, pues ellos y sus descendientes serán una raza bendita de </w:t>
      </w:r>
      <w:proofErr w:type="spellStart"/>
      <w:r>
        <w:rPr>
          <w:rFonts w:ascii="Times New Roman" w:hAnsi="Times New Roman" w:cs="Times New Roman"/>
          <w:i/>
          <w:sz w:val="24"/>
          <w:szCs w:val="24"/>
        </w:rPr>
        <w:t>Yavé</w:t>
      </w:r>
      <w:proofErr w:type="spellEnd"/>
      <w:r>
        <w:rPr>
          <w:rFonts w:ascii="Times New Roman" w:hAnsi="Times New Roman" w:cs="Times New Roman"/>
          <w:i/>
          <w:sz w:val="24"/>
          <w:szCs w:val="24"/>
        </w:rPr>
        <w:t xml:space="preserve">. Antes que me llamen les responderé y antes que terminen de hablar habrán sido atendidos. El lobo pastará junto con el cordero; el león comerá paja como el buey y la culebra se alimentará de tierra. No harán más daño ni perjuicio en todo mi santo cerro, dice </w:t>
      </w:r>
      <w:proofErr w:type="spellStart"/>
      <w:r>
        <w:rPr>
          <w:rFonts w:ascii="Times New Roman" w:hAnsi="Times New Roman" w:cs="Times New Roman"/>
          <w:i/>
          <w:sz w:val="24"/>
          <w:szCs w:val="24"/>
        </w:rPr>
        <w:t>Yavé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w:t>
      </w:r>
      <w:proofErr w:type="spellEnd"/>
      <w:r>
        <w:rPr>
          <w:rFonts w:ascii="Times New Roman" w:hAnsi="Times New Roman" w:cs="Times New Roman"/>
          <w:sz w:val="24"/>
          <w:szCs w:val="24"/>
        </w:rPr>
        <w:t xml:space="preserve"> 65, 21-25). Y todo esto como realidad escatológica o sea como meta, como horizonte, hacia el que “ya” se camina pero que “todavía” no se llega plenamente.</w:t>
      </w:r>
    </w:p>
    <w:p w:rsidR="005D0BC5" w:rsidRPr="00806378" w:rsidRDefault="005D0BC5" w:rsidP="005D0BC5">
      <w:pPr>
        <w:spacing w:line="240" w:lineRule="auto"/>
        <w:ind w:firstLine="360"/>
        <w:jc w:val="both"/>
        <w:rPr>
          <w:rFonts w:ascii="Times New Roman" w:hAnsi="Times New Roman" w:cs="Times New Roman"/>
          <w:sz w:val="20"/>
          <w:szCs w:val="20"/>
        </w:rPr>
      </w:pPr>
      <w:r>
        <w:rPr>
          <w:rFonts w:ascii="Times New Roman" w:hAnsi="Times New Roman" w:cs="Times New Roman"/>
          <w:sz w:val="24"/>
          <w:szCs w:val="24"/>
        </w:rPr>
        <w:t xml:space="preserve">Hoy vivo en </w:t>
      </w:r>
      <w:proofErr w:type="spellStart"/>
      <w:r>
        <w:rPr>
          <w:rFonts w:ascii="Times New Roman" w:hAnsi="Times New Roman" w:cs="Times New Roman"/>
          <w:sz w:val="24"/>
          <w:szCs w:val="24"/>
        </w:rPr>
        <w:t>Haedo</w:t>
      </w:r>
      <w:proofErr w:type="spellEnd"/>
      <w:r>
        <w:rPr>
          <w:rFonts w:ascii="Times New Roman" w:hAnsi="Times New Roman" w:cs="Times New Roman"/>
          <w:sz w:val="24"/>
          <w:szCs w:val="24"/>
        </w:rPr>
        <w:t>, una localidad del Gran Buenos Aires, en un barrio de clase media, a pocas cuadras del Barrio Carlos Gardel. La autopista “acceso oeste” separa ambos barrios y puentes peatonales permiten la circulación y comunicación. Sin embargo la población de uno y otro barrio está separada por miedos, estigmatizaciones e historias de violencia.</w:t>
      </w:r>
      <w:r>
        <w:rPr>
          <w:rStyle w:val="Refdenotaalpie"/>
          <w:szCs w:val="24"/>
        </w:rPr>
        <w:footnoteReference w:id="34"/>
      </w:r>
      <w:r>
        <w:rPr>
          <w:rFonts w:ascii="Times New Roman" w:hAnsi="Times New Roman" w:cs="Times New Roman"/>
          <w:sz w:val="24"/>
          <w:szCs w:val="24"/>
        </w:rPr>
        <w:t xml:space="preserve"> Pensar la misión en este contexto requiere “tejer puentes” si creemos en la hospitalidad de Dios que nos llamó a vivir en su casa.</w:t>
      </w:r>
    </w:p>
    <w:p w:rsidR="005D0BC5" w:rsidRPr="007C273E" w:rsidRDefault="005D0BC5" w:rsidP="005D0BC5">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Haedo</w:t>
      </w:r>
      <w:proofErr w:type="spellEnd"/>
      <w:r>
        <w:rPr>
          <w:rFonts w:ascii="Times New Roman" w:hAnsi="Times New Roman" w:cs="Times New Roman"/>
          <w:sz w:val="24"/>
          <w:szCs w:val="24"/>
        </w:rPr>
        <w:t>, 12 de diciembre del 2010.</w:t>
      </w:r>
    </w:p>
    <w:p w:rsidR="00151824" w:rsidRDefault="00151824"/>
    <w:sectPr w:rsidR="00151824" w:rsidSect="008A6D06">
      <w:headerReference w:type="default" r:id="rId8"/>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019" w:rsidRDefault="00B21019" w:rsidP="005D0BC5">
      <w:pPr>
        <w:spacing w:after="0" w:line="240" w:lineRule="auto"/>
      </w:pPr>
      <w:r>
        <w:separator/>
      </w:r>
    </w:p>
  </w:endnote>
  <w:endnote w:type="continuationSeparator" w:id="0">
    <w:p w:rsidR="00B21019" w:rsidRDefault="00B21019" w:rsidP="005D0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019" w:rsidRDefault="00B21019" w:rsidP="005D0BC5">
      <w:pPr>
        <w:spacing w:after="0" w:line="240" w:lineRule="auto"/>
      </w:pPr>
      <w:r>
        <w:separator/>
      </w:r>
    </w:p>
  </w:footnote>
  <w:footnote w:type="continuationSeparator" w:id="0">
    <w:p w:rsidR="00B21019" w:rsidRDefault="00B21019" w:rsidP="005D0BC5">
      <w:pPr>
        <w:spacing w:after="0" w:line="240" w:lineRule="auto"/>
      </w:pPr>
      <w:r>
        <w:continuationSeparator/>
      </w:r>
    </w:p>
  </w:footnote>
  <w:footnote w:id="1">
    <w:p w:rsidR="005D0BC5" w:rsidRPr="00586888" w:rsidRDefault="005D0BC5" w:rsidP="005D0BC5">
      <w:pPr>
        <w:pStyle w:val="Textonotapie"/>
        <w:rPr>
          <w:rFonts w:ascii="Times New Roman" w:hAnsi="Times New Roman" w:cs="Times New Roman"/>
        </w:rPr>
      </w:pPr>
      <w:r w:rsidRPr="007164B7">
        <w:rPr>
          <w:rStyle w:val="Refdenotaalpie"/>
        </w:rPr>
        <w:footnoteRef/>
      </w:r>
      <w:r w:rsidRPr="007164B7">
        <w:rPr>
          <w:rFonts w:ascii="Times New Roman" w:hAnsi="Times New Roman" w:cs="Times New Roman"/>
        </w:rPr>
        <w:t xml:space="preserve"> </w:t>
      </w:r>
      <w:r w:rsidRPr="007164B7">
        <w:rPr>
          <w:rFonts w:ascii="Times New Roman" w:hAnsi="Times New Roman" w:cs="Times New Roman"/>
          <w:smallCaps/>
        </w:rPr>
        <w:t>L. Russell,</w:t>
      </w:r>
      <w:r w:rsidRPr="007164B7">
        <w:rPr>
          <w:rFonts w:ascii="Times New Roman" w:hAnsi="Times New Roman" w:cs="Times New Roman"/>
          <w:i/>
          <w:smallCaps/>
        </w:rPr>
        <w:t xml:space="preserve"> </w:t>
      </w:r>
      <w:r w:rsidRPr="007164B7">
        <w:rPr>
          <w:rFonts w:ascii="Times New Roman" w:hAnsi="Times New Roman" w:cs="Times New Roman"/>
          <w:i/>
        </w:rPr>
        <w:t xml:space="preserve">La Iglesia como comunidad inclusiva. </w:t>
      </w:r>
      <w:r w:rsidRPr="007164B7">
        <w:rPr>
          <w:rFonts w:ascii="Times New Roman" w:hAnsi="Times New Roman" w:cs="Times New Roman"/>
        </w:rPr>
        <w:t>Una Interpretación feminista de la Iglesia, Buenos Aires</w:t>
      </w:r>
      <w:r>
        <w:rPr>
          <w:rFonts w:ascii="Times New Roman" w:hAnsi="Times New Roman" w:cs="Times New Roman"/>
        </w:rPr>
        <w:t>-San José</w:t>
      </w:r>
      <w:r w:rsidRPr="007164B7">
        <w:rPr>
          <w:rFonts w:ascii="Times New Roman" w:hAnsi="Times New Roman" w:cs="Times New Roman"/>
        </w:rPr>
        <w:t>, ISEDET/UBL, 2004.</w:t>
      </w:r>
      <w:r>
        <w:rPr>
          <w:rFonts w:ascii="Times New Roman" w:hAnsi="Times New Roman" w:cs="Times New Roman"/>
        </w:rPr>
        <w:t xml:space="preserve"> </w:t>
      </w:r>
      <w:r w:rsidRPr="00D9459D">
        <w:rPr>
          <w:rFonts w:ascii="Times New Roman" w:hAnsi="Times New Roman" w:cs="Times New Roman"/>
          <w:lang w:val="en-US"/>
        </w:rPr>
        <w:t xml:space="preserve">El original en </w:t>
      </w:r>
      <w:r>
        <w:rPr>
          <w:rFonts w:ascii="Times New Roman" w:hAnsi="Times New Roman" w:cs="Times New Roman"/>
          <w:lang w:val="en-US"/>
        </w:rPr>
        <w:t>ingles:</w:t>
      </w:r>
      <w:r w:rsidRPr="00D9459D">
        <w:rPr>
          <w:rFonts w:ascii="Times New Roman" w:hAnsi="Times New Roman" w:cs="Times New Roman"/>
          <w:lang w:val="en-US"/>
        </w:rPr>
        <w:t xml:space="preserve"> </w:t>
      </w:r>
      <w:r w:rsidRPr="00D9459D">
        <w:rPr>
          <w:rFonts w:ascii="Times New Roman" w:hAnsi="Times New Roman" w:cs="Times New Roman"/>
          <w:i/>
          <w:lang w:val="en-US"/>
        </w:rPr>
        <w:t>Church in the Round. F</w:t>
      </w:r>
      <w:r>
        <w:rPr>
          <w:rFonts w:ascii="Times New Roman" w:hAnsi="Times New Roman" w:cs="Times New Roman"/>
          <w:i/>
          <w:lang w:val="en-US"/>
        </w:rPr>
        <w:t>eminist Interpretation of the Church</w:t>
      </w:r>
      <w:proofErr w:type="gramStart"/>
      <w:r>
        <w:rPr>
          <w:rFonts w:ascii="Times New Roman" w:hAnsi="Times New Roman" w:cs="Times New Roman"/>
          <w:i/>
          <w:lang w:val="en-US"/>
        </w:rPr>
        <w:t xml:space="preserve">,  </w:t>
      </w:r>
      <w:r>
        <w:rPr>
          <w:rFonts w:ascii="Times New Roman" w:hAnsi="Times New Roman" w:cs="Times New Roman"/>
          <w:lang w:val="en-US"/>
        </w:rPr>
        <w:t>Westminster</w:t>
      </w:r>
      <w:proofErr w:type="gramEnd"/>
      <w:r>
        <w:rPr>
          <w:rFonts w:ascii="Times New Roman" w:hAnsi="Times New Roman" w:cs="Times New Roman"/>
          <w:lang w:val="en-US"/>
        </w:rPr>
        <w:t xml:space="preserve">/John Knox Press, Louisville, Kentucky 1993. </w:t>
      </w:r>
      <w:r w:rsidRPr="00586888">
        <w:rPr>
          <w:rFonts w:ascii="Times New Roman" w:hAnsi="Times New Roman" w:cs="Times New Roman"/>
        </w:rPr>
        <w:t>De ahora en má</w:t>
      </w:r>
      <w:r>
        <w:rPr>
          <w:rFonts w:ascii="Times New Roman" w:hAnsi="Times New Roman" w:cs="Times New Roman"/>
        </w:rPr>
        <w:t>s se cita con la sigla ICI.</w:t>
      </w:r>
    </w:p>
  </w:footnote>
  <w:footnote w:id="2">
    <w:p w:rsidR="005D0BC5" w:rsidRPr="00586888" w:rsidRDefault="005D0BC5" w:rsidP="005D0BC5">
      <w:pPr>
        <w:pStyle w:val="Textonotapie"/>
        <w:rPr>
          <w:rFonts w:ascii="Times New Roman" w:hAnsi="Times New Roman" w:cs="Times New Roman"/>
        </w:rPr>
      </w:pPr>
      <w:r w:rsidRPr="007164B7">
        <w:rPr>
          <w:rStyle w:val="Refdenotaalpie"/>
        </w:rPr>
        <w:footnoteRef/>
      </w:r>
      <w:r w:rsidRPr="00586888">
        <w:rPr>
          <w:rFonts w:ascii="Times New Roman" w:hAnsi="Times New Roman" w:cs="Times New Roman"/>
        </w:rPr>
        <w:t xml:space="preserve"> </w:t>
      </w:r>
      <w:r w:rsidRPr="00586888">
        <w:rPr>
          <w:rFonts w:ascii="Times New Roman" w:hAnsi="Times New Roman" w:cs="Times New Roman"/>
          <w:smallCaps/>
        </w:rPr>
        <w:t xml:space="preserve">J. </w:t>
      </w:r>
      <w:proofErr w:type="spellStart"/>
      <w:r w:rsidRPr="00586888">
        <w:rPr>
          <w:rFonts w:ascii="Times New Roman" w:hAnsi="Times New Roman" w:cs="Times New Roman"/>
          <w:smallCaps/>
        </w:rPr>
        <w:t>Comblin</w:t>
      </w:r>
      <w:proofErr w:type="spellEnd"/>
      <w:r w:rsidRPr="00586888">
        <w:rPr>
          <w:rFonts w:ascii="Times New Roman" w:hAnsi="Times New Roman" w:cs="Times New Roman"/>
          <w:smallCaps/>
        </w:rPr>
        <w:t xml:space="preserve">, </w:t>
      </w:r>
      <w:r w:rsidRPr="00586888">
        <w:rPr>
          <w:rFonts w:ascii="Times New Roman" w:hAnsi="Times New Roman" w:cs="Times New Roman"/>
          <w:i/>
        </w:rPr>
        <w:t xml:space="preserve">O </w:t>
      </w:r>
      <w:proofErr w:type="spellStart"/>
      <w:r w:rsidRPr="00586888">
        <w:rPr>
          <w:rFonts w:ascii="Times New Roman" w:hAnsi="Times New Roman" w:cs="Times New Roman"/>
          <w:i/>
        </w:rPr>
        <w:t>Povo</w:t>
      </w:r>
      <w:proofErr w:type="spellEnd"/>
      <w:r w:rsidRPr="00586888">
        <w:rPr>
          <w:rFonts w:ascii="Times New Roman" w:hAnsi="Times New Roman" w:cs="Times New Roman"/>
          <w:i/>
        </w:rPr>
        <w:t xml:space="preserve"> de Deus, </w:t>
      </w:r>
      <w:r w:rsidRPr="00586888">
        <w:rPr>
          <w:rFonts w:ascii="Times New Roman" w:hAnsi="Times New Roman" w:cs="Times New Roman"/>
        </w:rPr>
        <w:t xml:space="preserve">São Paulo, </w:t>
      </w:r>
      <w:proofErr w:type="spellStart"/>
      <w:r w:rsidRPr="00586888">
        <w:rPr>
          <w:rFonts w:ascii="Times New Roman" w:hAnsi="Times New Roman" w:cs="Times New Roman"/>
        </w:rPr>
        <w:t>Paulus</w:t>
      </w:r>
      <w:proofErr w:type="spellEnd"/>
      <w:r w:rsidRPr="00586888">
        <w:rPr>
          <w:rFonts w:ascii="Times New Roman" w:hAnsi="Times New Roman" w:cs="Times New Roman"/>
        </w:rPr>
        <w:t>, 2002.</w:t>
      </w:r>
      <w:r>
        <w:rPr>
          <w:rFonts w:ascii="Times New Roman" w:hAnsi="Times New Roman" w:cs="Times New Roman"/>
        </w:rPr>
        <w:t xml:space="preserve">  De ahora en más se cita con la sigla OPD.</w:t>
      </w:r>
    </w:p>
  </w:footnote>
  <w:footnote w:id="3">
    <w:p w:rsidR="005D0BC5" w:rsidRPr="000A3EEC" w:rsidRDefault="005D0BC5" w:rsidP="005D0BC5">
      <w:pPr>
        <w:pStyle w:val="Textonotapie"/>
        <w:rPr>
          <w:lang w:val="en-US"/>
        </w:rPr>
      </w:pPr>
      <w:r>
        <w:rPr>
          <w:rStyle w:val="Refdenotaalpie"/>
        </w:rPr>
        <w:footnoteRef/>
      </w:r>
      <w:r w:rsidRPr="000A3EEC">
        <w:rPr>
          <w:lang w:val="en-US"/>
        </w:rPr>
        <w:t xml:space="preserve"> R</w:t>
      </w:r>
      <w:r w:rsidRPr="000A3EEC">
        <w:rPr>
          <w:rFonts w:ascii="Times New Roman" w:hAnsi="Times New Roman" w:cs="Times New Roman"/>
          <w:smallCaps/>
          <w:lang w:val="en-US"/>
        </w:rPr>
        <w:t xml:space="preserve">ussell, </w:t>
      </w:r>
      <w:r>
        <w:rPr>
          <w:rFonts w:ascii="Times New Roman" w:hAnsi="Times New Roman" w:cs="Times New Roman"/>
          <w:lang w:val="en-US"/>
        </w:rPr>
        <w:t>ICI 12</w:t>
      </w:r>
      <w:r w:rsidRPr="000A3EEC">
        <w:rPr>
          <w:rFonts w:ascii="Times New Roman" w:hAnsi="Times New Roman" w:cs="Times New Roman"/>
          <w:lang w:val="en-US"/>
        </w:rPr>
        <w:t>.</w:t>
      </w:r>
    </w:p>
  </w:footnote>
  <w:footnote w:id="4">
    <w:p w:rsidR="005D0BC5" w:rsidRPr="00B13B14" w:rsidRDefault="005D0BC5" w:rsidP="005D0BC5">
      <w:pPr>
        <w:pStyle w:val="Textonotapie"/>
        <w:rPr>
          <w:lang w:val="en-US"/>
        </w:rPr>
      </w:pPr>
      <w:r>
        <w:rPr>
          <w:rStyle w:val="Refdenotaalpie"/>
        </w:rPr>
        <w:footnoteRef/>
      </w:r>
      <w:r w:rsidRPr="00B13B14">
        <w:rPr>
          <w:lang w:val="en-US"/>
        </w:rPr>
        <w:t xml:space="preserve"> </w:t>
      </w:r>
      <w:r w:rsidRPr="000A3EEC">
        <w:rPr>
          <w:lang w:val="en-US"/>
        </w:rPr>
        <w:t>R</w:t>
      </w:r>
      <w:r w:rsidRPr="000A3EEC">
        <w:rPr>
          <w:rFonts w:ascii="Times New Roman" w:hAnsi="Times New Roman" w:cs="Times New Roman"/>
          <w:smallCaps/>
          <w:lang w:val="en-US"/>
        </w:rPr>
        <w:t xml:space="preserve">ussell, </w:t>
      </w:r>
      <w:r>
        <w:rPr>
          <w:rFonts w:ascii="Times New Roman" w:hAnsi="Times New Roman" w:cs="Times New Roman"/>
          <w:lang w:val="en-US"/>
        </w:rPr>
        <w:t>ICI 12</w:t>
      </w:r>
      <w:r w:rsidRPr="000A3EEC">
        <w:rPr>
          <w:rFonts w:ascii="Times New Roman" w:hAnsi="Times New Roman" w:cs="Times New Roman"/>
          <w:lang w:val="en-US"/>
        </w:rPr>
        <w:t>.</w:t>
      </w:r>
    </w:p>
  </w:footnote>
  <w:footnote w:id="5">
    <w:p w:rsidR="005D0BC5" w:rsidRPr="00EB7456" w:rsidRDefault="005D0BC5" w:rsidP="005D0BC5">
      <w:pPr>
        <w:pStyle w:val="Textonotapie"/>
        <w:rPr>
          <w:lang w:val="en-US"/>
        </w:rPr>
      </w:pPr>
      <w:r>
        <w:rPr>
          <w:rStyle w:val="Refdenotaalpie"/>
        </w:rPr>
        <w:footnoteRef/>
      </w:r>
      <w:r w:rsidRPr="00EB7456">
        <w:rPr>
          <w:lang w:val="en-US"/>
        </w:rPr>
        <w:t xml:space="preserve"> </w:t>
      </w:r>
      <w:r w:rsidRPr="000A3EEC">
        <w:rPr>
          <w:lang w:val="en-US"/>
        </w:rPr>
        <w:t>R</w:t>
      </w:r>
      <w:r w:rsidRPr="000A3EEC">
        <w:rPr>
          <w:rFonts w:ascii="Times New Roman" w:hAnsi="Times New Roman" w:cs="Times New Roman"/>
          <w:smallCaps/>
          <w:lang w:val="en-US"/>
        </w:rPr>
        <w:t xml:space="preserve">ussell, </w:t>
      </w:r>
      <w:r>
        <w:rPr>
          <w:rFonts w:ascii="Times New Roman" w:hAnsi="Times New Roman" w:cs="Times New Roman"/>
          <w:lang w:val="en-US"/>
        </w:rPr>
        <w:t>ICI 17</w:t>
      </w:r>
      <w:r w:rsidRPr="000A3EEC">
        <w:rPr>
          <w:rFonts w:ascii="Times New Roman" w:hAnsi="Times New Roman" w:cs="Times New Roman"/>
          <w:lang w:val="en-US"/>
        </w:rPr>
        <w:t>.</w:t>
      </w:r>
    </w:p>
  </w:footnote>
  <w:footnote w:id="6">
    <w:p w:rsidR="005D0BC5" w:rsidRPr="000A3EEC" w:rsidRDefault="005D0BC5" w:rsidP="005D0BC5">
      <w:pPr>
        <w:pStyle w:val="Textonotapie"/>
        <w:rPr>
          <w:lang w:val="en-US"/>
        </w:rPr>
      </w:pPr>
      <w:r w:rsidRPr="0093633C">
        <w:rPr>
          <w:rStyle w:val="Refdenotaalpie"/>
        </w:rPr>
        <w:footnoteRef/>
      </w:r>
      <w:r>
        <w:rPr>
          <w:rFonts w:ascii="Times New Roman" w:hAnsi="Times New Roman" w:cs="Times New Roman"/>
          <w:lang w:val="en-US"/>
        </w:rPr>
        <w:t xml:space="preserve"> </w:t>
      </w:r>
      <w:proofErr w:type="spellStart"/>
      <w:r w:rsidRPr="000A3EEC">
        <w:rPr>
          <w:rFonts w:ascii="Times New Roman" w:hAnsi="Times New Roman" w:cs="Times New Roman"/>
          <w:smallCaps/>
          <w:lang w:val="en-US"/>
        </w:rPr>
        <w:t>Comblin</w:t>
      </w:r>
      <w:proofErr w:type="spellEnd"/>
      <w:r w:rsidRPr="000A3EEC">
        <w:rPr>
          <w:rFonts w:ascii="Times New Roman" w:hAnsi="Times New Roman" w:cs="Times New Roman"/>
          <w:smallCaps/>
          <w:lang w:val="en-US"/>
        </w:rPr>
        <w:t xml:space="preserve">, </w:t>
      </w:r>
      <w:r>
        <w:rPr>
          <w:rFonts w:ascii="Times New Roman" w:hAnsi="Times New Roman" w:cs="Times New Roman"/>
          <w:smallCaps/>
          <w:lang w:val="en-US"/>
        </w:rPr>
        <w:t xml:space="preserve">OPD </w:t>
      </w:r>
      <w:r w:rsidRPr="000A3EEC">
        <w:rPr>
          <w:rFonts w:ascii="Times New Roman" w:hAnsi="Times New Roman" w:cs="Times New Roman"/>
          <w:smallCaps/>
          <w:lang w:val="en-US"/>
        </w:rPr>
        <w:t>410.</w:t>
      </w:r>
    </w:p>
  </w:footnote>
  <w:footnote w:id="7">
    <w:p w:rsidR="005D0BC5" w:rsidRPr="00F81699" w:rsidRDefault="005D0BC5" w:rsidP="005D0BC5">
      <w:pPr>
        <w:pStyle w:val="Textonotapie"/>
        <w:rPr>
          <w:lang w:val="en-US"/>
        </w:rPr>
      </w:pPr>
      <w:r>
        <w:rPr>
          <w:rStyle w:val="Refdenotaalpie"/>
        </w:rPr>
        <w:footnoteRef/>
      </w:r>
      <w:r w:rsidRPr="00F81699">
        <w:rPr>
          <w:lang w:val="en-US"/>
        </w:rPr>
        <w:t xml:space="preserve"> </w:t>
      </w:r>
      <w:proofErr w:type="gramStart"/>
      <w:r>
        <w:rPr>
          <w:rFonts w:ascii="Times New Roman" w:hAnsi="Times New Roman" w:cs="Times New Roman"/>
          <w:lang w:val="en-US"/>
        </w:rPr>
        <w:t>Cf.</w:t>
      </w:r>
      <w:proofErr w:type="gramEnd"/>
      <w:r>
        <w:rPr>
          <w:rFonts w:ascii="Times New Roman" w:hAnsi="Times New Roman" w:cs="Times New Roman"/>
          <w:lang w:val="en-US"/>
        </w:rPr>
        <w:t xml:space="preserve"> </w:t>
      </w:r>
      <w:r w:rsidRPr="00F81699">
        <w:rPr>
          <w:rFonts w:ascii="Times New Roman" w:hAnsi="Times New Roman" w:cs="Times New Roman"/>
          <w:smallCaps/>
          <w:lang w:val="en-US"/>
        </w:rPr>
        <w:t xml:space="preserve"> </w:t>
      </w:r>
      <w:proofErr w:type="spellStart"/>
      <w:r w:rsidRPr="00F81699">
        <w:rPr>
          <w:rFonts w:ascii="Times New Roman" w:hAnsi="Times New Roman" w:cs="Times New Roman"/>
          <w:smallCaps/>
          <w:lang w:val="en-US"/>
        </w:rPr>
        <w:t>Comblin</w:t>
      </w:r>
      <w:proofErr w:type="spellEnd"/>
      <w:r w:rsidRPr="00F81699">
        <w:rPr>
          <w:rFonts w:ascii="Times New Roman" w:hAnsi="Times New Roman" w:cs="Times New Roman"/>
          <w:smallCaps/>
          <w:lang w:val="en-US"/>
        </w:rPr>
        <w:t xml:space="preserve">, </w:t>
      </w:r>
      <w:r>
        <w:rPr>
          <w:rFonts w:ascii="Times New Roman" w:hAnsi="Times New Roman" w:cs="Times New Roman"/>
          <w:smallCaps/>
          <w:lang w:val="en-US"/>
        </w:rPr>
        <w:t xml:space="preserve">OPD </w:t>
      </w:r>
      <w:r w:rsidRPr="00F81699">
        <w:rPr>
          <w:rFonts w:ascii="Times New Roman" w:hAnsi="Times New Roman" w:cs="Times New Roman"/>
          <w:smallCaps/>
          <w:lang w:val="en-US"/>
        </w:rPr>
        <w:t>115-132.</w:t>
      </w:r>
    </w:p>
  </w:footnote>
  <w:footnote w:id="8">
    <w:p w:rsidR="005D0BC5" w:rsidRPr="006944BA" w:rsidRDefault="005D0BC5" w:rsidP="005D0BC5">
      <w:pPr>
        <w:pStyle w:val="Textonotapie"/>
        <w:rPr>
          <w:rFonts w:ascii="Times New Roman" w:hAnsi="Times New Roman" w:cs="Times New Roman"/>
        </w:rPr>
      </w:pPr>
      <w:r>
        <w:rPr>
          <w:rStyle w:val="Refdenotaalpie"/>
        </w:rPr>
        <w:footnoteRef/>
      </w:r>
      <w:r w:rsidRPr="006944BA">
        <w:t xml:space="preserve"> </w:t>
      </w:r>
      <w:proofErr w:type="spellStart"/>
      <w:r w:rsidRPr="006944BA">
        <w:rPr>
          <w:rFonts w:ascii="Times New Roman" w:hAnsi="Times New Roman" w:cs="Times New Roman"/>
          <w:smallCaps/>
        </w:rPr>
        <w:t>Comblin</w:t>
      </w:r>
      <w:proofErr w:type="spellEnd"/>
      <w:r w:rsidRPr="006944BA">
        <w:rPr>
          <w:rFonts w:ascii="Times New Roman" w:hAnsi="Times New Roman" w:cs="Times New Roman"/>
          <w:smallCaps/>
        </w:rPr>
        <w:t xml:space="preserve">, </w:t>
      </w:r>
      <w:r>
        <w:rPr>
          <w:rFonts w:ascii="Times New Roman" w:hAnsi="Times New Roman" w:cs="Times New Roman"/>
          <w:smallCaps/>
        </w:rPr>
        <w:t xml:space="preserve">OPD </w:t>
      </w:r>
      <w:r w:rsidRPr="006944BA">
        <w:rPr>
          <w:rFonts w:ascii="Times New Roman" w:hAnsi="Times New Roman" w:cs="Times New Roman"/>
          <w:smallCaps/>
        </w:rPr>
        <w:t>291.</w:t>
      </w:r>
    </w:p>
  </w:footnote>
  <w:footnote w:id="9">
    <w:p w:rsidR="005D0BC5" w:rsidRPr="00473DF1" w:rsidRDefault="005D0BC5" w:rsidP="005D0BC5">
      <w:pPr>
        <w:pStyle w:val="Textonotapie"/>
        <w:rPr>
          <w:rFonts w:ascii="Times New Roman" w:hAnsi="Times New Roman" w:cs="Times New Roman"/>
        </w:rPr>
      </w:pPr>
      <w:r>
        <w:rPr>
          <w:rStyle w:val="Refdenotaalpie"/>
        </w:rPr>
        <w:footnoteRef/>
      </w:r>
      <w:r>
        <w:t xml:space="preserve"> </w:t>
      </w:r>
      <w:r w:rsidRPr="00473DF1">
        <w:rPr>
          <w:rFonts w:ascii="Times New Roman" w:hAnsi="Times New Roman" w:cs="Times New Roman"/>
        </w:rPr>
        <w:t>De ahora en más</w:t>
      </w:r>
      <w:r>
        <w:rPr>
          <w:rFonts w:ascii="Times New Roman" w:hAnsi="Times New Roman" w:cs="Times New Roman"/>
        </w:rPr>
        <w:t xml:space="preserve"> se usará la abreviatura PD para nombrar “Pueblo de Dios”.</w:t>
      </w:r>
    </w:p>
  </w:footnote>
  <w:footnote w:id="10">
    <w:p w:rsidR="005D0BC5" w:rsidRPr="000A3EEC" w:rsidRDefault="005D0BC5" w:rsidP="005D0BC5">
      <w:pPr>
        <w:pStyle w:val="Textonotapie"/>
        <w:rPr>
          <w:rFonts w:ascii="Times New Roman" w:hAnsi="Times New Roman" w:cs="Times New Roman"/>
          <w:lang w:val="en-US"/>
        </w:rPr>
      </w:pPr>
      <w:r>
        <w:rPr>
          <w:rStyle w:val="Refdenotaalpie"/>
        </w:rPr>
        <w:footnoteRef/>
      </w:r>
      <w:r w:rsidRPr="000A3EEC">
        <w:rPr>
          <w:lang w:val="en-US"/>
        </w:rPr>
        <w:t xml:space="preserve"> R</w:t>
      </w:r>
      <w:r w:rsidRPr="000A3EEC">
        <w:rPr>
          <w:rFonts w:ascii="Times New Roman" w:hAnsi="Times New Roman" w:cs="Times New Roman"/>
          <w:smallCaps/>
          <w:lang w:val="en-US"/>
        </w:rPr>
        <w:t xml:space="preserve">ussell, </w:t>
      </w:r>
      <w:r w:rsidRPr="000A3EEC">
        <w:rPr>
          <w:rFonts w:ascii="Times New Roman" w:hAnsi="Times New Roman" w:cs="Times New Roman"/>
          <w:lang w:val="en-US"/>
        </w:rPr>
        <w:t>ICI 13.</w:t>
      </w:r>
    </w:p>
  </w:footnote>
  <w:footnote w:id="11">
    <w:p w:rsidR="005D0BC5" w:rsidRPr="000A3EEC" w:rsidRDefault="005D0BC5" w:rsidP="005D0BC5">
      <w:pPr>
        <w:pStyle w:val="Textonotapie"/>
        <w:rPr>
          <w:lang w:val="en-US"/>
        </w:rPr>
      </w:pPr>
      <w:r>
        <w:rPr>
          <w:rStyle w:val="Refdenotaalpie"/>
        </w:rPr>
        <w:footnoteRef/>
      </w:r>
      <w:r w:rsidRPr="000A3EEC">
        <w:rPr>
          <w:lang w:val="en-US"/>
        </w:rPr>
        <w:t xml:space="preserve"> R</w:t>
      </w:r>
      <w:r w:rsidRPr="000A3EEC">
        <w:rPr>
          <w:rFonts w:ascii="Times New Roman" w:hAnsi="Times New Roman" w:cs="Times New Roman"/>
          <w:smallCaps/>
          <w:lang w:val="en-US"/>
        </w:rPr>
        <w:t xml:space="preserve">ussell, </w:t>
      </w:r>
      <w:r w:rsidRPr="000A3EEC">
        <w:rPr>
          <w:rFonts w:ascii="Times New Roman" w:hAnsi="Times New Roman" w:cs="Times New Roman"/>
          <w:lang w:val="en-US"/>
        </w:rPr>
        <w:t>ICI 36-37.</w:t>
      </w:r>
    </w:p>
  </w:footnote>
  <w:footnote w:id="12">
    <w:p w:rsidR="005D0BC5" w:rsidRPr="000A3EEC" w:rsidRDefault="005D0BC5" w:rsidP="005D0BC5">
      <w:pPr>
        <w:pStyle w:val="Textonotapie"/>
        <w:rPr>
          <w:rFonts w:ascii="Times New Roman" w:hAnsi="Times New Roman" w:cs="Times New Roman"/>
          <w:smallCaps/>
          <w:lang w:val="en-US"/>
        </w:rPr>
      </w:pPr>
      <w:r>
        <w:rPr>
          <w:rStyle w:val="Refdenotaalpie"/>
        </w:rPr>
        <w:footnoteRef/>
      </w:r>
      <w:r w:rsidRPr="000A3EEC">
        <w:rPr>
          <w:lang w:val="en-US"/>
        </w:rPr>
        <w:t xml:space="preserve"> </w:t>
      </w:r>
      <w:proofErr w:type="spellStart"/>
      <w:r w:rsidRPr="000A3EEC">
        <w:rPr>
          <w:rFonts w:ascii="Times New Roman" w:hAnsi="Times New Roman" w:cs="Times New Roman"/>
          <w:smallCaps/>
          <w:lang w:val="en-US"/>
        </w:rPr>
        <w:t>Comblin</w:t>
      </w:r>
      <w:proofErr w:type="spellEnd"/>
      <w:r w:rsidRPr="000A3EEC">
        <w:rPr>
          <w:rFonts w:ascii="Times New Roman" w:hAnsi="Times New Roman" w:cs="Times New Roman"/>
          <w:smallCaps/>
          <w:lang w:val="en-US"/>
        </w:rPr>
        <w:t xml:space="preserve">, </w:t>
      </w:r>
      <w:r>
        <w:rPr>
          <w:rFonts w:ascii="Times New Roman" w:hAnsi="Times New Roman" w:cs="Times New Roman"/>
          <w:smallCaps/>
          <w:lang w:val="en-US"/>
        </w:rPr>
        <w:t>O</w:t>
      </w:r>
      <w:r w:rsidRPr="000A3EEC">
        <w:rPr>
          <w:rFonts w:ascii="Times New Roman" w:hAnsi="Times New Roman" w:cs="Times New Roman"/>
          <w:smallCaps/>
          <w:lang w:val="en-US"/>
        </w:rPr>
        <w:t>PD 213</w:t>
      </w:r>
      <w:r>
        <w:rPr>
          <w:rFonts w:ascii="Times New Roman" w:hAnsi="Times New Roman" w:cs="Times New Roman"/>
          <w:smallCaps/>
          <w:lang w:val="en-US"/>
        </w:rPr>
        <w:t>.</w:t>
      </w:r>
    </w:p>
  </w:footnote>
  <w:footnote w:id="13">
    <w:p w:rsidR="005D0BC5" w:rsidRPr="00960145" w:rsidRDefault="005D0BC5" w:rsidP="005D0BC5">
      <w:pPr>
        <w:pStyle w:val="Textonotapie"/>
        <w:rPr>
          <w:lang w:val="en-US"/>
        </w:rPr>
      </w:pPr>
      <w:r>
        <w:rPr>
          <w:rStyle w:val="Refdenotaalpie"/>
        </w:rPr>
        <w:footnoteRef/>
      </w:r>
      <w:r w:rsidRPr="00960145">
        <w:rPr>
          <w:lang w:val="en-US"/>
        </w:rPr>
        <w:t xml:space="preserve"> Cf. </w:t>
      </w:r>
      <w:proofErr w:type="spellStart"/>
      <w:r w:rsidRPr="00960145">
        <w:rPr>
          <w:rFonts w:ascii="Times New Roman" w:hAnsi="Times New Roman" w:cs="Times New Roman"/>
          <w:smallCaps/>
          <w:lang w:val="en-US"/>
        </w:rPr>
        <w:t>Comblin</w:t>
      </w:r>
      <w:proofErr w:type="spellEnd"/>
      <w:r w:rsidRPr="00960145">
        <w:rPr>
          <w:rFonts w:ascii="Times New Roman" w:hAnsi="Times New Roman" w:cs="Times New Roman"/>
          <w:smallCaps/>
          <w:lang w:val="en-US"/>
        </w:rPr>
        <w:t>, OPD 320ss, 364-365.</w:t>
      </w:r>
    </w:p>
  </w:footnote>
  <w:footnote w:id="14">
    <w:p w:rsidR="005D0BC5" w:rsidRPr="00EB7456" w:rsidRDefault="005D0BC5" w:rsidP="005D0BC5">
      <w:pPr>
        <w:pStyle w:val="Textonotapie"/>
        <w:rPr>
          <w:lang w:val="en-US"/>
        </w:rPr>
      </w:pPr>
      <w:r>
        <w:rPr>
          <w:rStyle w:val="Refdenotaalpie"/>
        </w:rPr>
        <w:footnoteRef/>
      </w:r>
      <w:r w:rsidRPr="00EB7456">
        <w:rPr>
          <w:lang w:val="en-US"/>
        </w:rPr>
        <w:t xml:space="preserve"> </w:t>
      </w:r>
      <w:proofErr w:type="spellStart"/>
      <w:r w:rsidRPr="000A3EEC">
        <w:rPr>
          <w:rFonts w:ascii="Times New Roman" w:hAnsi="Times New Roman" w:cs="Times New Roman"/>
          <w:smallCaps/>
          <w:lang w:val="en-US"/>
        </w:rPr>
        <w:t>Comblin</w:t>
      </w:r>
      <w:proofErr w:type="spellEnd"/>
      <w:r w:rsidRPr="000A3EEC">
        <w:rPr>
          <w:rFonts w:ascii="Times New Roman" w:hAnsi="Times New Roman" w:cs="Times New Roman"/>
          <w:smallCaps/>
          <w:lang w:val="en-US"/>
        </w:rPr>
        <w:t xml:space="preserve">, </w:t>
      </w:r>
      <w:r>
        <w:rPr>
          <w:rFonts w:ascii="Times New Roman" w:hAnsi="Times New Roman" w:cs="Times New Roman"/>
          <w:smallCaps/>
          <w:lang w:val="en-US"/>
        </w:rPr>
        <w:t>OPD 106.</w:t>
      </w:r>
    </w:p>
  </w:footnote>
  <w:footnote w:id="15">
    <w:p w:rsidR="005D0BC5" w:rsidRDefault="005D0BC5" w:rsidP="005D0BC5">
      <w:pPr>
        <w:pStyle w:val="Textonotapie"/>
      </w:pPr>
      <w:r>
        <w:rPr>
          <w:rStyle w:val="Refdenotaalpie"/>
        </w:rPr>
        <w:footnoteRef/>
      </w:r>
      <w:r>
        <w:t xml:space="preserve"> </w:t>
      </w:r>
      <w:r w:rsidRPr="00683059">
        <w:t>R</w:t>
      </w:r>
      <w:r w:rsidRPr="00683059">
        <w:rPr>
          <w:rFonts w:ascii="Times New Roman" w:hAnsi="Times New Roman" w:cs="Times New Roman"/>
          <w:smallCaps/>
        </w:rPr>
        <w:t xml:space="preserve">ussell, </w:t>
      </w:r>
      <w:r w:rsidRPr="00683059">
        <w:rPr>
          <w:rFonts w:ascii="Times New Roman" w:hAnsi="Times New Roman" w:cs="Times New Roman"/>
        </w:rPr>
        <w:t>ICI 157.</w:t>
      </w:r>
    </w:p>
  </w:footnote>
  <w:footnote w:id="16">
    <w:p w:rsidR="005D0BC5" w:rsidRPr="00F7473D" w:rsidRDefault="005D0BC5" w:rsidP="005D0BC5">
      <w:pPr>
        <w:pStyle w:val="Textonotapie"/>
        <w:jc w:val="both"/>
        <w:rPr>
          <w:rFonts w:ascii="Times New Roman" w:hAnsi="Times New Roman" w:cs="Times New Roman"/>
        </w:rPr>
      </w:pPr>
      <w:r>
        <w:rPr>
          <w:rStyle w:val="Refdenotaalpie"/>
        </w:rPr>
        <w:footnoteRef/>
      </w:r>
      <w:r w:rsidRPr="005669D3">
        <w:t xml:space="preserve"> </w:t>
      </w:r>
      <w:r w:rsidRPr="005669D3">
        <w:rPr>
          <w:rFonts w:ascii="Times New Roman" w:hAnsi="Times New Roman" w:cs="Times New Roman"/>
        </w:rPr>
        <w:t>Me parece muy clarificador l</w:t>
      </w:r>
      <w:r>
        <w:rPr>
          <w:rFonts w:ascii="Times New Roman" w:hAnsi="Times New Roman" w:cs="Times New Roman"/>
        </w:rPr>
        <w:t xml:space="preserve">a distinción que Russell hace en la nota  n° 36 (p. 156) “En la </w:t>
      </w:r>
      <w:proofErr w:type="spellStart"/>
      <w:r>
        <w:rPr>
          <w:rFonts w:ascii="Times New Roman" w:hAnsi="Times New Roman" w:cs="Times New Roman"/>
        </w:rPr>
        <w:t>misionología</w:t>
      </w:r>
      <w:proofErr w:type="spellEnd"/>
      <w:r>
        <w:rPr>
          <w:rFonts w:ascii="Times New Roman" w:hAnsi="Times New Roman" w:cs="Times New Roman"/>
        </w:rPr>
        <w:t xml:space="preserve"> contemporánea y en este libro la palabra “Misión” se utiliza para designar a la Misión de Dios o </w:t>
      </w:r>
      <w:proofErr w:type="spellStart"/>
      <w:r>
        <w:rPr>
          <w:rFonts w:ascii="Times New Roman" w:hAnsi="Times New Roman" w:cs="Times New Roman"/>
          <w:i/>
        </w:rPr>
        <w:t>missio</w:t>
      </w:r>
      <w:proofErr w:type="spellEnd"/>
      <w:r>
        <w:rPr>
          <w:rFonts w:ascii="Times New Roman" w:hAnsi="Times New Roman" w:cs="Times New Roman"/>
          <w:i/>
        </w:rPr>
        <w:t xml:space="preserve"> Dei</w:t>
      </w:r>
      <w:r>
        <w:rPr>
          <w:rFonts w:ascii="Times New Roman" w:hAnsi="Times New Roman" w:cs="Times New Roman"/>
        </w:rPr>
        <w:t xml:space="preserve"> en tanto que la palabra “misión” se refiere al trabajo misionero de la iglesia como participación en el envío de Dios”.</w:t>
      </w:r>
    </w:p>
  </w:footnote>
  <w:footnote w:id="17">
    <w:p w:rsidR="005D0BC5" w:rsidRPr="004D4557" w:rsidRDefault="005D0BC5" w:rsidP="005D0BC5">
      <w:pPr>
        <w:pStyle w:val="Textonotapie"/>
      </w:pPr>
      <w:r>
        <w:rPr>
          <w:rStyle w:val="Refdenotaalpie"/>
        </w:rPr>
        <w:footnoteRef/>
      </w:r>
      <w:r w:rsidRPr="004D4557">
        <w:t xml:space="preserve"> R</w:t>
      </w:r>
      <w:r w:rsidRPr="004D4557">
        <w:rPr>
          <w:rFonts w:ascii="Times New Roman" w:hAnsi="Times New Roman" w:cs="Times New Roman"/>
          <w:smallCaps/>
        </w:rPr>
        <w:t xml:space="preserve">ussell, </w:t>
      </w:r>
      <w:r w:rsidRPr="004D4557">
        <w:rPr>
          <w:rFonts w:ascii="Times New Roman" w:hAnsi="Times New Roman" w:cs="Times New Roman"/>
        </w:rPr>
        <w:t>ICI 157.</w:t>
      </w:r>
    </w:p>
  </w:footnote>
  <w:footnote w:id="18">
    <w:p w:rsidR="005D0BC5" w:rsidRPr="0048602C" w:rsidRDefault="005D0BC5" w:rsidP="005D0BC5">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Considero importante incluir el aporte que hace Russell acerca de una nueva visión de la misión desde otro texto de la misma autora.  </w:t>
      </w:r>
      <w:r w:rsidRPr="004F1DE9">
        <w:rPr>
          <w:rFonts w:ascii="Times New Roman" w:hAnsi="Times New Roman" w:cs="Times New Roman"/>
          <w:lang w:val="en-US"/>
        </w:rPr>
        <w:t xml:space="preserve">Cf. </w:t>
      </w:r>
      <w:r w:rsidRPr="004F1DE9">
        <w:rPr>
          <w:rFonts w:ascii="Times New Roman" w:hAnsi="Times New Roman" w:cs="Times New Roman"/>
          <w:smallCaps/>
          <w:lang w:val="en-US"/>
        </w:rPr>
        <w:t>L. Russell, “</w:t>
      </w:r>
      <w:r w:rsidRPr="004F1DE9">
        <w:rPr>
          <w:rFonts w:ascii="Times New Roman" w:hAnsi="Times New Roman" w:cs="Times New Roman"/>
          <w:lang w:val="en-US"/>
        </w:rPr>
        <w:t xml:space="preserve">God, Gold, Glory and Gender. A Postcolonial View of Mission”: </w:t>
      </w:r>
      <w:r w:rsidRPr="004F1DE9">
        <w:rPr>
          <w:rFonts w:ascii="Times New Roman" w:hAnsi="Times New Roman" w:cs="Times New Roman"/>
          <w:i/>
          <w:lang w:val="en-US"/>
        </w:rPr>
        <w:t>International Review of Mission</w:t>
      </w:r>
      <w:r w:rsidRPr="004F1DE9">
        <w:rPr>
          <w:rFonts w:ascii="Times New Roman" w:hAnsi="Times New Roman" w:cs="Times New Roman"/>
          <w:lang w:val="en-US"/>
        </w:rPr>
        <w:t xml:space="preserve"> 93,368 (2004) 39-49. </w:t>
      </w:r>
      <w:r>
        <w:rPr>
          <w:rFonts w:ascii="Times New Roman" w:hAnsi="Times New Roman" w:cs="Times New Roman"/>
          <w:lang w:val="en-US"/>
        </w:rPr>
        <w:t xml:space="preserve"> </w:t>
      </w:r>
      <w:r w:rsidRPr="0048602C">
        <w:rPr>
          <w:rFonts w:ascii="Times New Roman" w:hAnsi="Times New Roman" w:cs="Times New Roman"/>
        </w:rPr>
        <w:t xml:space="preserve">Agradezco a la Dra. Virginia </w:t>
      </w:r>
      <w:proofErr w:type="spellStart"/>
      <w:r w:rsidRPr="0048602C">
        <w:rPr>
          <w:rFonts w:ascii="Times New Roman" w:hAnsi="Times New Roman" w:cs="Times New Roman"/>
        </w:rPr>
        <w:t>A</w:t>
      </w:r>
      <w:r>
        <w:rPr>
          <w:rFonts w:ascii="Times New Roman" w:hAnsi="Times New Roman" w:cs="Times New Roman"/>
        </w:rPr>
        <w:t>zcuy</w:t>
      </w:r>
      <w:proofErr w:type="spellEnd"/>
      <w:r>
        <w:rPr>
          <w:rFonts w:ascii="Times New Roman" w:hAnsi="Times New Roman" w:cs="Times New Roman"/>
        </w:rPr>
        <w:t xml:space="preserve"> por haberme acercado este artículo. </w:t>
      </w:r>
    </w:p>
  </w:footnote>
  <w:footnote w:id="19">
    <w:p w:rsidR="005D0BC5" w:rsidRPr="004D4557" w:rsidRDefault="005D0BC5" w:rsidP="005D0BC5">
      <w:pPr>
        <w:pStyle w:val="Textonotapie"/>
        <w:rPr>
          <w:rFonts w:ascii="Times New Roman" w:hAnsi="Times New Roman" w:cs="Times New Roman"/>
          <w:lang w:val="en-US"/>
        </w:rPr>
      </w:pPr>
      <w:r>
        <w:rPr>
          <w:rStyle w:val="Refdenotaalpie"/>
        </w:rPr>
        <w:footnoteRef/>
      </w:r>
      <w:r w:rsidRPr="004D4557">
        <w:rPr>
          <w:lang w:val="en-US"/>
        </w:rPr>
        <w:t xml:space="preserve"> </w:t>
      </w:r>
      <w:r w:rsidRPr="004D4557">
        <w:rPr>
          <w:rFonts w:ascii="Times New Roman" w:hAnsi="Times New Roman" w:cs="Times New Roman"/>
          <w:lang w:val="en-US"/>
        </w:rPr>
        <w:t xml:space="preserve">Cf. Ibid. </w:t>
      </w:r>
      <w:r w:rsidRPr="004D4557">
        <w:rPr>
          <w:rFonts w:ascii="Times New Roman" w:hAnsi="Times New Roman" w:cs="Times New Roman"/>
          <w:smallCaps/>
          <w:lang w:val="en-US"/>
        </w:rPr>
        <w:t>L. Russell.</w:t>
      </w:r>
    </w:p>
  </w:footnote>
  <w:footnote w:id="20">
    <w:p w:rsidR="005D0BC5" w:rsidRPr="004D4557" w:rsidRDefault="005D0BC5" w:rsidP="005D0BC5">
      <w:pPr>
        <w:pStyle w:val="Textonotapie"/>
        <w:rPr>
          <w:lang w:val="en-US"/>
        </w:rPr>
      </w:pPr>
      <w:r>
        <w:rPr>
          <w:rStyle w:val="Refdenotaalpie"/>
        </w:rPr>
        <w:footnoteRef/>
      </w:r>
      <w:r w:rsidRPr="004D4557">
        <w:rPr>
          <w:lang w:val="en-US"/>
        </w:rPr>
        <w:t xml:space="preserve"> </w:t>
      </w:r>
      <w:proofErr w:type="spellStart"/>
      <w:r w:rsidRPr="004D4557">
        <w:rPr>
          <w:rFonts w:ascii="Times New Roman" w:hAnsi="Times New Roman" w:cs="Times New Roman"/>
          <w:smallCaps/>
          <w:lang w:val="en-US"/>
        </w:rPr>
        <w:t>Comblin</w:t>
      </w:r>
      <w:proofErr w:type="spellEnd"/>
      <w:r w:rsidRPr="004D4557">
        <w:rPr>
          <w:rFonts w:ascii="Times New Roman" w:hAnsi="Times New Roman" w:cs="Times New Roman"/>
          <w:smallCaps/>
          <w:lang w:val="en-US"/>
        </w:rPr>
        <w:t>, OPD 30.</w:t>
      </w:r>
    </w:p>
  </w:footnote>
  <w:footnote w:id="21">
    <w:p w:rsidR="005D0BC5" w:rsidRPr="00F86F56" w:rsidRDefault="005D0BC5" w:rsidP="005D0BC5">
      <w:pPr>
        <w:pStyle w:val="Textonotapie"/>
      </w:pPr>
      <w:r>
        <w:rPr>
          <w:rStyle w:val="Refdenotaalpie"/>
        </w:rPr>
        <w:footnoteRef/>
      </w:r>
      <w:r w:rsidRPr="00F86F56">
        <w:t xml:space="preserve"> </w:t>
      </w:r>
      <w:proofErr w:type="spellStart"/>
      <w:r w:rsidRPr="00F86F56">
        <w:rPr>
          <w:rFonts w:ascii="Times New Roman" w:hAnsi="Times New Roman" w:cs="Times New Roman"/>
        </w:rPr>
        <w:t>Ibid</w:t>
      </w:r>
      <w:proofErr w:type="spellEnd"/>
      <w:proofErr w:type="gramStart"/>
      <w:r w:rsidRPr="00F86F56">
        <w:rPr>
          <w:rFonts w:ascii="Times New Roman" w:hAnsi="Times New Roman" w:cs="Times New Roman"/>
        </w:rPr>
        <w:t>. ,</w:t>
      </w:r>
      <w:proofErr w:type="gramEnd"/>
      <w:r w:rsidRPr="00F86F56">
        <w:rPr>
          <w:rFonts w:ascii="Times New Roman" w:hAnsi="Times New Roman" w:cs="Times New Roman"/>
        </w:rPr>
        <w:t xml:space="preserve"> </w:t>
      </w:r>
      <w:r>
        <w:rPr>
          <w:rFonts w:ascii="Times New Roman" w:hAnsi="Times New Roman" w:cs="Times New Roman"/>
          <w:smallCaps/>
        </w:rPr>
        <w:t xml:space="preserve">J. </w:t>
      </w:r>
      <w:proofErr w:type="spellStart"/>
      <w:r>
        <w:rPr>
          <w:rFonts w:ascii="Times New Roman" w:hAnsi="Times New Roman" w:cs="Times New Roman"/>
          <w:smallCaps/>
        </w:rPr>
        <w:t>Comblin</w:t>
      </w:r>
      <w:proofErr w:type="spellEnd"/>
      <w:r>
        <w:rPr>
          <w:rFonts w:ascii="Times New Roman" w:hAnsi="Times New Roman" w:cs="Times New Roman"/>
          <w:smallCaps/>
        </w:rPr>
        <w:t>, “</w:t>
      </w:r>
      <w:r>
        <w:rPr>
          <w:rFonts w:ascii="Times New Roman" w:hAnsi="Times New Roman" w:cs="Times New Roman"/>
        </w:rPr>
        <w:t xml:space="preserve">La presencia universal del Reino de Dios y el sentido actual de la misión”, </w:t>
      </w:r>
      <w:r>
        <w:rPr>
          <w:rFonts w:ascii="Times New Roman" w:hAnsi="Times New Roman" w:cs="Times New Roman"/>
          <w:i/>
        </w:rPr>
        <w:t>Perspectivas-CLAR</w:t>
      </w:r>
      <w:r>
        <w:rPr>
          <w:rFonts w:ascii="Times New Roman" w:hAnsi="Times New Roman" w:cs="Times New Roman"/>
        </w:rPr>
        <w:t xml:space="preserve"> 11 (1982)</w:t>
      </w:r>
      <w:r w:rsidRPr="00F86F56">
        <w:rPr>
          <w:rFonts w:ascii="Times New Roman" w:hAnsi="Times New Roman" w:cs="Times New Roman"/>
          <w:smallCaps/>
        </w:rPr>
        <w:t xml:space="preserve"> </w:t>
      </w:r>
      <w:r>
        <w:rPr>
          <w:rFonts w:ascii="Times New Roman" w:hAnsi="Times New Roman" w:cs="Times New Roman"/>
          <w:smallCaps/>
        </w:rPr>
        <w:t xml:space="preserve">33-72, </w:t>
      </w:r>
      <w:r w:rsidRPr="00F86F56">
        <w:rPr>
          <w:rFonts w:ascii="Times New Roman" w:hAnsi="Times New Roman" w:cs="Times New Roman"/>
          <w:smallCaps/>
        </w:rPr>
        <w:t>39</w:t>
      </w:r>
      <w:r w:rsidRPr="00F86F56">
        <w:rPr>
          <w:rFonts w:ascii="Times New Roman" w:hAnsi="Times New Roman" w:cs="Times New Roman"/>
        </w:rPr>
        <w:t>.</w:t>
      </w:r>
    </w:p>
  </w:footnote>
  <w:footnote w:id="22">
    <w:p w:rsidR="005D0BC5" w:rsidRPr="000932BF" w:rsidRDefault="005D0BC5" w:rsidP="005D0BC5">
      <w:pPr>
        <w:pStyle w:val="Textonotapie"/>
      </w:pPr>
      <w:r>
        <w:rPr>
          <w:rStyle w:val="Refdenotaalpie"/>
        </w:rPr>
        <w:footnoteRef/>
      </w:r>
      <w:r w:rsidRPr="000932BF">
        <w:t xml:space="preserve"> </w:t>
      </w:r>
      <w:proofErr w:type="spellStart"/>
      <w:r w:rsidRPr="000932BF">
        <w:rPr>
          <w:rFonts w:ascii="Times New Roman" w:hAnsi="Times New Roman" w:cs="Times New Roman"/>
          <w:smallCaps/>
        </w:rPr>
        <w:t>Comblin</w:t>
      </w:r>
      <w:proofErr w:type="spellEnd"/>
      <w:r w:rsidRPr="000932BF">
        <w:rPr>
          <w:rFonts w:ascii="Times New Roman" w:hAnsi="Times New Roman" w:cs="Times New Roman"/>
          <w:smallCaps/>
        </w:rPr>
        <w:t>, OPD 163.</w:t>
      </w:r>
    </w:p>
  </w:footnote>
  <w:footnote w:id="23">
    <w:p w:rsidR="005D0BC5" w:rsidRPr="00AF413C" w:rsidRDefault="005D0BC5" w:rsidP="005D0BC5">
      <w:pPr>
        <w:pStyle w:val="Textonotapie"/>
      </w:pPr>
      <w:r>
        <w:rPr>
          <w:rStyle w:val="Refdenotaalpie"/>
        </w:rPr>
        <w:footnoteRef/>
      </w:r>
      <w:r w:rsidRPr="00AF413C">
        <w:t xml:space="preserve"> </w:t>
      </w:r>
      <w:proofErr w:type="spellStart"/>
      <w:r w:rsidRPr="00AF413C">
        <w:rPr>
          <w:rFonts w:ascii="Times New Roman" w:hAnsi="Times New Roman" w:cs="Times New Roman"/>
          <w:smallCaps/>
        </w:rPr>
        <w:t>Comblin</w:t>
      </w:r>
      <w:proofErr w:type="spellEnd"/>
      <w:r w:rsidRPr="00AF413C">
        <w:rPr>
          <w:rFonts w:ascii="Times New Roman" w:hAnsi="Times New Roman" w:cs="Times New Roman"/>
          <w:smallCaps/>
        </w:rPr>
        <w:t>, OPD 258.</w:t>
      </w:r>
    </w:p>
  </w:footnote>
  <w:footnote w:id="24">
    <w:p w:rsidR="005D0BC5" w:rsidRPr="00AF413C" w:rsidRDefault="005D0BC5" w:rsidP="005D0BC5">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Cf. </w:t>
      </w:r>
      <w:r>
        <w:rPr>
          <w:rFonts w:ascii="Times New Roman" w:hAnsi="Times New Roman" w:cs="Times New Roman"/>
          <w:smallCaps/>
        </w:rPr>
        <w:t xml:space="preserve">S. </w:t>
      </w:r>
      <w:proofErr w:type="spellStart"/>
      <w:r>
        <w:rPr>
          <w:rFonts w:ascii="Times New Roman" w:hAnsi="Times New Roman" w:cs="Times New Roman"/>
          <w:smallCaps/>
        </w:rPr>
        <w:t>Bevans</w:t>
      </w:r>
      <w:proofErr w:type="spellEnd"/>
      <w:r>
        <w:rPr>
          <w:rFonts w:ascii="Times New Roman" w:hAnsi="Times New Roman" w:cs="Times New Roman"/>
          <w:smallCaps/>
        </w:rPr>
        <w:t xml:space="preserve">- R. Schroeder, </w:t>
      </w:r>
      <w:r>
        <w:rPr>
          <w:rFonts w:ascii="Times New Roman" w:hAnsi="Times New Roman" w:cs="Times New Roman"/>
          <w:i/>
        </w:rPr>
        <w:t>Teología para la misión hoy. Constantes en contexto,</w:t>
      </w:r>
      <w:r>
        <w:rPr>
          <w:rFonts w:ascii="Times New Roman" w:hAnsi="Times New Roman" w:cs="Times New Roman"/>
        </w:rPr>
        <w:t xml:space="preserve"> España, Verbo Divino, 2009.</w:t>
      </w:r>
      <w:r>
        <w:rPr>
          <w:rFonts w:ascii="Times New Roman" w:hAnsi="Times New Roman" w:cs="Times New Roman"/>
          <w:smallCaps/>
        </w:rPr>
        <w:t xml:space="preserve"> </w:t>
      </w:r>
      <w:r>
        <w:rPr>
          <w:rFonts w:ascii="Times New Roman" w:hAnsi="Times New Roman" w:cs="Times New Roman"/>
        </w:rPr>
        <w:t xml:space="preserve">Estos autores desarrollan los tres modelos de misión  que aportaron a la renovación misionera del siglo XX en la tercera parte de la obra (misión como participación en la </w:t>
      </w:r>
      <w:proofErr w:type="spellStart"/>
      <w:r>
        <w:rPr>
          <w:rFonts w:ascii="Times New Roman" w:hAnsi="Times New Roman" w:cs="Times New Roman"/>
          <w:i/>
        </w:rPr>
        <w:t>missio</w:t>
      </w:r>
      <w:proofErr w:type="spellEnd"/>
      <w:r>
        <w:rPr>
          <w:rFonts w:ascii="Times New Roman" w:hAnsi="Times New Roman" w:cs="Times New Roman"/>
          <w:i/>
        </w:rPr>
        <w:t xml:space="preserve"> Dei,</w:t>
      </w:r>
      <w:r>
        <w:rPr>
          <w:rFonts w:ascii="Times New Roman" w:hAnsi="Times New Roman" w:cs="Times New Roman"/>
        </w:rPr>
        <w:t xml:space="preserve"> como servicio liberador en pro del Reino de Dios y como anuncio de Jesucristo, Salvador universal) y presentan en todo el libro un compendio actualizado de </w:t>
      </w:r>
      <w:proofErr w:type="spellStart"/>
      <w:r>
        <w:rPr>
          <w:rFonts w:ascii="Times New Roman" w:hAnsi="Times New Roman" w:cs="Times New Roman"/>
        </w:rPr>
        <w:t>misionología</w:t>
      </w:r>
      <w:proofErr w:type="spellEnd"/>
      <w:r>
        <w:rPr>
          <w:rFonts w:ascii="Times New Roman" w:hAnsi="Times New Roman" w:cs="Times New Roman"/>
        </w:rPr>
        <w:t xml:space="preserve"> desde la teología católica, protestante y ortodoxa.</w:t>
      </w:r>
    </w:p>
  </w:footnote>
  <w:footnote w:id="25">
    <w:p w:rsidR="005D0BC5" w:rsidRPr="005342F0" w:rsidRDefault="005D0BC5" w:rsidP="005D0BC5">
      <w:pPr>
        <w:pStyle w:val="Textonotapie"/>
        <w:rPr>
          <w:rFonts w:ascii="Times New Roman" w:hAnsi="Times New Roman" w:cs="Times New Roman"/>
        </w:rPr>
      </w:pPr>
      <w:r>
        <w:rPr>
          <w:rStyle w:val="Refdenotaalpie"/>
        </w:rPr>
        <w:footnoteRef/>
      </w:r>
      <w:r w:rsidRPr="00AF413C">
        <w:rPr>
          <w:lang w:val="en-US"/>
        </w:rPr>
        <w:t xml:space="preserve"> </w:t>
      </w:r>
      <w:r w:rsidRPr="00AF413C">
        <w:rPr>
          <w:rFonts w:ascii="Times New Roman" w:hAnsi="Times New Roman" w:cs="Times New Roman"/>
          <w:lang w:val="en-US"/>
        </w:rPr>
        <w:t xml:space="preserve">Cf. Ibid., </w:t>
      </w:r>
      <w:r w:rsidRPr="00AF413C">
        <w:rPr>
          <w:rFonts w:ascii="Times New Roman" w:hAnsi="Times New Roman" w:cs="Times New Roman"/>
          <w:smallCaps/>
          <w:lang w:val="en-US"/>
        </w:rPr>
        <w:t xml:space="preserve">S. </w:t>
      </w:r>
      <w:proofErr w:type="spellStart"/>
      <w:r w:rsidRPr="00AF413C">
        <w:rPr>
          <w:rFonts w:ascii="Times New Roman" w:hAnsi="Times New Roman" w:cs="Times New Roman"/>
          <w:smallCaps/>
          <w:lang w:val="en-US"/>
        </w:rPr>
        <w:t>Bevans</w:t>
      </w:r>
      <w:proofErr w:type="spellEnd"/>
      <w:r w:rsidRPr="00AF413C">
        <w:rPr>
          <w:rFonts w:ascii="Times New Roman" w:hAnsi="Times New Roman" w:cs="Times New Roman"/>
          <w:smallCaps/>
          <w:lang w:val="en-US"/>
        </w:rPr>
        <w:t>- R. Schroeder 585-666.</w:t>
      </w:r>
      <w:r>
        <w:rPr>
          <w:rFonts w:ascii="Times New Roman" w:hAnsi="Times New Roman" w:cs="Times New Roman"/>
          <w:smallCaps/>
          <w:lang w:val="en-US"/>
        </w:rPr>
        <w:t xml:space="preserve"> </w:t>
      </w:r>
      <w:r w:rsidRPr="005342F0">
        <w:rPr>
          <w:rFonts w:ascii="Times New Roman" w:hAnsi="Times New Roman" w:cs="Times New Roman"/>
        </w:rPr>
        <w:t>E</w:t>
      </w:r>
      <w:r>
        <w:rPr>
          <w:rFonts w:ascii="Times New Roman" w:hAnsi="Times New Roman" w:cs="Times New Roman"/>
        </w:rPr>
        <w:t xml:space="preserve">stos autores, teniendo en cuenta el cambio de contexto en el mundo,  incorporan la propuesta de Robert </w:t>
      </w:r>
      <w:proofErr w:type="spellStart"/>
      <w:r>
        <w:rPr>
          <w:rFonts w:ascii="Times New Roman" w:hAnsi="Times New Roman" w:cs="Times New Roman"/>
        </w:rPr>
        <w:t>Schreiter</w:t>
      </w:r>
      <w:proofErr w:type="spellEnd"/>
      <w:r>
        <w:rPr>
          <w:rFonts w:ascii="Times New Roman" w:hAnsi="Times New Roman" w:cs="Times New Roman"/>
        </w:rPr>
        <w:t xml:space="preserve"> que considera la reconciliación como una dimensión central para el nuevo modelo de misión.</w:t>
      </w:r>
    </w:p>
  </w:footnote>
  <w:footnote w:id="26">
    <w:p w:rsidR="005D0BC5" w:rsidRPr="00E52B68" w:rsidRDefault="005D0BC5" w:rsidP="005D0BC5">
      <w:pPr>
        <w:pStyle w:val="Textonotapie"/>
        <w:rPr>
          <w:rFonts w:ascii="Times New Roman" w:hAnsi="Times New Roman" w:cs="Times New Roman"/>
        </w:rPr>
      </w:pPr>
      <w:r>
        <w:rPr>
          <w:rStyle w:val="Refdenotaalpie"/>
        </w:rPr>
        <w:footnoteRef/>
      </w:r>
      <w:r>
        <w:t xml:space="preserve"> </w:t>
      </w:r>
      <w:r>
        <w:rPr>
          <w:rFonts w:ascii="Times New Roman" w:hAnsi="Times New Roman" w:cs="Times New Roman"/>
        </w:rPr>
        <w:t xml:space="preserve">Cf. </w:t>
      </w:r>
      <w:r>
        <w:rPr>
          <w:rFonts w:ascii="Times New Roman" w:hAnsi="Times New Roman" w:cs="Times New Roman"/>
          <w:smallCaps/>
        </w:rPr>
        <w:t xml:space="preserve">G. </w:t>
      </w:r>
      <w:proofErr w:type="spellStart"/>
      <w:r>
        <w:rPr>
          <w:rFonts w:ascii="Times New Roman" w:hAnsi="Times New Roman" w:cs="Times New Roman"/>
          <w:smallCaps/>
        </w:rPr>
        <w:t>Zengarini</w:t>
      </w:r>
      <w:proofErr w:type="spellEnd"/>
      <w:r>
        <w:rPr>
          <w:rFonts w:ascii="Times New Roman" w:hAnsi="Times New Roman" w:cs="Times New Roman"/>
          <w:smallCaps/>
        </w:rPr>
        <w:t>, “</w:t>
      </w:r>
      <w:r>
        <w:rPr>
          <w:rFonts w:ascii="Times New Roman" w:hAnsi="Times New Roman" w:cs="Times New Roman"/>
        </w:rPr>
        <w:t xml:space="preserve">Tender puentes: misión desde la interculturalidad”, </w:t>
      </w:r>
      <w:r>
        <w:rPr>
          <w:rFonts w:ascii="Times New Roman" w:hAnsi="Times New Roman" w:cs="Times New Roman"/>
          <w:i/>
        </w:rPr>
        <w:t>Nuevo Mundo</w:t>
      </w:r>
      <w:r>
        <w:rPr>
          <w:rFonts w:ascii="Times New Roman" w:hAnsi="Times New Roman" w:cs="Times New Roman"/>
        </w:rPr>
        <w:t xml:space="preserve"> 11(2009) 43-61.</w:t>
      </w:r>
    </w:p>
  </w:footnote>
  <w:footnote w:id="27">
    <w:p w:rsidR="005D0BC5" w:rsidRPr="007218CA" w:rsidRDefault="005D0BC5" w:rsidP="005D0BC5">
      <w:pPr>
        <w:pStyle w:val="Textonotapie"/>
        <w:rPr>
          <w:rFonts w:ascii="Times New Roman" w:hAnsi="Times New Roman" w:cs="Times New Roman"/>
        </w:rPr>
      </w:pPr>
      <w:r>
        <w:rPr>
          <w:rStyle w:val="Refdenotaalpie"/>
        </w:rPr>
        <w:footnoteRef/>
      </w:r>
      <w:r w:rsidRPr="007218CA">
        <w:t xml:space="preserve"> </w:t>
      </w:r>
      <w:r w:rsidRPr="007218CA">
        <w:rPr>
          <w:rFonts w:ascii="Times New Roman" w:hAnsi="Times New Roman" w:cs="Times New Roman"/>
        </w:rPr>
        <w:t xml:space="preserve">Cf. </w:t>
      </w:r>
      <w:r w:rsidRPr="007218CA">
        <w:rPr>
          <w:rFonts w:ascii="Times New Roman" w:hAnsi="Times New Roman" w:cs="Times New Roman"/>
          <w:smallCaps/>
        </w:rPr>
        <w:t xml:space="preserve">J. </w:t>
      </w:r>
      <w:proofErr w:type="spellStart"/>
      <w:r w:rsidRPr="007218CA">
        <w:rPr>
          <w:rFonts w:ascii="Times New Roman" w:hAnsi="Times New Roman" w:cs="Times New Roman"/>
          <w:smallCaps/>
        </w:rPr>
        <w:t>Comblin</w:t>
      </w:r>
      <w:proofErr w:type="spellEnd"/>
      <w:r w:rsidRPr="007218CA">
        <w:rPr>
          <w:rFonts w:ascii="Times New Roman" w:hAnsi="Times New Roman" w:cs="Times New Roman"/>
          <w:smallCaps/>
        </w:rPr>
        <w:t xml:space="preserve">, </w:t>
      </w:r>
      <w:r w:rsidRPr="007218CA">
        <w:rPr>
          <w:rFonts w:ascii="Times New Roman" w:hAnsi="Times New Roman" w:cs="Times New Roman"/>
          <w:i/>
        </w:rPr>
        <w:t xml:space="preserve">A </w:t>
      </w:r>
      <w:proofErr w:type="spellStart"/>
      <w:r w:rsidRPr="007218CA">
        <w:rPr>
          <w:rFonts w:ascii="Times New Roman" w:hAnsi="Times New Roman" w:cs="Times New Roman"/>
          <w:i/>
        </w:rPr>
        <w:t>profecia</w:t>
      </w:r>
      <w:proofErr w:type="spellEnd"/>
      <w:r w:rsidRPr="007218CA">
        <w:rPr>
          <w:rFonts w:ascii="Times New Roman" w:hAnsi="Times New Roman" w:cs="Times New Roman"/>
          <w:i/>
        </w:rPr>
        <w:t xml:space="preserve"> </w:t>
      </w:r>
      <w:proofErr w:type="spellStart"/>
      <w:r w:rsidRPr="007218CA">
        <w:rPr>
          <w:rFonts w:ascii="Times New Roman" w:hAnsi="Times New Roman" w:cs="Times New Roman"/>
          <w:i/>
        </w:rPr>
        <w:t>na</w:t>
      </w:r>
      <w:proofErr w:type="spellEnd"/>
      <w:r w:rsidRPr="007218CA">
        <w:rPr>
          <w:rFonts w:ascii="Times New Roman" w:hAnsi="Times New Roman" w:cs="Times New Roman"/>
          <w:i/>
        </w:rPr>
        <w:t xml:space="preserve"> </w:t>
      </w:r>
      <w:proofErr w:type="spellStart"/>
      <w:r w:rsidRPr="007218CA">
        <w:rPr>
          <w:rFonts w:ascii="Times New Roman" w:hAnsi="Times New Roman" w:cs="Times New Roman"/>
          <w:i/>
        </w:rPr>
        <w:t>Igre</w:t>
      </w:r>
      <w:r>
        <w:rPr>
          <w:rFonts w:ascii="Times New Roman" w:hAnsi="Times New Roman" w:cs="Times New Roman"/>
          <w:i/>
        </w:rPr>
        <w:t>ja</w:t>
      </w:r>
      <w:proofErr w:type="spellEnd"/>
      <w:r>
        <w:rPr>
          <w:rFonts w:ascii="Times New Roman" w:hAnsi="Times New Roman" w:cs="Times New Roman"/>
          <w:i/>
        </w:rPr>
        <w:t>,</w:t>
      </w:r>
      <w:r>
        <w:rPr>
          <w:rFonts w:ascii="Times New Roman" w:hAnsi="Times New Roman" w:cs="Times New Roman"/>
        </w:rPr>
        <w:t xml:space="preserve"> São Paulo, Paulus</w:t>
      </w:r>
      <w:proofErr w:type="gramStart"/>
      <w:r>
        <w:rPr>
          <w:rFonts w:ascii="Times New Roman" w:hAnsi="Times New Roman" w:cs="Times New Roman"/>
        </w:rPr>
        <w:t>,2008</w:t>
      </w:r>
      <w:proofErr w:type="gramEnd"/>
      <w:r>
        <w:rPr>
          <w:rFonts w:ascii="Times New Roman" w:hAnsi="Times New Roman" w:cs="Times New Roman"/>
        </w:rPr>
        <w:t>, 203-243.</w:t>
      </w:r>
    </w:p>
  </w:footnote>
  <w:footnote w:id="28">
    <w:p w:rsidR="005D0BC5" w:rsidRPr="00584A41" w:rsidRDefault="005D0BC5" w:rsidP="005D0BC5">
      <w:pPr>
        <w:pStyle w:val="Textonotapie"/>
        <w:rPr>
          <w:lang w:val="en-US"/>
        </w:rPr>
      </w:pPr>
      <w:r>
        <w:rPr>
          <w:rStyle w:val="Refdenotaalpie"/>
        </w:rPr>
        <w:footnoteRef/>
      </w:r>
      <w:r w:rsidRPr="00584A41">
        <w:rPr>
          <w:lang w:val="en-US"/>
        </w:rPr>
        <w:t xml:space="preserve"> </w:t>
      </w:r>
      <w:proofErr w:type="spellStart"/>
      <w:r w:rsidRPr="00584A41">
        <w:rPr>
          <w:rFonts w:ascii="Times New Roman" w:hAnsi="Times New Roman" w:cs="Times New Roman"/>
          <w:smallCaps/>
          <w:lang w:val="en-US"/>
        </w:rPr>
        <w:t>Comblin</w:t>
      </w:r>
      <w:proofErr w:type="spellEnd"/>
      <w:r w:rsidRPr="00584A41">
        <w:rPr>
          <w:rFonts w:ascii="Times New Roman" w:hAnsi="Times New Roman" w:cs="Times New Roman"/>
          <w:smallCaps/>
          <w:lang w:val="en-US"/>
        </w:rPr>
        <w:t>, OPD 127.</w:t>
      </w:r>
    </w:p>
  </w:footnote>
  <w:footnote w:id="29">
    <w:p w:rsidR="005D0BC5" w:rsidRPr="00584A41" w:rsidRDefault="005D0BC5" w:rsidP="005D0BC5">
      <w:pPr>
        <w:pStyle w:val="Textonotapie"/>
        <w:rPr>
          <w:rFonts w:ascii="Times New Roman" w:hAnsi="Times New Roman" w:cs="Times New Roman"/>
          <w:lang w:val="en-US"/>
        </w:rPr>
      </w:pPr>
      <w:r>
        <w:rPr>
          <w:rStyle w:val="Refdenotaalpie"/>
        </w:rPr>
        <w:footnoteRef/>
      </w:r>
      <w:r>
        <w:rPr>
          <w:lang w:val="en-US"/>
        </w:rPr>
        <w:t xml:space="preserve"> </w:t>
      </w:r>
      <w:r>
        <w:rPr>
          <w:rFonts w:ascii="Times New Roman" w:hAnsi="Times New Roman" w:cs="Times New Roman"/>
          <w:lang w:val="en-US"/>
        </w:rPr>
        <w:t xml:space="preserve">Cf. </w:t>
      </w:r>
      <w:proofErr w:type="spellStart"/>
      <w:r w:rsidRPr="00740D6F">
        <w:rPr>
          <w:rFonts w:ascii="Times New Roman" w:hAnsi="Times New Roman" w:cs="Times New Roman"/>
          <w:smallCaps/>
          <w:lang w:val="en-US"/>
        </w:rPr>
        <w:t>Comblin</w:t>
      </w:r>
      <w:proofErr w:type="spellEnd"/>
      <w:r w:rsidRPr="00740D6F">
        <w:rPr>
          <w:rFonts w:ascii="Times New Roman" w:hAnsi="Times New Roman" w:cs="Times New Roman"/>
          <w:smallCaps/>
          <w:lang w:val="en-US"/>
        </w:rPr>
        <w:t>, OPD 129-130.</w:t>
      </w:r>
      <w:r w:rsidRPr="00584A41">
        <w:rPr>
          <w:lang w:val="en-US"/>
        </w:rPr>
        <w:t xml:space="preserve"> </w:t>
      </w:r>
    </w:p>
  </w:footnote>
  <w:footnote w:id="30">
    <w:p w:rsidR="005D0BC5" w:rsidRPr="000932BF" w:rsidRDefault="005D0BC5" w:rsidP="005D0BC5">
      <w:pPr>
        <w:pStyle w:val="Textonotapie"/>
        <w:rPr>
          <w:rFonts w:ascii="Times New Roman" w:hAnsi="Times New Roman" w:cs="Times New Roman"/>
        </w:rPr>
      </w:pPr>
      <w:r>
        <w:rPr>
          <w:rStyle w:val="Refdenotaalpie"/>
        </w:rPr>
        <w:footnoteRef/>
      </w:r>
      <w:r w:rsidRPr="000932BF">
        <w:t xml:space="preserve"> </w:t>
      </w:r>
      <w:proofErr w:type="spellStart"/>
      <w:r w:rsidRPr="000932BF">
        <w:rPr>
          <w:rFonts w:ascii="Times New Roman" w:hAnsi="Times New Roman" w:cs="Times New Roman"/>
          <w:smallCaps/>
        </w:rPr>
        <w:t>Comblin</w:t>
      </w:r>
      <w:proofErr w:type="spellEnd"/>
      <w:r w:rsidRPr="000932BF">
        <w:rPr>
          <w:rFonts w:ascii="Times New Roman" w:hAnsi="Times New Roman" w:cs="Times New Roman"/>
          <w:smallCaps/>
        </w:rPr>
        <w:t>, OPD 134.</w:t>
      </w:r>
    </w:p>
  </w:footnote>
  <w:footnote w:id="31">
    <w:p w:rsidR="005D0BC5" w:rsidRPr="004B62A3" w:rsidRDefault="005D0BC5" w:rsidP="005D0BC5">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Cf. </w:t>
      </w:r>
      <w:r>
        <w:rPr>
          <w:rFonts w:ascii="Times New Roman" w:hAnsi="Times New Roman" w:cs="Times New Roman"/>
          <w:smallCaps/>
        </w:rPr>
        <w:t xml:space="preserve">V. </w:t>
      </w:r>
      <w:proofErr w:type="spellStart"/>
      <w:r>
        <w:rPr>
          <w:rFonts w:ascii="Times New Roman" w:hAnsi="Times New Roman" w:cs="Times New Roman"/>
          <w:smallCaps/>
        </w:rPr>
        <w:t>Azcuy</w:t>
      </w:r>
      <w:proofErr w:type="spellEnd"/>
      <w:r>
        <w:rPr>
          <w:rFonts w:ascii="Times New Roman" w:hAnsi="Times New Roman" w:cs="Times New Roman"/>
          <w:smallCaps/>
        </w:rPr>
        <w:t>, “</w:t>
      </w:r>
      <w:r>
        <w:rPr>
          <w:rFonts w:ascii="Times New Roman" w:hAnsi="Times New Roman" w:cs="Times New Roman"/>
        </w:rPr>
        <w:t xml:space="preserve">El futuro del compañerismo. El itinerario biográfico-teológico de </w:t>
      </w:r>
      <w:proofErr w:type="spellStart"/>
      <w:r>
        <w:rPr>
          <w:rFonts w:ascii="Times New Roman" w:hAnsi="Times New Roman" w:cs="Times New Roman"/>
        </w:rPr>
        <w:t>Letty</w:t>
      </w:r>
      <w:proofErr w:type="spellEnd"/>
      <w:r>
        <w:rPr>
          <w:rFonts w:ascii="Times New Roman" w:hAnsi="Times New Roman" w:cs="Times New Roman"/>
        </w:rPr>
        <w:t xml:space="preserve"> M. Russell”, en </w:t>
      </w:r>
      <w:r>
        <w:rPr>
          <w:rFonts w:ascii="Times New Roman" w:hAnsi="Times New Roman" w:cs="Times New Roman"/>
          <w:smallCaps/>
        </w:rPr>
        <w:t xml:space="preserve">V. </w:t>
      </w:r>
      <w:proofErr w:type="spellStart"/>
      <w:r>
        <w:rPr>
          <w:rFonts w:ascii="Times New Roman" w:hAnsi="Times New Roman" w:cs="Times New Roman"/>
          <w:smallCaps/>
        </w:rPr>
        <w:t>Azcuy</w:t>
      </w:r>
      <w:proofErr w:type="spellEnd"/>
      <w:r>
        <w:rPr>
          <w:rFonts w:ascii="Times New Roman" w:hAnsi="Times New Roman" w:cs="Times New Roman"/>
          <w:smallCaps/>
        </w:rPr>
        <w:t xml:space="preserve">- M. García </w:t>
      </w:r>
      <w:proofErr w:type="spellStart"/>
      <w:r>
        <w:rPr>
          <w:rFonts w:ascii="Times New Roman" w:hAnsi="Times New Roman" w:cs="Times New Roman"/>
          <w:smallCaps/>
        </w:rPr>
        <w:t>Bachmann</w:t>
      </w:r>
      <w:proofErr w:type="spellEnd"/>
      <w:r>
        <w:rPr>
          <w:rFonts w:ascii="Times New Roman" w:hAnsi="Times New Roman" w:cs="Times New Roman"/>
          <w:smallCaps/>
        </w:rPr>
        <w:t xml:space="preserve">- C. Lértora Mendoza </w:t>
      </w:r>
      <w:r>
        <w:rPr>
          <w:rFonts w:ascii="Times New Roman" w:hAnsi="Times New Roman" w:cs="Times New Roman"/>
        </w:rPr>
        <w:t>(coord.)</w:t>
      </w:r>
      <w:r>
        <w:rPr>
          <w:rFonts w:ascii="Times New Roman" w:hAnsi="Times New Roman" w:cs="Times New Roman"/>
          <w:smallCaps/>
        </w:rPr>
        <w:t xml:space="preserve">, </w:t>
      </w:r>
      <w:r>
        <w:rPr>
          <w:rFonts w:ascii="Times New Roman" w:hAnsi="Times New Roman" w:cs="Times New Roman"/>
          <w:i/>
        </w:rPr>
        <w:t xml:space="preserve">Estudio de autoras en América Latina, el Caribe y Estados Unidos, </w:t>
      </w:r>
      <w:r>
        <w:rPr>
          <w:rFonts w:ascii="Times New Roman" w:hAnsi="Times New Roman" w:cs="Times New Roman"/>
        </w:rPr>
        <w:t>Buenos Aires, San Pablo, 2009, 375-394.</w:t>
      </w:r>
    </w:p>
  </w:footnote>
  <w:footnote w:id="32">
    <w:p w:rsidR="005D0BC5" w:rsidRPr="000932BF" w:rsidRDefault="005D0BC5" w:rsidP="005D0BC5">
      <w:pPr>
        <w:pStyle w:val="Textonotapie"/>
        <w:rPr>
          <w:lang w:val="en-US"/>
        </w:rPr>
      </w:pPr>
      <w:r>
        <w:rPr>
          <w:rStyle w:val="Refdenotaalpie"/>
        </w:rPr>
        <w:footnoteRef/>
      </w:r>
      <w:r w:rsidRPr="000932BF">
        <w:rPr>
          <w:lang w:val="en-US"/>
        </w:rPr>
        <w:t xml:space="preserve"> R</w:t>
      </w:r>
      <w:r w:rsidRPr="000932BF">
        <w:rPr>
          <w:rFonts w:ascii="Times New Roman" w:hAnsi="Times New Roman" w:cs="Times New Roman"/>
          <w:smallCaps/>
          <w:lang w:val="en-US"/>
        </w:rPr>
        <w:t xml:space="preserve">ussell, </w:t>
      </w:r>
      <w:r w:rsidRPr="000932BF">
        <w:rPr>
          <w:rFonts w:ascii="Times New Roman" w:hAnsi="Times New Roman" w:cs="Times New Roman"/>
          <w:lang w:val="en-US"/>
        </w:rPr>
        <w:t>ICI 357.</w:t>
      </w:r>
    </w:p>
  </w:footnote>
  <w:footnote w:id="33">
    <w:p w:rsidR="005D0BC5" w:rsidRPr="000932BF" w:rsidRDefault="005D0BC5" w:rsidP="005D0BC5">
      <w:pPr>
        <w:pStyle w:val="Textonotapie"/>
        <w:rPr>
          <w:rFonts w:ascii="Times New Roman" w:hAnsi="Times New Roman" w:cs="Times New Roman"/>
          <w:lang w:val="en-US"/>
        </w:rPr>
      </w:pPr>
      <w:r>
        <w:rPr>
          <w:rStyle w:val="Refdenotaalpie"/>
        </w:rPr>
        <w:footnoteRef/>
      </w:r>
      <w:r w:rsidRPr="000932BF">
        <w:rPr>
          <w:lang w:val="en-US"/>
        </w:rPr>
        <w:t xml:space="preserve"> </w:t>
      </w:r>
      <w:r w:rsidRPr="000932BF">
        <w:rPr>
          <w:rFonts w:ascii="Times New Roman" w:hAnsi="Times New Roman" w:cs="Times New Roman"/>
          <w:lang w:val="en-US"/>
        </w:rPr>
        <w:t xml:space="preserve">Cf. </w:t>
      </w:r>
      <w:r w:rsidRPr="000932BF">
        <w:rPr>
          <w:lang w:val="en-US"/>
        </w:rPr>
        <w:t>R</w:t>
      </w:r>
      <w:r w:rsidRPr="000932BF">
        <w:rPr>
          <w:rFonts w:ascii="Times New Roman" w:hAnsi="Times New Roman" w:cs="Times New Roman"/>
          <w:smallCaps/>
          <w:lang w:val="en-US"/>
        </w:rPr>
        <w:t xml:space="preserve">ussell, </w:t>
      </w:r>
      <w:r w:rsidRPr="000932BF">
        <w:rPr>
          <w:rFonts w:ascii="Times New Roman" w:hAnsi="Times New Roman" w:cs="Times New Roman"/>
          <w:lang w:val="en-US"/>
        </w:rPr>
        <w:t>ICI 359-360.</w:t>
      </w:r>
    </w:p>
  </w:footnote>
  <w:footnote w:id="34">
    <w:p w:rsidR="005D0BC5" w:rsidRPr="00806378" w:rsidRDefault="005D0BC5" w:rsidP="005D0BC5">
      <w:pPr>
        <w:spacing w:line="240" w:lineRule="auto"/>
        <w:ind w:firstLine="360"/>
        <w:jc w:val="both"/>
        <w:rPr>
          <w:rFonts w:ascii="Times New Roman" w:hAnsi="Times New Roman" w:cs="Times New Roman"/>
          <w:sz w:val="20"/>
          <w:szCs w:val="20"/>
        </w:rPr>
      </w:pPr>
      <w:r>
        <w:rPr>
          <w:rStyle w:val="Refdenotaalpie"/>
        </w:rPr>
        <w:footnoteRef/>
      </w:r>
      <w:r>
        <w:t xml:space="preserve"> </w:t>
      </w:r>
      <w:r w:rsidRPr="00806378">
        <w:rPr>
          <w:rFonts w:ascii="Times New Roman" w:hAnsi="Times New Roman" w:cs="Times New Roman"/>
          <w:sz w:val="20"/>
          <w:szCs w:val="20"/>
        </w:rPr>
        <w:t>El di</w:t>
      </w:r>
      <w:r>
        <w:rPr>
          <w:rFonts w:ascii="Times New Roman" w:hAnsi="Times New Roman" w:cs="Times New Roman"/>
          <w:sz w:val="20"/>
          <w:szCs w:val="20"/>
        </w:rPr>
        <w:t>ario “</w:t>
      </w:r>
      <w:proofErr w:type="spellStart"/>
      <w:r>
        <w:rPr>
          <w:rFonts w:ascii="Times New Roman" w:hAnsi="Times New Roman" w:cs="Times New Roman"/>
          <w:sz w:val="20"/>
          <w:szCs w:val="20"/>
        </w:rPr>
        <w:t>Clarin</w:t>
      </w:r>
      <w:proofErr w:type="spellEnd"/>
      <w:r>
        <w:rPr>
          <w:rFonts w:ascii="Times New Roman" w:hAnsi="Times New Roman" w:cs="Times New Roman"/>
          <w:sz w:val="20"/>
          <w:szCs w:val="20"/>
        </w:rPr>
        <w:t xml:space="preserve">” describe esta </w:t>
      </w:r>
      <w:r w:rsidRPr="00806378">
        <w:rPr>
          <w:rFonts w:ascii="Times New Roman" w:hAnsi="Times New Roman" w:cs="Times New Roman"/>
          <w:sz w:val="20"/>
          <w:szCs w:val="20"/>
        </w:rPr>
        <w:t xml:space="preserve">zona de la siguiente manera: “La Villa Carlos </w:t>
      </w:r>
      <w:proofErr w:type="spellStart"/>
      <w:r w:rsidRPr="00806378">
        <w:rPr>
          <w:rFonts w:ascii="Times New Roman" w:hAnsi="Times New Roman" w:cs="Times New Roman"/>
          <w:sz w:val="20"/>
          <w:szCs w:val="20"/>
        </w:rPr>
        <w:t>Gradel</w:t>
      </w:r>
      <w:proofErr w:type="spellEnd"/>
      <w:r w:rsidRPr="00806378">
        <w:rPr>
          <w:rFonts w:ascii="Times New Roman" w:hAnsi="Times New Roman" w:cs="Times New Roman"/>
          <w:sz w:val="20"/>
          <w:szCs w:val="20"/>
        </w:rPr>
        <w:t xml:space="preserve"> es uno de los vértices del llamado “Triángulo de las </w:t>
      </w:r>
      <w:proofErr w:type="spellStart"/>
      <w:r w:rsidRPr="00806378">
        <w:rPr>
          <w:rFonts w:ascii="Times New Roman" w:hAnsi="Times New Roman" w:cs="Times New Roman"/>
          <w:sz w:val="20"/>
          <w:szCs w:val="20"/>
        </w:rPr>
        <w:t>Bernudas</w:t>
      </w:r>
      <w:proofErr w:type="spellEnd"/>
      <w:r w:rsidRPr="00806378">
        <w:rPr>
          <w:rFonts w:ascii="Times New Roman" w:hAnsi="Times New Roman" w:cs="Times New Roman"/>
          <w:sz w:val="20"/>
          <w:szCs w:val="20"/>
        </w:rPr>
        <w:t xml:space="preserve">” del delito, junto a Fuerte Apache y Villa El Mercado, una de las zonas más calientes del Oeste del Gran Buenos Aires. Está compuesta por un complejo de </w:t>
      </w:r>
      <w:proofErr w:type="spellStart"/>
      <w:r w:rsidRPr="00806378">
        <w:rPr>
          <w:rFonts w:ascii="Times New Roman" w:hAnsi="Times New Roman" w:cs="Times New Roman"/>
          <w:sz w:val="20"/>
          <w:szCs w:val="20"/>
        </w:rPr>
        <w:t>monobloques</w:t>
      </w:r>
      <w:proofErr w:type="spellEnd"/>
      <w:r w:rsidRPr="00806378">
        <w:rPr>
          <w:rFonts w:ascii="Times New Roman" w:hAnsi="Times New Roman" w:cs="Times New Roman"/>
          <w:sz w:val="20"/>
          <w:szCs w:val="20"/>
        </w:rPr>
        <w:t xml:space="preserve"> y por un asentamiento precario (la “Villa de los paraguayos”). Viven allí unas 12 mil personas” </w:t>
      </w:r>
      <w:proofErr w:type="spellStart"/>
      <w:r>
        <w:rPr>
          <w:rFonts w:ascii="Times New Roman" w:hAnsi="Times New Roman" w:cs="Times New Roman"/>
          <w:sz w:val="20"/>
          <w:szCs w:val="20"/>
        </w:rPr>
        <w:t>Clarin</w:t>
      </w:r>
      <w:proofErr w:type="spellEnd"/>
      <w:r>
        <w:rPr>
          <w:rFonts w:ascii="Times New Roman" w:hAnsi="Times New Roman" w:cs="Times New Roman"/>
          <w:sz w:val="20"/>
          <w:szCs w:val="20"/>
        </w:rPr>
        <w:t xml:space="preserve"> 21 de agosto del 2010.</w:t>
      </w:r>
    </w:p>
    <w:p w:rsidR="005D0BC5" w:rsidRDefault="005D0BC5" w:rsidP="005D0BC5">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4469"/>
      <w:docPartObj>
        <w:docPartGallery w:val="Page Numbers (Top of Page)"/>
        <w:docPartUnique/>
      </w:docPartObj>
    </w:sdtPr>
    <w:sdtEndPr/>
    <w:sdtContent>
      <w:p w:rsidR="008A6D06" w:rsidRDefault="00B21019">
        <w:pPr>
          <w:pStyle w:val="Encabezado"/>
          <w:jc w:val="right"/>
        </w:pPr>
        <w:r>
          <w:fldChar w:fldCharType="begin"/>
        </w:r>
        <w:r>
          <w:instrText xml:space="preserve"> PAGE   \* MERGEFORMAT </w:instrText>
        </w:r>
        <w:r>
          <w:fldChar w:fldCharType="separate"/>
        </w:r>
        <w:r w:rsidR="00AB1C9A">
          <w:rPr>
            <w:noProof/>
          </w:rPr>
          <w:t>2</w:t>
        </w:r>
        <w:r>
          <w:rPr>
            <w:noProof/>
          </w:rPr>
          <w:fldChar w:fldCharType="end"/>
        </w:r>
      </w:p>
    </w:sdtContent>
  </w:sdt>
  <w:p w:rsidR="00EF146D" w:rsidRDefault="00B2101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945C5A"/>
    <w:multiLevelType w:val="multilevel"/>
    <w:tmpl w:val="9FDE89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79EA5DB4"/>
    <w:multiLevelType w:val="hybridMultilevel"/>
    <w:tmpl w:val="17E07480"/>
    <w:lvl w:ilvl="0" w:tplc="2C0A000D">
      <w:start w:val="1"/>
      <w:numFmt w:val="bullet"/>
      <w:lvlText w:val=""/>
      <w:lvlJc w:val="left"/>
      <w:pPr>
        <w:ind w:left="1080" w:hanging="360"/>
      </w:pPr>
      <w:rPr>
        <w:rFonts w:ascii="Wingdings" w:hAnsi="Wingdings"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BC5"/>
    <w:rsid w:val="00151824"/>
    <w:rsid w:val="005D0BC5"/>
    <w:rsid w:val="00AB1C9A"/>
    <w:rsid w:val="00B2101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BC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D0BC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D0BC5"/>
  </w:style>
  <w:style w:type="paragraph" w:styleId="Prrafodelista">
    <w:name w:val="List Paragraph"/>
    <w:basedOn w:val="Normal"/>
    <w:uiPriority w:val="34"/>
    <w:qFormat/>
    <w:rsid w:val="005D0BC5"/>
    <w:pPr>
      <w:ind w:left="720"/>
      <w:contextualSpacing/>
    </w:pPr>
  </w:style>
  <w:style w:type="paragraph" w:styleId="Textonotapie">
    <w:name w:val="footnote text"/>
    <w:basedOn w:val="Normal"/>
    <w:link w:val="TextonotapieCar"/>
    <w:semiHidden/>
    <w:unhideWhenUsed/>
    <w:rsid w:val="005D0BC5"/>
    <w:pPr>
      <w:spacing w:after="0" w:line="240" w:lineRule="auto"/>
    </w:pPr>
    <w:rPr>
      <w:sz w:val="20"/>
      <w:szCs w:val="20"/>
    </w:rPr>
  </w:style>
  <w:style w:type="character" w:customStyle="1" w:styleId="TextonotapieCar">
    <w:name w:val="Texto nota pie Car"/>
    <w:basedOn w:val="Fuentedeprrafopredeter"/>
    <w:link w:val="Textonotapie"/>
    <w:semiHidden/>
    <w:rsid w:val="005D0BC5"/>
    <w:rPr>
      <w:sz w:val="20"/>
      <w:szCs w:val="20"/>
    </w:rPr>
  </w:style>
  <w:style w:type="character" w:styleId="Refdenotaalpie">
    <w:name w:val="footnote reference"/>
    <w:basedOn w:val="Fuentedeprrafopredeter"/>
    <w:semiHidden/>
    <w:unhideWhenUsed/>
    <w:rsid w:val="005D0BC5"/>
    <w:rPr>
      <w:vertAlign w:val="superscript"/>
    </w:rPr>
  </w:style>
  <w:style w:type="paragraph" w:styleId="Textoindependiente">
    <w:name w:val="Body Text"/>
    <w:basedOn w:val="Normal"/>
    <w:link w:val="TextoindependienteCar"/>
    <w:rsid w:val="005D0BC5"/>
    <w:pPr>
      <w:spacing w:after="0" w:line="240" w:lineRule="auto"/>
      <w:jc w:val="both"/>
    </w:pPr>
    <w:rPr>
      <w:rFonts w:ascii="Times New Roman" w:eastAsia="Times New Roman" w:hAnsi="Times New Roman" w:cs="Times New Roman"/>
      <w:sz w:val="24"/>
      <w:szCs w:val="20"/>
      <w:lang w:val="es-MX" w:eastAsia="es-PE"/>
    </w:rPr>
  </w:style>
  <w:style w:type="character" w:customStyle="1" w:styleId="TextoindependienteCar">
    <w:name w:val="Texto independiente Car"/>
    <w:basedOn w:val="Fuentedeprrafopredeter"/>
    <w:link w:val="Textoindependiente"/>
    <w:rsid w:val="005D0BC5"/>
    <w:rPr>
      <w:rFonts w:ascii="Times New Roman" w:eastAsia="Times New Roman" w:hAnsi="Times New Roman" w:cs="Times New Roman"/>
      <w:sz w:val="24"/>
      <w:szCs w:val="20"/>
      <w:lang w:val="es-MX" w:eastAsia="es-P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BC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D0BC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D0BC5"/>
  </w:style>
  <w:style w:type="paragraph" w:styleId="Prrafodelista">
    <w:name w:val="List Paragraph"/>
    <w:basedOn w:val="Normal"/>
    <w:uiPriority w:val="34"/>
    <w:qFormat/>
    <w:rsid w:val="005D0BC5"/>
    <w:pPr>
      <w:ind w:left="720"/>
      <w:contextualSpacing/>
    </w:pPr>
  </w:style>
  <w:style w:type="paragraph" w:styleId="Textonotapie">
    <w:name w:val="footnote text"/>
    <w:basedOn w:val="Normal"/>
    <w:link w:val="TextonotapieCar"/>
    <w:semiHidden/>
    <w:unhideWhenUsed/>
    <w:rsid w:val="005D0BC5"/>
    <w:pPr>
      <w:spacing w:after="0" w:line="240" w:lineRule="auto"/>
    </w:pPr>
    <w:rPr>
      <w:sz w:val="20"/>
      <w:szCs w:val="20"/>
    </w:rPr>
  </w:style>
  <w:style w:type="character" w:customStyle="1" w:styleId="TextonotapieCar">
    <w:name w:val="Texto nota pie Car"/>
    <w:basedOn w:val="Fuentedeprrafopredeter"/>
    <w:link w:val="Textonotapie"/>
    <w:semiHidden/>
    <w:rsid w:val="005D0BC5"/>
    <w:rPr>
      <w:sz w:val="20"/>
      <w:szCs w:val="20"/>
    </w:rPr>
  </w:style>
  <w:style w:type="character" w:styleId="Refdenotaalpie">
    <w:name w:val="footnote reference"/>
    <w:basedOn w:val="Fuentedeprrafopredeter"/>
    <w:semiHidden/>
    <w:unhideWhenUsed/>
    <w:rsid w:val="005D0BC5"/>
    <w:rPr>
      <w:vertAlign w:val="superscript"/>
    </w:rPr>
  </w:style>
  <w:style w:type="paragraph" w:styleId="Textoindependiente">
    <w:name w:val="Body Text"/>
    <w:basedOn w:val="Normal"/>
    <w:link w:val="TextoindependienteCar"/>
    <w:rsid w:val="005D0BC5"/>
    <w:pPr>
      <w:spacing w:after="0" w:line="240" w:lineRule="auto"/>
      <w:jc w:val="both"/>
    </w:pPr>
    <w:rPr>
      <w:rFonts w:ascii="Times New Roman" w:eastAsia="Times New Roman" w:hAnsi="Times New Roman" w:cs="Times New Roman"/>
      <w:sz w:val="24"/>
      <w:szCs w:val="20"/>
      <w:lang w:val="es-MX" w:eastAsia="es-PE"/>
    </w:rPr>
  </w:style>
  <w:style w:type="character" w:customStyle="1" w:styleId="TextoindependienteCar">
    <w:name w:val="Texto independiente Car"/>
    <w:basedOn w:val="Fuentedeprrafopredeter"/>
    <w:link w:val="Textoindependiente"/>
    <w:rsid w:val="005D0BC5"/>
    <w:rPr>
      <w:rFonts w:ascii="Times New Roman" w:eastAsia="Times New Roman" w:hAnsi="Times New Roman" w:cs="Times New Roman"/>
      <w:sz w:val="24"/>
      <w:szCs w:val="20"/>
      <w:lang w:val="es-MX"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4560</Words>
  <Characters>25085</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dc:creator>
  <cp:lastModifiedBy>Gabriela</cp:lastModifiedBy>
  <cp:revision>2</cp:revision>
  <dcterms:created xsi:type="dcterms:W3CDTF">2015-12-28T21:51:00Z</dcterms:created>
  <dcterms:modified xsi:type="dcterms:W3CDTF">2015-12-28T21:56:00Z</dcterms:modified>
</cp:coreProperties>
</file>