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E86213" w14:textId="77777777" w:rsidR="00291166" w:rsidRPr="00291166" w:rsidRDefault="00291166" w:rsidP="00291166">
      <w:pPr>
        <w:shd w:val="clear" w:color="auto" w:fill="FFFFFF"/>
        <w:spacing w:after="165" w:line="810" w:lineRule="atLeast"/>
        <w:jc w:val="both"/>
        <w:outlineLvl w:val="0"/>
        <w:rPr>
          <w:rFonts w:ascii="Raleway" w:eastAsia="Times New Roman" w:hAnsi="Raleway" w:cs="Times New Roman"/>
          <w:kern w:val="36"/>
          <w:sz w:val="66"/>
          <w:szCs w:val="66"/>
          <w:lang w:eastAsia="es-UY"/>
          <w14:ligatures w14:val="none"/>
        </w:rPr>
      </w:pPr>
      <w:r w:rsidRPr="00291166">
        <w:rPr>
          <w:rFonts w:ascii="Raleway" w:eastAsia="Times New Roman" w:hAnsi="Raleway" w:cs="Times New Roman"/>
          <w:kern w:val="36"/>
          <w:sz w:val="66"/>
          <w:szCs w:val="66"/>
          <w:lang w:eastAsia="es-UY"/>
          <w14:ligatures w14:val="none"/>
        </w:rPr>
        <w:t xml:space="preserve">El camino de la </w:t>
      </w:r>
      <w:proofErr w:type="spellStart"/>
      <w:r w:rsidRPr="00291166">
        <w:rPr>
          <w:rFonts w:ascii="Raleway" w:eastAsia="Times New Roman" w:hAnsi="Raleway" w:cs="Times New Roman"/>
          <w:kern w:val="36"/>
          <w:sz w:val="66"/>
          <w:szCs w:val="66"/>
          <w:lang w:eastAsia="es-UY"/>
          <w14:ligatures w14:val="none"/>
        </w:rPr>
        <w:t>sinodalidad</w:t>
      </w:r>
      <w:proofErr w:type="spellEnd"/>
      <w:r w:rsidRPr="00291166">
        <w:rPr>
          <w:rFonts w:ascii="Raleway" w:eastAsia="Times New Roman" w:hAnsi="Raleway" w:cs="Times New Roman"/>
          <w:kern w:val="36"/>
          <w:sz w:val="66"/>
          <w:szCs w:val="66"/>
          <w:lang w:eastAsia="es-UY"/>
          <w14:ligatures w14:val="none"/>
        </w:rPr>
        <w:t xml:space="preserve"> es el camino que Dios espera de la Iglesia del tercer milenio</w:t>
      </w:r>
    </w:p>
    <w:p w14:paraId="12076D7D" w14:textId="77777777" w:rsidR="00291166" w:rsidRPr="00291166" w:rsidRDefault="00291166" w:rsidP="00291166">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91166">
        <w:rPr>
          <w:rFonts w:ascii="Merriweather" w:eastAsia="Times New Roman" w:hAnsi="Merriweather" w:cs="Times New Roman"/>
          <w:color w:val="444444"/>
          <w:kern w:val="0"/>
          <w:sz w:val="17"/>
          <w:szCs w:val="17"/>
          <w:lang w:eastAsia="es-UY"/>
          <w14:ligatures w14:val="none"/>
        </w:rPr>
        <w:t>escrito por</w:t>
      </w:r>
    </w:p>
    <w:p w14:paraId="42000E2E" w14:textId="77777777" w:rsidR="00291166" w:rsidRPr="00291166" w:rsidRDefault="00291166" w:rsidP="00291166">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91166">
        <w:rPr>
          <w:rFonts w:ascii="Merriweather" w:eastAsia="Times New Roman" w:hAnsi="Merriweather" w:cs="Times New Roman"/>
          <w:color w:val="444444"/>
          <w:kern w:val="0"/>
          <w:sz w:val="17"/>
          <w:szCs w:val="17"/>
          <w:lang w:eastAsia="es-UY"/>
          <w14:ligatures w14:val="none"/>
        </w:rPr>
        <w:t> </w:t>
      </w:r>
      <w:hyperlink r:id="rId5" w:history="1">
        <w:r w:rsidRPr="00291166">
          <w:rPr>
            <w:rFonts w:ascii="Merriweather" w:eastAsia="Times New Roman" w:hAnsi="Merriweather" w:cs="Times New Roman"/>
            <w:b/>
            <w:bCs/>
            <w:color w:val="000000"/>
            <w:kern w:val="0"/>
            <w:sz w:val="17"/>
            <w:szCs w:val="17"/>
            <w:lang w:eastAsia="es-UY"/>
            <w14:ligatures w14:val="none"/>
          </w:rPr>
          <w:t>Josep M. Lozano</w:t>
        </w:r>
      </w:hyperlink>
    </w:p>
    <w:p w14:paraId="172CD647" w14:textId="77777777" w:rsidR="00291166" w:rsidRPr="00291166" w:rsidRDefault="00291166" w:rsidP="00291166">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91166">
        <w:rPr>
          <w:rFonts w:ascii="Merriweather" w:eastAsia="Times New Roman" w:hAnsi="Merriweather" w:cs="Times New Roman"/>
          <w:color w:val="444444"/>
          <w:kern w:val="0"/>
          <w:sz w:val="17"/>
          <w:szCs w:val="17"/>
          <w:lang w:eastAsia="es-UY"/>
          <w14:ligatures w14:val="none"/>
        </w:rPr>
        <w:t> -</w:t>
      </w:r>
    </w:p>
    <w:p w14:paraId="2E2513EC" w14:textId="77777777" w:rsidR="00291166" w:rsidRPr="00291166" w:rsidRDefault="00291166" w:rsidP="00291166">
      <w:pPr>
        <w:shd w:val="clear" w:color="auto" w:fill="FFFFFF"/>
        <w:spacing w:after="0" w:line="240" w:lineRule="auto"/>
        <w:jc w:val="both"/>
        <w:rPr>
          <w:rFonts w:ascii="Merriweather" w:eastAsia="Times New Roman" w:hAnsi="Merriweather" w:cs="Times New Roman"/>
          <w:kern w:val="0"/>
          <w:sz w:val="17"/>
          <w:szCs w:val="17"/>
          <w:lang w:eastAsia="es-UY"/>
          <w14:ligatures w14:val="none"/>
        </w:rPr>
      </w:pPr>
      <w:r w:rsidRPr="00291166">
        <w:rPr>
          <w:rFonts w:ascii="Merriweather" w:eastAsia="Times New Roman" w:hAnsi="Merriweather" w:cs="Times New Roman"/>
          <w:color w:val="767676"/>
          <w:kern w:val="0"/>
          <w:sz w:val="17"/>
          <w:szCs w:val="17"/>
          <w:lang w:eastAsia="es-UY"/>
          <w14:ligatures w14:val="none"/>
        </w:rPr>
        <w:t>24 Octubre 2024</w:t>
      </w:r>
    </w:p>
    <w:p w14:paraId="5F7A0C11" w14:textId="77777777" w:rsidR="00291166" w:rsidRPr="00291166" w:rsidRDefault="00291166" w:rsidP="00291166">
      <w:pPr>
        <w:shd w:val="clear" w:color="auto" w:fill="FFFFFF"/>
        <w:spacing w:after="0" w:line="240" w:lineRule="auto"/>
        <w:jc w:val="both"/>
        <w:textAlignment w:val="top"/>
        <w:rPr>
          <w:rFonts w:ascii="Merriweather" w:eastAsia="Times New Roman" w:hAnsi="Merriweather" w:cs="Times New Roman"/>
          <w:kern w:val="0"/>
          <w:sz w:val="17"/>
          <w:szCs w:val="17"/>
          <w:lang w:eastAsia="es-UY"/>
          <w14:ligatures w14:val="none"/>
        </w:rPr>
      </w:pPr>
      <w:r w:rsidRPr="00291166">
        <w:rPr>
          <w:rFonts w:ascii="Raleway" w:eastAsia="Times New Roman" w:hAnsi="Raleway" w:cs="Times New Roman"/>
          <w:kern w:val="0"/>
          <w:sz w:val="17"/>
          <w:szCs w:val="17"/>
          <w:lang w:eastAsia="es-UY"/>
          <w14:ligatures w14:val="none"/>
        </w:rPr>
        <w:t>379</w:t>
      </w:r>
    </w:p>
    <w:p w14:paraId="682DBF04" w14:textId="77777777" w:rsidR="00291166" w:rsidRPr="00291166" w:rsidRDefault="00291166" w:rsidP="00291166">
      <w:pPr>
        <w:shd w:val="clear" w:color="auto" w:fill="F7F9F8"/>
        <w:spacing w:after="0" w:line="240" w:lineRule="auto"/>
        <w:jc w:val="both"/>
        <w:rPr>
          <w:rFonts w:ascii="Times New Roman" w:eastAsia="Times New Roman" w:hAnsi="Times New Roman" w:cs="Times New Roman"/>
          <w:kern w:val="0"/>
          <w:sz w:val="24"/>
          <w:szCs w:val="24"/>
          <w:lang w:eastAsia="es-UY"/>
          <w14:ligatures w14:val="none"/>
        </w:rPr>
      </w:pPr>
      <w:r w:rsidRPr="00291166">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8240" behindDoc="1" locked="0" layoutInCell="1" allowOverlap="1" wp14:anchorId="2C77D336" wp14:editId="12F36312">
            <wp:simplePos x="0" y="0"/>
            <wp:positionH relativeFrom="column">
              <wp:posOffset>-635</wp:posOffset>
            </wp:positionH>
            <wp:positionV relativeFrom="paragraph">
              <wp:posOffset>-635</wp:posOffset>
            </wp:positionV>
            <wp:extent cx="2012950" cy="2857500"/>
            <wp:effectExtent l="0" t="0" r="6350" b="0"/>
            <wp:wrapTight wrapText="bothSides">
              <wp:wrapPolygon edited="0">
                <wp:start x="0" y="0"/>
                <wp:lineTo x="0" y="21456"/>
                <wp:lineTo x="21464" y="21456"/>
                <wp:lineTo x="21464" y="0"/>
                <wp:lineTo x="0" y="0"/>
              </wp:wrapPolygon>
            </wp:wrapTight>
            <wp:docPr id="1"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295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5EA4C" w14:textId="77777777" w:rsidR="00291166" w:rsidRPr="00291166" w:rsidRDefault="00291166" w:rsidP="00291166">
      <w:pPr>
        <w:shd w:val="clear" w:color="auto" w:fill="F7F9F8"/>
        <w:spacing w:before="120" w:after="255" w:line="450" w:lineRule="atLeast"/>
        <w:jc w:val="both"/>
        <w:outlineLvl w:val="2"/>
        <w:rPr>
          <w:rFonts w:ascii="Raleway" w:eastAsia="Times New Roman" w:hAnsi="Raleway" w:cs="Times New Roman"/>
          <w:b/>
          <w:bCs/>
          <w:kern w:val="0"/>
          <w:sz w:val="33"/>
          <w:szCs w:val="33"/>
          <w:lang w:eastAsia="es-UY"/>
          <w14:ligatures w14:val="none"/>
        </w:rPr>
      </w:pPr>
      <w:r w:rsidRPr="00291166">
        <w:rPr>
          <w:rFonts w:ascii="Raleway" w:eastAsia="Times New Roman" w:hAnsi="Raleway" w:cs="Times New Roman"/>
          <w:b/>
          <w:bCs/>
          <w:kern w:val="0"/>
          <w:sz w:val="33"/>
          <w:szCs w:val="33"/>
          <w:lang w:eastAsia="es-UY"/>
          <w14:ligatures w14:val="none"/>
        </w:rPr>
        <w:t>Del Sínodo al jubileo: construyendo comunidad en diálogo</w:t>
      </w:r>
    </w:p>
    <w:p w14:paraId="03FA4A64" w14:textId="77777777" w:rsidR="00291166" w:rsidRPr="00291166" w:rsidRDefault="00291166" w:rsidP="00291166">
      <w:pPr>
        <w:shd w:val="clear" w:color="auto" w:fill="F7F9F8"/>
        <w:spacing w:after="240" w:line="240" w:lineRule="auto"/>
        <w:jc w:val="both"/>
        <w:rPr>
          <w:rFonts w:ascii="Merriweather" w:eastAsia="Times New Roman" w:hAnsi="Merriweather" w:cs="Times New Roman"/>
          <w:b/>
          <w:bCs/>
          <w:i/>
          <w:iCs/>
          <w:kern w:val="0"/>
          <w:sz w:val="24"/>
          <w:szCs w:val="24"/>
          <w:lang w:eastAsia="es-UY"/>
          <w14:ligatures w14:val="none"/>
        </w:rPr>
      </w:pPr>
      <w:r w:rsidRPr="00291166">
        <w:rPr>
          <w:rFonts w:ascii="Merriweather" w:eastAsia="Times New Roman" w:hAnsi="Merriweather" w:cs="Times New Roman"/>
          <w:b/>
          <w:bCs/>
          <w:i/>
          <w:iCs/>
          <w:kern w:val="0"/>
          <w:sz w:val="24"/>
          <w:szCs w:val="24"/>
          <w:lang w:eastAsia="es-UY"/>
          <w14:ligatures w14:val="none"/>
        </w:rPr>
        <w:t>ISBN: 978-84-9730-554-9</w:t>
      </w:r>
    </w:p>
    <w:p w14:paraId="34049D92" w14:textId="77777777" w:rsidR="00291166" w:rsidRPr="00291166" w:rsidRDefault="00291166" w:rsidP="00291166">
      <w:pPr>
        <w:shd w:val="clear" w:color="auto" w:fill="F7F9F8"/>
        <w:spacing w:after="240" w:line="240" w:lineRule="auto"/>
        <w:jc w:val="both"/>
        <w:rPr>
          <w:rFonts w:ascii="Merriweather" w:eastAsia="Times New Roman" w:hAnsi="Merriweather" w:cs="Times New Roman"/>
          <w:kern w:val="0"/>
          <w:sz w:val="24"/>
          <w:szCs w:val="24"/>
          <w:lang w:eastAsia="es-UY"/>
          <w14:ligatures w14:val="none"/>
        </w:rPr>
      </w:pPr>
      <w:r w:rsidRPr="00291166">
        <w:rPr>
          <w:rFonts w:ascii="Merriweather" w:eastAsia="Times New Roman" w:hAnsi="Merriweather" w:cs="Times New Roman"/>
          <w:kern w:val="0"/>
          <w:sz w:val="24"/>
          <w:szCs w:val="24"/>
          <w:lang w:eastAsia="es-UY"/>
          <w14:ligatures w14:val="none"/>
        </w:rPr>
        <w:t xml:space="preserve">La Iglesia sinodal nos llama a un cambio profundo como institución, pero, sobre todo, personal. El cambio, la conversión personal, no va a afectar solamente a nuestra forma de ser Iglesia, sino que va a afectar más directa y primariamente a nuestra forma de vivir el cristianismo, o, si lo queremos precisar más, a nuestra forma de ser cristianos. La </w:t>
      </w:r>
      <w:proofErr w:type="spellStart"/>
      <w:r w:rsidRPr="00291166">
        <w:rPr>
          <w:rFonts w:ascii="Merriweather" w:eastAsia="Times New Roman" w:hAnsi="Merriweather" w:cs="Times New Roman"/>
          <w:kern w:val="0"/>
          <w:sz w:val="24"/>
          <w:szCs w:val="24"/>
          <w:lang w:eastAsia="es-UY"/>
          <w14:ligatures w14:val="none"/>
        </w:rPr>
        <w:t>sinodalidad</w:t>
      </w:r>
      <w:proofErr w:type="spellEnd"/>
      <w:r w:rsidRPr="00291166">
        <w:rPr>
          <w:rFonts w:ascii="Merriweather" w:eastAsia="Times New Roman" w:hAnsi="Merriweather" w:cs="Times New Roman"/>
          <w:kern w:val="0"/>
          <w:sz w:val="24"/>
          <w:szCs w:val="24"/>
          <w:lang w:eastAsia="es-UY"/>
          <w14:ligatures w14:val="none"/>
        </w:rPr>
        <w:t xml:space="preserve"> es una realidad eclesial, pero tiene un sentido humano que, muchas veces, se nos pasa por alto. De ello nos habla Cristina </w:t>
      </w:r>
      <w:proofErr w:type="spellStart"/>
      <w:r w:rsidRPr="00291166">
        <w:rPr>
          <w:rFonts w:ascii="Merriweather" w:eastAsia="Times New Roman" w:hAnsi="Merriweather" w:cs="Times New Roman"/>
          <w:kern w:val="0"/>
          <w:sz w:val="24"/>
          <w:szCs w:val="24"/>
          <w:lang w:eastAsia="es-UY"/>
          <w14:ligatures w14:val="none"/>
        </w:rPr>
        <w:t>Inogés</w:t>
      </w:r>
      <w:proofErr w:type="spellEnd"/>
      <w:r w:rsidRPr="00291166">
        <w:rPr>
          <w:rFonts w:ascii="Merriweather" w:eastAsia="Times New Roman" w:hAnsi="Merriweather" w:cs="Times New Roman"/>
          <w:kern w:val="0"/>
          <w:sz w:val="24"/>
          <w:szCs w:val="24"/>
          <w:lang w:eastAsia="es-UY"/>
          <w14:ligatures w14:val="none"/>
        </w:rPr>
        <w:t>, laica y teóloga, que ha vivido desde dentro con voz y derecho a voto esta XVI Asamblea del Sínodo 2021-2024.</w:t>
      </w:r>
    </w:p>
    <w:p w14:paraId="301DA934" w14:textId="77777777" w:rsidR="00291166" w:rsidRPr="00291166" w:rsidRDefault="00291166" w:rsidP="00291166">
      <w:pPr>
        <w:shd w:val="clear" w:color="auto" w:fill="F7F9F8"/>
        <w:spacing w:after="0" w:line="240" w:lineRule="auto"/>
        <w:jc w:val="both"/>
        <w:rPr>
          <w:rFonts w:ascii="Merriweather" w:eastAsia="Times New Roman" w:hAnsi="Merriweather" w:cs="Times New Roman"/>
          <w:kern w:val="0"/>
          <w:sz w:val="24"/>
          <w:szCs w:val="24"/>
          <w:lang w:eastAsia="es-UY"/>
          <w14:ligatures w14:val="none"/>
        </w:rPr>
      </w:pPr>
      <w:r w:rsidRPr="00291166">
        <w:rPr>
          <w:rFonts w:ascii="Merriweather" w:eastAsia="Times New Roman" w:hAnsi="Merriweather" w:cs="Times New Roman"/>
          <w:b/>
          <w:bCs/>
          <w:i/>
          <w:iCs/>
          <w:kern w:val="0"/>
          <w:sz w:val="24"/>
          <w:szCs w:val="24"/>
          <w:lang w:eastAsia="es-UY"/>
          <w14:ligatures w14:val="none"/>
        </w:rPr>
        <w:t>Autor: </w:t>
      </w:r>
      <w:r w:rsidRPr="00291166">
        <w:rPr>
          <w:rFonts w:ascii="Merriweather" w:eastAsia="Times New Roman" w:hAnsi="Merriweather" w:cs="Times New Roman"/>
          <w:kern w:val="0"/>
          <w:sz w:val="24"/>
          <w:szCs w:val="24"/>
          <w:lang w:eastAsia="es-UY"/>
          <w14:ligatures w14:val="none"/>
        </w:rPr>
        <w:t xml:space="preserve">Cristina </w:t>
      </w:r>
      <w:proofErr w:type="spellStart"/>
      <w:r w:rsidRPr="00291166">
        <w:rPr>
          <w:rFonts w:ascii="Merriweather" w:eastAsia="Times New Roman" w:hAnsi="Merriweather" w:cs="Times New Roman"/>
          <w:kern w:val="0"/>
          <w:sz w:val="24"/>
          <w:szCs w:val="24"/>
          <w:lang w:eastAsia="es-UY"/>
          <w14:ligatures w14:val="none"/>
        </w:rPr>
        <w:t>Inogés</w:t>
      </w:r>
      <w:proofErr w:type="spellEnd"/>
      <w:r w:rsidRPr="00291166">
        <w:rPr>
          <w:rFonts w:ascii="Merriweather" w:eastAsia="Times New Roman" w:hAnsi="Merriweather" w:cs="Times New Roman"/>
          <w:kern w:val="0"/>
          <w:sz w:val="24"/>
          <w:szCs w:val="24"/>
          <w:lang w:eastAsia="es-UY"/>
          <w14:ligatures w14:val="none"/>
        </w:rPr>
        <w:t xml:space="preserve"> Sanz</w:t>
      </w:r>
    </w:p>
    <w:p w14:paraId="7CF10E72" w14:textId="77777777" w:rsidR="00291166" w:rsidRPr="00291166" w:rsidRDefault="00291166" w:rsidP="00291166">
      <w:pPr>
        <w:shd w:val="clear" w:color="auto" w:fill="F7F9F8"/>
        <w:spacing w:after="0" w:line="240" w:lineRule="auto"/>
        <w:jc w:val="both"/>
        <w:rPr>
          <w:rFonts w:ascii="Merriweather" w:eastAsia="Times New Roman" w:hAnsi="Merriweather" w:cs="Times New Roman"/>
          <w:kern w:val="0"/>
          <w:sz w:val="24"/>
          <w:szCs w:val="24"/>
          <w:lang w:eastAsia="es-UY"/>
          <w14:ligatures w14:val="none"/>
        </w:rPr>
      </w:pPr>
      <w:r w:rsidRPr="00291166">
        <w:rPr>
          <w:rFonts w:ascii="Merriweather" w:eastAsia="Times New Roman" w:hAnsi="Merriweather" w:cs="Times New Roman"/>
          <w:b/>
          <w:bCs/>
          <w:i/>
          <w:iCs/>
          <w:kern w:val="0"/>
          <w:sz w:val="24"/>
          <w:szCs w:val="24"/>
          <w:lang w:eastAsia="es-UY"/>
          <w14:ligatures w14:val="none"/>
        </w:rPr>
        <w:t>Fecha: </w:t>
      </w:r>
      <w:r w:rsidRPr="00291166">
        <w:rPr>
          <w:rFonts w:ascii="Merriweather" w:eastAsia="Times New Roman" w:hAnsi="Merriweather" w:cs="Times New Roman"/>
          <w:kern w:val="0"/>
          <w:sz w:val="24"/>
          <w:szCs w:val="24"/>
          <w:lang w:eastAsia="es-UY"/>
          <w14:ligatures w14:val="none"/>
        </w:rPr>
        <w:t>2024</w:t>
      </w:r>
    </w:p>
    <w:p w14:paraId="701D4EE2" w14:textId="77777777" w:rsidR="00291166" w:rsidRPr="00291166" w:rsidRDefault="00291166" w:rsidP="00291166">
      <w:pPr>
        <w:spacing w:after="390" w:line="240" w:lineRule="auto"/>
        <w:jc w:val="both"/>
        <w:rPr>
          <w:rFonts w:ascii="Merriweather" w:eastAsia="Times New Roman" w:hAnsi="Merriweather" w:cs="Times New Roman"/>
          <w:color w:val="222222"/>
          <w:kern w:val="0"/>
          <w:sz w:val="23"/>
          <w:szCs w:val="23"/>
          <w:lang w:eastAsia="es-UY"/>
          <w14:ligatures w14:val="none"/>
        </w:rPr>
      </w:pPr>
      <w:r w:rsidRPr="00291166">
        <w:rPr>
          <w:rFonts w:ascii="Merriweather" w:eastAsia="Times New Roman" w:hAnsi="Merriweather" w:cs="Times New Roman"/>
          <w:color w:val="222222"/>
          <w:kern w:val="0"/>
          <w:sz w:val="23"/>
          <w:szCs w:val="23"/>
          <w:lang w:eastAsia="es-UY"/>
          <w14:ligatures w14:val="none"/>
        </w:rPr>
        <w:t xml:space="preserve">Este cuaderno de Cristina </w:t>
      </w:r>
      <w:proofErr w:type="spellStart"/>
      <w:r w:rsidRPr="00291166">
        <w:rPr>
          <w:rFonts w:ascii="Merriweather" w:eastAsia="Times New Roman" w:hAnsi="Merriweather" w:cs="Times New Roman"/>
          <w:color w:val="222222"/>
          <w:kern w:val="0"/>
          <w:sz w:val="23"/>
          <w:szCs w:val="23"/>
          <w:lang w:eastAsia="es-UY"/>
          <w14:ligatures w14:val="none"/>
        </w:rPr>
        <w:t>Inogés</w:t>
      </w:r>
      <w:proofErr w:type="spellEnd"/>
      <w:r w:rsidRPr="00291166">
        <w:rPr>
          <w:rFonts w:ascii="Merriweather" w:eastAsia="Times New Roman" w:hAnsi="Merriweather" w:cs="Times New Roman"/>
          <w:color w:val="222222"/>
          <w:kern w:val="0"/>
          <w:sz w:val="23"/>
          <w:szCs w:val="23"/>
          <w:lang w:eastAsia="es-UY"/>
          <w14:ligatures w14:val="none"/>
        </w:rPr>
        <w:t xml:space="preserve"> está estructurado en tres partes: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“¡Todos, todos, todos!”; y “La plaza de la Esperanza”. En estas pocas palabras se condensan los retos y el horizonte de este proceso que está viviendo la Iglesia y que </w:t>
      </w:r>
      <w:proofErr w:type="gramStart"/>
      <w:r w:rsidRPr="00291166">
        <w:rPr>
          <w:rFonts w:ascii="Merriweather" w:eastAsia="Times New Roman" w:hAnsi="Merriweather" w:cs="Times New Roman"/>
          <w:color w:val="222222"/>
          <w:kern w:val="0"/>
          <w:sz w:val="23"/>
          <w:szCs w:val="23"/>
          <w:lang w:eastAsia="es-UY"/>
          <w14:ligatures w14:val="none"/>
        </w:rPr>
        <w:t>a día de hoy</w:t>
      </w:r>
      <w:proofErr w:type="gramEnd"/>
      <w:r w:rsidRPr="00291166">
        <w:rPr>
          <w:rFonts w:ascii="Merriweather" w:eastAsia="Times New Roman" w:hAnsi="Merriweather" w:cs="Times New Roman"/>
          <w:color w:val="222222"/>
          <w:kern w:val="0"/>
          <w:sz w:val="23"/>
          <w:szCs w:val="23"/>
          <w:lang w:eastAsia="es-UY"/>
          <w14:ligatures w14:val="none"/>
        </w:rPr>
        <w:t xml:space="preserve"> se visibiliza en torno al Sínodo. Un Sínodo, por cierto, que propiamente es una gran invitación a vivir eclesialmente el camino de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Porque, como se ha repetido, es más importante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que el Sínodo en sí mismo.</w:t>
      </w:r>
    </w:p>
    <w:p w14:paraId="2F6820E6" w14:textId="77777777" w:rsidR="00291166" w:rsidRPr="00291166" w:rsidRDefault="00291166" w:rsidP="00291166">
      <w:pPr>
        <w:spacing w:after="390" w:line="240" w:lineRule="auto"/>
        <w:jc w:val="both"/>
        <w:rPr>
          <w:rFonts w:ascii="Merriweather" w:eastAsia="Times New Roman" w:hAnsi="Merriweather" w:cs="Times New Roman"/>
          <w:color w:val="222222"/>
          <w:kern w:val="0"/>
          <w:sz w:val="23"/>
          <w:szCs w:val="23"/>
          <w:lang w:eastAsia="es-UY"/>
          <w14:ligatures w14:val="none"/>
        </w:rPr>
      </w:pPr>
      <w:r w:rsidRPr="00291166">
        <w:rPr>
          <w:rFonts w:ascii="Merriweather" w:eastAsia="Times New Roman" w:hAnsi="Merriweather" w:cs="Times New Roman"/>
          <w:color w:val="222222"/>
          <w:kern w:val="0"/>
          <w:sz w:val="23"/>
          <w:szCs w:val="23"/>
          <w:lang w:eastAsia="es-UY"/>
          <w14:ligatures w14:val="none"/>
        </w:rPr>
        <w:lastRenderedPageBreak/>
        <w:t xml:space="preserve">A veces pienso que la contribución más incisiva del Sínodo es la fotografía del aula sinodal: en toda su diversidad, los participantes sentados en torno a mesas redondas. Las mesas redondas son la clave de comprensión de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en todas sus dimensiones: sujetos, estructuras, procesos y acontecimientos.</w:t>
      </w:r>
    </w:p>
    <w:p w14:paraId="48C2E781" w14:textId="77777777" w:rsidR="00291166" w:rsidRPr="00291166" w:rsidRDefault="00291166" w:rsidP="00291166">
      <w:pPr>
        <w:spacing w:after="390" w:line="240" w:lineRule="auto"/>
        <w:jc w:val="both"/>
        <w:rPr>
          <w:rFonts w:ascii="Merriweather" w:eastAsia="Times New Roman" w:hAnsi="Merriweather" w:cs="Times New Roman"/>
          <w:color w:val="222222"/>
          <w:kern w:val="0"/>
          <w:sz w:val="23"/>
          <w:szCs w:val="23"/>
          <w:lang w:eastAsia="es-UY"/>
          <w14:ligatures w14:val="none"/>
        </w:rPr>
      </w:pPr>
      <w:r w:rsidRPr="00291166">
        <w:rPr>
          <w:rFonts w:ascii="Merriweather" w:eastAsia="Times New Roman" w:hAnsi="Merriweather" w:cs="Times New Roman"/>
          <w:color w:val="222222"/>
          <w:kern w:val="0"/>
          <w:sz w:val="23"/>
          <w:szCs w:val="23"/>
          <w:lang w:eastAsia="es-UY"/>
          <w14:ligatures w14:val="none"/>
        </w:rPr>
        <w:t xml:space="preserve">La autora subraya que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es, ante todo y por encima de todo, una llamada a la conversión. Personal y eclesial. Personal porque sin transformación personal corremos el riesgo de concebir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en clave meramente organizativa o como un método de conducir reuniones. Es una transformación cuya columna vertebral se arraiga en la capacidad y la disposición a escuchar. No simplemente escuchar en tanto que es una actitud imprescindible para dialogar, como se dice tan a menudo ahora (que también). Escuchar como conversión personal: por un lado, para diluir una actitud autorreferencial que pone en el centro mis ideas, concepciones y visiones, y no al Espíritu; y, por otra y sobre todo, porque Dios me habla también a través de los demás. Y es también una conversión eclesial, hacia una Iglesia abierta, que no sea tampoco autorreferencial, porque tiene su centro en Jesús y en el Evangelio. Una Iglesia de bautizados y no una Iglesia de ordenados. </w:t>
      </w:r>
      <w:proofErr w:type="spellStart"/>
      <w:r w:rsidRPr="00291166">
        <w:rPr>
          <w:rFonts w:ascii="Merriweather" w:eastAsia="Times New Roman" w:hAnsi="Merriweather" w:cs="Times New Roman"/>
          <w:b/>
          <w:bCs/>
          <w:color w:val="222222"/>
          <w:kern w:val="0"/>
          <w:sz w:val="23"/>
          <w:szCs w:val="23"/>
          <w:lang w:eastAsia="es-UY"/>
          <w14:ligatures w14:val="none"/>
        </w:rPr>
        <w:t>Sinodalidad</w:t>
      </w:r>
      <w:proofErr w:type="spellEnd"/>
      <w:r w:rsidRPr="00291166">
        <w:rPr>
          <w:rFonts w:ascii="Merriweather" w:eastAsia="Times New Roman" w:hAnsi="Merriweather" w:cs="Times New Roman"/>
          <w:b/>
          <w:bCs/>
          <w:color w:val="222222"/>
          <w:kern w:val="0"/>
          <w:sz w:val="23"/>
          <w:szCs w:val="23"/>
          <w:lang w:eastAsia="es-UY"/>
          <w14:ligatures w14:val="none"/>
        </w:rPr>
        <w:t xml:space="preserve">, pues, sería caminar juntos escuchándonos porque todos escuchamos juntos al Espíritu. Sin una actitud de escucha comunitaria del Espíritu no hay </w:t>
      </w:r>
      <w:proofErr w:type="spellStart"/>
      <w:r w:rsidRPr="00291166">
        <w:rPr>
          <w:rFonts w:ascii="Merriweather" w:eastAsia="Times New Roman" w:hAnsi="Merriweather" w:cs="Times New Roman"/>
          <w:b/>
          <w:bCs/>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porque no se trata simplemente de dialogar: todo el mundo debe </w:t>
      </w:r>
      <w:proofErr w:type="gramStart"/>
      <w:r w:rsidRPr="00291166">
        <w:rPr>
          <w:rFonts w:ascii="Merriweather" w:eastAsia="Times New Roman" w:hAnsi="Merriweather" w:cs="Times New Roman"/>
          <w:color w:val="222222"/>
          <w:kern w:val="0"/>
          <w:sz w:val="23"/>
          <w:szCs w:val="23"/>
          <w:lang w:eastAsia="es-UY"/>
          <w14:ligatures w14:val="none"/>
        </w:rPr>
        <w:t>poder hacer oír</w:t>
      </w:r>
      <w:proofErr w:type="gramEnd"/>
      <w:r w:rsidRPr="00291166">
        <w:rPr>
          <w:rFonts w:ascii="Merriweather" w:eastAsia="Times New Roman" w:hAnsi="Merriweather" w:cs="Times New Roman"/>
          <w:color w:val="222222"/>
          <w:kern w:val="0"/>
          <w:sz w:val="23"/>
          <w:szCs w:val="23"/>
          <w:lang w:eastAsia="es-UY"/>
          <w14:ligatures w14:val="none"/>
        </w:rPr>
        <w:t xml:space="preserve"> su voz, pero todo el mundo debe hacer un proceso de conversión que le lleve a sentir y conocer mejor desde dónde habla y a quien escucha.</w:t>
      </w:r>
    </w:p>
    <w:p w14:paraId="7838126E" w14:textId="77777777" w:rsidR="00291166" w:rsidRPr="00291166" w:rsidRDefault="00291166" w:rsidP="00291166">
      <w:pPr>
        <w:spacing w:after="390" w:line="240" w:lineRule="auto"/>
        <w:jc w:val="both"/>
        <w:rPr>
          <w:rFonts w:ascii="Merriweather" w:eastAsia="Times New Roman" w:hAnsi="Merriweather" w:cs="Times New Roman"/>
          <w:color w:val="222222"/>
          <w:kern w:val="0"/>
          <w:sz w:val="23"/>
          <w:szCs w:val="23"/>
          <w:lang w:eastAsia="es-UY"/>
          <w14:ligatures w14:val="none"/>
        </w:rPr>
      </w:pPr>
      <w:proofErr w:type="spellStart"/>
      <w:r w:rsidRPr="00291166">
        <w:rPr>
          <w:rFonts w:ascii="Merriweather" w:eastAsia="Times New Roman" w:hAnsi="Merriweather" w:cs="Times New Roman"/>
          <w:color w:val="222222"/>
          <w:kern w:val="0"/>
          <w:sz w:val="23"/>
          <w:szCs w:val="23"/>
          <w:lang w:eastAsia="es-UY"/>
          <w14:ligatures w14:val="none"/>
        </w:rPr>
        <w:t>Inogés</w:t>
      </w:r>
      <w:proofErr w:type="spellEnd"/>
      <w:r w:rsidRPr="00291166">
        <w:rPr>
          <w:rFonts w:ascii="Merriweather" w:eastAsia="Times New Roman" w:hAnsi="Merriweather" w:cs="Times New Roman"/>
          <w:color w:val="222222"/>
          <w:kern w:val="0"/>
          <w:sz w:val="23"/>
          <w:szCs w:val="23"/>
          <w:lang w:eastAsia="es-UY"/>
          <w14:ligatures w14:val="none"/>
        </w:rPr>
        <w:t xml:space="preserve"> nos hace ver cómo, en clave sinodal, es posible una relectura de los Evangelios que nos muevan hacia ese camino de conversión. Que es también una conversión eclesial. La autora nos hace ver cómo la pregunta evangélica no es “qué es un prójimo” sino “cómo hacerse —o convertirse en— prójimo”. Del mismo modo, añado, en lo que corresponde a la Iglesia, la pregunta no es “qué es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sino “cómo hacerse —o convertirse en— Iglesia sinodal”. Y esto afecta a estructuras, procesos y acontecimientos. Porque se trata de una Iglesia donde todos tengan voz, y donde quepan todos (ese “todos, todos, todos” que repite el Papa Francisco). Y por eso la pregunta pasa a ser a quien está dispuesta a escuchar a la Iglesia. Especialmente cuando se trata de escuchar tanto a los excluidos de la Iglesia como a los excluidos en la Iglesia. No hay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sin aprender a ser Iglesia de otra manera, algo en lo que vale la pena insistir —como hace </w:t>
      </w:r>
      <w:proofErr w:type="spellStart"/>
      <w:r w:rsidRPr="00291166">
        <w:rPr>
          <w:rFonts w:ascii="Merriweather" w:eastAsia="Times New Roman" w:hAnsi="Merriweather" w:cs="Times New Roman"/>
          <w:color w:val="222222"/>
          <w:kern w:val="0"/>
          <w:sz w:val="23"/>
          <w:szCs w:val="23"/>
          <w:lang w:eastAsia="es-UY"/>
          <w14:ligatures w14:val="none"/>
        </w:rPr>
        <w:t>Inogés</w:t>
      </w:r>
      <w:proofErr w:type="spellEnd"/>
      <w:r w:rsidRPr="00291166">
        <w:rPr>
          <w:rFonts w:ascii="Merriweather" w:eastAsia="Times New Roman" w:hAnsi="Merriweather" w:cs="Times New Roman"/>
          <w:color w:val="222222"/>
          <w:kern w:val="0"/>
          <w:sz w:val="23"/>
          <w:szCs w:val="23"/>
          <w:lang w:eastAsia="es-UY"/>
          <w14:ligatures w14:val="none"/>
        </w:rPr>
        <w:t xml:space="preserve">— porque a veces hay quien cultiva la esperanza de que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sea la manera para que los demás se muevan hacia su propio modo de ver, y no que su modo de ver se pueda ver transformado por la voz y la mirada de los demás. Dicho de otro modo:</w:t>
      </w:r>
      <w:r w:rsidRPr="00291166">
        <w:rPr>
          <w:rFonts w:ascii="Merriweather" w:eastAsia="Times New Roman" w:hAnsi="Merriweather" w:cs="Times New Roman"/>
          <w:b/>
          <w:bCs/>
          <w:color w:val="222222"/>
          <w:kern w:val="0"/>
          <w:sz w:val="23"/>
          <w:szCs w:val="23"/>
          <w:lang w:eastAsia="es-UY"/>
          <w14:ligatures w14:val="none"/>
        </w:rPr>
        <w:t xml:space="preserve"> siempre hemos entendido la obediencia como un componente de las relaciones jerárquicas verticales; quizá la </w:t>
      </w:r>
      <w:proofErr w:type="spellStart"/>
      <w:r w:rsidRPr="00291166">
        <w:rPr>
          <w:rFonts w:ascii="Merriweather" w:eastAsia="Times New Roman" w:hAnsi="Merriweather" w:cs="Times New Roman"/>
          <w:b/>
          <w:bCs/>
          <w:color w:val="222222"/>
          <w:kern w:val="0"/>
          <w:sz w:val="23"/>
          <w:szCs w:val="23"/>
          <w:lang w:eastAsia="es-UY"/>
          <w14:ligatures w14:val="none"/>
        </w:rPr>
        <w:t>sinodalidad</w:t>
      </w:r>
      <w:proofErr w:type="spellEnd"/>
      <w:r w:rsidRPr="00291166">
        <w:rPr>
          <w:rFonts w:ascii="Merriweather" w:eastAsia="Times New Roman" w:hAnsi="Merriweather" w:cs="Times New Roman"/>
          <w:b/>
          <w:bCs/>
          <w:color w:val="222222"/>
          <w:kern w:val="0"/>
          <w:sz w:val="23"/>
          <w:szCs w:val="23"/>
          <w:lang w:eastAsia="es-UY"/>
          <w14:ligatures w14:val="none"/>
        </w:rPr>
        <w:t xml:space="preserve"> debe llevarnos a una obediencia horizontal, donde todos devenimos también dóciles a la voz del Espíritu que nos habla a través de otras voces y otras miradas</w:t>
      </w:r>
      <w:r w:rsidRPr="00291166">
        <w:rPr>
          <w:rFonts w:ascii="Merriweather" w:eastAsia="Times New Roman" w:hAnsi="Merriweather" w:cs="Times New Roman"/>
          <w:color w:val="222222"/>
          <w:kern w:val="0"/>
          <w:sz w:val="23"/>
          <w:szCs w:val="23"/>
          <w:lang w:eastAsia="es-UY"/>
          <w14:ligatures w14:val="none"/>
        </w:rPr>
        <w:t>.</w:t>
      </w:r>
    </w:p>
    <w:p w14:paraId="1A280C9C" w14:textId="77777777" w:rsidR="00291166" w:rsidRPr="00291166" w:rsidRDefault="00291166" w:rsidP="00291166">
      <w:pPr>
        <w:spacing w:after="390" w:line="240" w:lineRule="auto"/>
        <w:jc w:val="both"/>
        <w:rPr>
          <w:rFonts w:ascii="Merriweather" w:eastAsia="Times New Roman" w:hAnsi="Merriweather" w:cs="Times New Roman"/>
          <w:color w:val="222222"/>
          <w:kern w:val="0"/>
          <w:sz w:val="23"/>
          <w:szCs w:val="23"/>
          <w:lang w:eastAsia="es-UY"/>
          <w14:ligatures w14:val="none"/>
        </w:rPr>
      </w:pPr>
      <w:r w:rsidRPr="00291166">
        <w:rPr>
          <w:rFonts w:ascii="Merriweather" w:eastAsia="Times New Roman" w:hAnsi="Merriweather" w:cs="Times New Roman"/>
          <w:color w:val="222222"/>
          <w:kern w:val="0"/>
          <w:sz w:val="23"/>
          <w:szCs w:val="23"/>
          <w:lang w:eastAsia="es-UY"/>
          <w14:ligatures w14:val="none"/>
        </w:rPr>
        <w:lastRenderedPageBreak/>
        <w:t xml:space="preserve">Ahora bien,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no debe hacernos rehuir las preguntas sobre las estructuras y los procesos eclesiales y sobre las relaciones de poder. El poder es un gran tabú en la Iglesia, si no el mayor. La forma de ejercer el poder es lo que está detrás de los abusos, que son en estos momentos la expresión más desgarradora de este doloroso pecado que arrastra a la Iglesia. El poder se ha puesto de manifiesto en el escándalo de los abusos sexuales, pero en la Iglesia el abuso de poder tiene otros rostros: también ha habido abusos de poder económicos, laborales, sobre las conciencias, generadores de dependencia y sumisión… y siendo execrables en sí mismos lo son más en tanto que se hacen en nombre Dios, y pervierten su imagen, su sentido y su vivencia. Por tanto, conviene reconocer que, si decimos que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es aprender una manera diferente de ser Iglesia, esto afecta a sus estructuras, procesos y modos de proceder. Por eso podemos afirmar que el discernimiento es la otra cara de la </w:t>
      </w:r>
      <w:proofErr w:type="spellStart"/>
      <w:r w:rsidRPr="00291166">
        <w:rPr>
          <w:rFonts w:ascii="Merriweather" w:eastAsia="Times New Roman" w:hAnsi="Merriweather" w:cs="Times New Roman"/>
          <w:color w:val="222222"/>
          <w:kern w:val="0"/>
          <w:sz w:val="23"/>
          <w:szCs w:val="23"/>
          <w:lang w:eastAsia="es-UY"/>
          <w14:ligatures w14:val="none"/>
        </w:rPr>
        <w:t>sinodalidad</w:t>
      </w:r>
      <w:proofErr w:type="spellEnd"/>
      <w:r w:rsidRPr="00291166">
        <w:rPr>
          <w:rFonts w:ascii="Merriweather" w:eastAsia="Times New Roman" w:hAnsi="Merriweather" w:cs="Times New Roman"/>
          <w:color w:val="222222"/>
          <w:kern w:val="0"/>
          <w:sz w:val="23"/>
          <w:szCs w:val="23"/>
          <w:lang w:eastAsia="es-UY"/>
          <w14:ligatures w14:val="none"/>
        </w:rPr>
        <w:t xml:space="preserve">; un discernimiento del que tenemos una larga tradición en lo que atañe a las dimensiones personales; una cierta —y limitada— experiencia en lo que atañe a las dimensiones comunitarias; y un déficit más que notable en lo que atañe a la Iglesia diocesana y global. Y aprender a ser Iglesia de otro modo afecta también a cómo se establecen las preferencias y prioridades eclesiales, a cómo se llevan a cabo —o no— las planificaciones apostólicas, y a cómo se ejecutan y evalúan. En este sentido, avanzar hacia una Iglesia de bautizados y no solo de ordenados, comporta experimentar y encontrar maneras de proceder en las que, como suele decirse, los laicos tengan su lugar en </w:t>
      </w:r>
      <w:proofErr w:type="gramStart"/>
      <w:r w:rsidRPr="00291166">
        <w:rPr>
          <w:rFonts w:ascii="Merriweather" w:eastAsia="Times New Roman" w:hAnsi="Merriweather" w:cs="Times New Roman"/>
          <w:color w:val="222222"/>
          <w:kern w:val="0"/>
          <w:sz w:val="23"/>
          <w:szCs w:val="23"/>
          <w:lang w:eastAsia="es-UY"/>
          <w14:ligatures w14:val="none"/>
        </w:rPr>
        <w:t>todos las etapas</w:t>
      </w:r>
      <w:proofErr w:type="gramEnd"/>
      <w:r w:rsidRPr="00291166">
        <w:rPr>
          <w:rFonts w:ascii="Merriweather" w:eastAsia="Times New Roman" w:hAnsi="Merriweather" w:cs="Times New Roman"/>
          <w:color w:val="222222"/>
          <w:kern w:val="0"/>
          <w:sz w:val="23"/>
          <w:szCs w:val="23"/>
          <w:lang w:eastAsia="es-UY"/>
          <w14:ligatures w14:val="none"/>
        </w:rPr>
        <w:t>.</w:t>
      </w:r>
    </w:p>
    <w:p w14:paraId="0D787FE3" w14:textId="77777777" w:rsidR="00291166" w:rsidRPr="00291166" w:rsidRDefault="00291166" w:rsidP="00291166">
      <w:pPr>
        <w:spacing w:after="390" w:line="240" w:lineRule="auto"/>
        <w:jc w:val="both"/>
        <w:rPr>
          <w:rFonts w:ascii="Merriweather" w:eastAsia="Times New Roman" w:hAnsi="Merriweather" w:cs="Times New Roman"/>
          <w:color w:val="222222"/>
          <w:kern w:val="0"/>
          <w:sz w:val="23"/>
          <w:szCs w:val="23"/>
          <w:lang w:eastAsia="es-UY"/>
          <w14:ligatures w14:val="none"/>
        </w:rPr>
      </w:pPr>
      <w:r w:rsidRPr="00291166">
        <w:rPr>
          <w:rFonts w:ascii="Merriweather" w:eastAsia="Times New Roman" w:hAnsi="Merriweather" w:cs="Times New Roman"/>
          <w:color w:val="222222"/>
          <w:kern w:val="0"/>
          <w:sz w:val="23"/>
          <w:szCs w:val="23"/>
          <w:lang w:eastAsia="es-UY"/>
          <w14:ligatures w14:val="none"/>
        </w:rPr>
        <w:t>Ahora bien, todo esto requiere un cristianismo adulto. Que entre otras cosas, significa no esperarlo —ni exigirlo— todo a la vez, y no hacer rabietas infantiles porque no se resuelve inmediatamente todo lo que deseo o creo que hay que resolver. Como dijo el Papa en el libro </w:t>
      </w:r>
      <w:r w:rsidRPr="00291166">
        <w:rPr>
          <w:rFonts w:ascii="Merriweather" w:eastAsia="Times New Roman" w:hAnsi="Merriweather" w:cs="Times New Roman"/>
          <w:i/>
          <w:iCs/>
          <w:color w:val="222222"/>
          <w:kern w:val="0"/>
          <w:sz w:val="23"/>
          <w:szCs w:val="23"/>
          <w:lang w:eastAsia="es-UY"/>
          <w14:ligatures w14:val="none"/>
        </w:rPr>
        <w:t>Soñemos juntos</w:t>
      </w:r>
      <w:r w:rsidRPr="00291166">
        <w:rPr>
          <w:rFonts w:ascii="Merriweather" w:eastAsia="Times New Roman" w:hAnsi="Merriweather" w:cs="Times New Roman"/>
          <w:color w:val="222222"/>
          <w:kern w:val="0"/>
          <w:sz w:val="23"/>
          <w:szCs w:val="23"/>
          <w:lang w:eastAsia="es-UY"/>
          <w14:ligatures w14:val="none"/>
        </w:rPr>
        <w:t>, “Este es el momento para soñar en grande, para repensar nuestras prioridades —lo que valoramos, lo que queremos, lo que buscamos— y para comprometernos en lo pequeño y actuar en función de lo que hemos soñado”. Es tiempo de soñar en grande, lo que incluye también reconocer resistencias y dificultades. Pero </w:t>
      </w:r>
      <w:r w:rsidRPr="00291166">
        <w:rPr>
          <w:rFonts w:ascii="Merriweather" w:eastAsia="Times New Roman" w:hAnsi="Merriweather" w:cs="Times New Roman"/>
          <w:b/>
          <w:bCs/>
          <w:color w:val="222222"/>
          <w:kern w:val="0"/>
          <w:sz w:val="23"/>
          <w:szCs w:val="23"/>
          <w:lang w:eastAsia="es-UY"/>
          <w14:ligatures w14:val="none"/>
        </w:rPr>
        <w:t>solo soñaremos bien en grande si nos comprometemos y actuamos en lo pequeño, en nuestro día a día, en nuestra realidad, en nuestro contexto</w:t>
      </w:r>
      <w:r w:rsidRPr="00291166">
        <w:rPr>
          <w:rFonts w:ascii="Merriweather" w:eastAsia="Times New Roman" w:hAnsi="Merriweather" w:cs="Times New Roman"/>
          <w:color w:val="222222"/>
          <w:kern w:val="0"/>
          <w:sz w:val="23"/>
          <w:szCs w:val="23"/>
          <w:lang w:eastAsia="es-UY"/>
          <w14:ligatures w14:val="none"/>
        </w:rPr>
        <w:t>. Porque como también dijo el Papa en la </w:t>
      </w:r>
      <w:proofErr w:type="spellStart"/>
      <w:r w:rsidRPr="00291166">
        <w:rPr>
          <w:rFonts w:ascii="Merriweather" w:eastAsia="Times New Roman" w:hAnsi="Merriweather" w:cs="Times New Roman"/>
          <w:i/>
          <w:iCs/>
          <w:color w:val="222222"/>
          <w:kern w:val="0"/>
          <w:sz w:val="23"/>
          <w:szCs w:val="23"/>
          <w:lang w:eastAsia="es-UY"/>
          <w14:ligatures w14:val="none"/>
        </w:rPr>
        <w:t>Evangelii</w:t>
      </w:r>
      <w:proofErr w:type="spellEnd"/>
      <w:r w:rsidRPr="00291166">
        <w:rPr>
          <w:rFonts w:ascii="Merriweather" w:eastAsia="Times New Roman" w:hAnsi="Merriweather" w:cs="Times New Roman"/>
          <w:i/>
          <w:iCs/>
          <w:color w:val="222222"/>
          <w:kern w:val="0"/>
          <w:sz w:val="23"/>
          <w:szCs w:val="23"/>
          <w:lang w:eastAsia="es-UY"/>
          <w14:ligatures w14:val="none"/>
        </w:rPr>
        <w:t xml:space="preserve"> </w:t>
      </w:r>
      <w:proofErr w:type="spellStart"/>
      <w:r w:rsidRPr="00291166">
        <w:rPr>
          <w:rFonts w:ascii="Merriweather" w:eastAsia="Times New Roman" w:hAnsi="Merriweather" w:cs="Times New Roman"/>
          <w:i/>
          <w:iCs/>
          <w:color w:val="222222"/>
          <w:kern w:val="0"/>
          <w:sz w:val="23"/>
          <w:szCs w:val="23"/>
          <w:lang w:eastAsia="es-UY"/>
          <w14:ligatures w14:val="none"/>
        </w:rPr>
        <w:t>Gaudium</w:t>
      </w:r>
      <w:proofErr w:type="spellEnd"/>
      <w:r w:rsidRPr="00291166">
        <w:rPr>
          <w:rFonts w:ascii="Merriweather" w:eastAsia="Times New Roman" w:hAnsi="Merriweather" w:cs="Times New Roman"/>
          <w:color w:val="222222"/>
          <w:kern w:val="0"/>
          <w:sz w:val="23"/>
          <w:szCs w:val="23"/>
          <w:lang w:eastAsia="es-UY"/>
          <w14:ligatures w14:val="none"/>
        </w:rPr>
        <w:t xml:space="preserve"> “Sueño con una opción misionera capaz de transformarlo todo, para que las costumbres, los estilos, los horarios, el lenguaje y toda estructura eclesial se convierta en un cauce adecuado para la evangelización del mundo actual más que para la autopreservación”. Este cuaderno de Cristina </w:t>
      </w:r>
      <w:proofErr w:type="spellStart"/>
      <w:r w:rsidRPr="00291166">
        <w:rPr>
          <w:rFonts w:ascii="Merriweather" w:eastAsia="Times New Roman" w:hAnsi="Merriweather" w:cs="Times New Roman"/>
          <w:color w:val="222222"/>
          <w:kern w:val="0"/>
          <w:sz w:val="23"/>
          <w:szCs w:val="23"/>
          <w:lang w:eastAsia="es-UY"/>
          <w14:ligatures w14:val="none"/>
        </w:rPr>
        <w:t>Inogés</w:t>
      </w:r>
      <w:proofErr w:type="spellEnd"/>
      <w:r w:rsidRPr="00291166">
        <w:rPr>
          <w:rFonts w:ascii="Merriweather" w:eastAsia="Times New Roman" w:hAnsi="Merriweather" w:cs="Times New Roman"/>
          <w:color w:val="222222"/>
          <w:kern w:val="0"/>
          <w:sz w:val="23"/>
          <w:szCs w:val="23"/>
          <w:lang w:eastAsia="es-UY"/>
          <w14:ligatures w14:val="none"/>
        </w:rPr>
        <w:t xml:space="preserve"> nos puede ayudar mucho, precisamente, tanto a soñar en grande como a comprometernos en lo pequeño.</w:t>
      </w:r>
    </w:p>
    <w:p w14:paraId="62CED851" w14:textId="77777777" w:rsidR="00291166" w:rsidRPr="00291166" w:rsidRDefault="00291166" w:rsidP="00291166">
      <w:pPr>
        <w:spacing w:after="390" w:line="240" w:lineRule="auto"/>
        <w:jc w:val="both"/>
        <w:rPr>
          <w:rFonts w:ascii="Merriweather" w:eastAsia="Times New Roman" w:hAnsi="Merriweather" w:cs="Times New Roman"/>
          <w:color w:val="222222"/>
          <w:kern w:val="0"/>
          <w:sz w:val="23"/>
          <w:szCs w:val="23"/>
          <w:lang w:eastAsia="es-UY"/>
          <w14:ligatures w14:val="none"/>
        </w:rPr>
      </w:pPr>
      <w:r w:rsidRPr="00291166">
        <w:rPr>
          <w:rFonts w:ascii="Merriweather" w:eastAsia="Times New Roman" w:hAnsi="Merriweather" w:cs="Times New Roman"/>
          <w:color w:val="222222"/>
          <w:kern w:val="0"/>
          <w:sz w:val="23"/>
          <w:szCs w:val="23"/>
          <w:lang w:eastAsia="es-UY"/>
          <w14:ligatures w14:val="none"/>
        </w:rPr>
        <w:t>(Y, por cierto, el título de este papel son palabras del Papa en un discurso de 2015. O sea que apenas estamos empezando).</w:t>
      </w:r>
    </w:p>
    <w:p w14:paraId="7DDE825D" w14:textId="7A78679C" w:rsidR="00926044" w:rsidRDefault="00291166">
      <w:hyperlink r:id="rId7" w:history="1">
        <w:r w:rsidRPr="00EB5341">
          <w:rPr>
            <w:rStyle w:val="Hipervnculo"/>
          </w:rPr>
          <w:t>https://blog.cristianismeijusticia.net/critique/el-camino-de-la-sinodalidad</w:t>
        </w:r>
      </w:hyperlink>
    </w:p>
    <w:p w14:paraId="72B8C1B2" w14:textId="71D65D98" w:rsidR="00291166" w:rsidRDefault="00291166"/>
    <w:sectPr w:rsidR="002911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166"/>
    <w:rsid w:val="00291166"/>
    <w:rsid w:val="00926044"/>
    <w:rsid w:val="0096371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DB21A"/>
  <w15:chartTrackingRefBased/>
  <w15:docId w15:val="{6C028AB7-7C72-43F4-90D4-A8E612296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91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91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911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911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911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911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911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911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911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11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911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911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911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911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911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911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911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91166"/>
    <w:rPr>
      <w:rFonts w:eastAsiaTheme="majorEastAsia" w:cstheme="majorBidi"/>
      <w:color w:val="272727" w:themeColor="text1" w:themeTint="D8"/>
    </w:rPr>
  </w:style>
  <w:style w:type="paragraph" w:styleId="Ttulo">
    <w:name w:val="Title"/>
    <w:basedOn w:val="Normal"/>
    <w:next w:val="Normal"/>
    <w:link w:val="TtuloCar"/>
    <w:uiPriority w:val="10"/>
    <w:qFormat/>
    <w:rsid w:val="00291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911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911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911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91166"/>
    <w:pPr>
      <w:spacing w:before="160"/>
      <w:jc w:val="center"/>
    </w:pPr>
    <w:rPr>
      <w:i/>
      <w:iCs/>
      <w:color w:val="404040" w:themeColor="text1" w:themeTint="BF"/>
    </w:rPr>
  </w:style>
  <w:style w:type="character" w:customStyle="1" w:styleId="CitaCar">
    <w:name w:val="Cita Car"/>
    <w:basedOn w:val="Fuentedeprrafopredeter"/>
    <w:link w:val="Cita"/>
    <w:uiPriority w:val="29"/>
    <w:rsid w:val="00291166"/>
    <w:rPr>
      <w:i/>
      <w:iCs/>
      <w:color w:val="404040" w:themeColor="text1" w:themeTint="BF"/>
    </w:rPr>
  </w:style>
  <w:style w:type="paragraph" w:styleId="Prrafodelista">
    <w:name w:val="List Paragraph"/>
    <w:basedOn w:val="Normal"/>
    <w:uiPriority w:val="34"/>
    <w:qFormat/>
    <w:rsid w:val="00291166"/>
    <w:pPr>
      <w:ind w:left="720"/>
      <w:contextualSpacing/>
    </w:pPr>
  </w:style>
  <w:style w:type="character" w:styleId="nfasisintenso">
    <w:name w:val="Intense Emphasis"/>
    <w:basedOn w:val="Fuentedeprrafopredeter"/>
    <w:uiPriority w:val="21"/>
    <w:qFormat/>
    <w:rsid w:val="00291166"/>
    <w:rPr>
      <w:i/>
      <w:iCs/>
      <w:color w:val="0F4761" w:themeColor="accent1" w:themeShade="BF"/>
    </w:rPr>
  </w:style>
  <w:style w:type="paragraph" w:styleId="Citadestacada">
    <w:name w:val="Intense Quote"/>
    <w:basedOn w:val="Normal"/>
    <w:next w:val="Normal"/>
    <w:link w:val="CitadestacadaCar"/>
    <w:uiPriority w:val="30"/>
    <w:qFormat/>
    <w:rsid w:val="00291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91166"/>
    <w:rPr>
      <w:i/>
      <w:iCs/>
      <w:color w:val="0F4761" w:themeColor="accent1" w:themeShade="BF"/>
    </w:rPr>
  </w:style>
  <w:style w:type="character" w:styleId="Referenciaintensa">
    <w:name w:val="Intense Reference"/>
    <w:basedOn w:val="Fuentedeprrafopredeter"/>
    <w:uiPriority w:val="32"/>
    <w:qFormat/>
    <w:rsid w:val="00291166"/>
    <w:rPr>
      <w:b/>
      <w:bCs/>
      <w:smallCaps/>
      <w:color w:val="0F4761" w:themeColor="accent1" w:themeShade="BF"/>
      <w:spacing w:val="5"/>
    </w:rPr>
  </w:style>
  <w:style w:type="character" w:styleId="Hipervnculo">
    <w:name w:val="Hyperlink"/>
    <w:basedOn w:val="Fuentedeprrafopredeter"/>
    <w:uiPriority w:val="99"/>
    <w:unhideWhenUsed/>
    <w:rsid w:val="00291166"/>
    <w:rPr>
      <w:color w:val="467886" w:themeColor="hyperlink"/>
      <w:u w:val="single"/>
    </w:rPr>
  </w:style>
  <w:style w:type="character" w:styleId="Mencinsinresolver">
    <w:name w:val="Unresolved Mention"/>
    <w:basedOn w:val="Fuentedeprrafopredeter"/>
    <w:uiPriority w:val="99"/>
    <w:semiHidden/>
    <w:unhideWhenUsed/>
    <w:rsid w:val="00291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1491372">
      <w:bodyDiv w:val="1"/>
      <w:marLeft w:val="0"/>
      <w:marRight w:val="0"/>
      <w:marTop w:val="0"/>
      <w:marBottom w:val="0"/>
      <w:divBdr>
        <w:top w:val="none" w:sz="0" w:space="0" w:color="auto"/>
        <w:left w:val="none" w:sz="0" w:space="0" w:color="auto"/>
        <w:bottom w:val="none" w:sz="0" w:space="0" w:color="auto"/>
        <w:right w:val="none" w:sz="0" w:space="0" w:color="auto"/>
      </w:divBdr>
      <w:divsChild>
        <w:div w:id="1277710883">
          <w:marLeft w:val="0"/>
          <w:marRight w:val="0"/>
          <w:marTop w:val="0"/>
          <w:marBottom w:val="0"/>
          <w:divBdr>
            <w:top w:val="none" w:sz="0" w:space="0" w:color="auto"/>
            <w:left w:val="none" w:sz="0" w:space="0" w:color="auto"/>
            <w:bottom w:val="none" w:sz="0" w:space="0" w:color="auto"/>
            <w:right w:val="none" w:sz="0" w:space="0" w:color="auto"/>
          </w:divBdr>
          <w:divsChild>
            <w:div w:id="2067947815">
              <w:marLeft w:val="0"/>
              <w:marRight w:val="0"/>
              <w:marTop w:val="0"/>
              <w:marBottom w:val="0"/>
              <w:divBdr>
                <w:top w:val="none" w:sz="0" w:space="0" w:color="auto"/>
                <w:left w:val="none" w:sz="0" w:space="0" w:color="auto"/>
                <w:bottom w:val="none" w:sz="0" w:space="0" w:color="auto"/>
                <w:right w:val="none" w:sz="0" w:space="0" w:color="auto"/>
              </w:divBdr>
              <w:divsChild>
                <w:div w:id="2105344450">
                  <w:marLeft w:val="0"/>
                  <w:marRight w:val="0"/>
                  <w:marTop w:val="0"/>
                  <w:marBottom w:val="0"/>
                  <w:divBdr>
                    <w:top w:val="none" w:sz="0" w:space="0" w:color="auto"/>
                    <w:left w:val="none" w:sz="0" w:space="0" w:color="auto"/>
                    <w:bottom w:val="none" w:sz="0" w:space="0" w:color="auto"/>
                    <w:right w:val="none" w:sz="0" w:space="0" w:color="auto"/>
                  </w:divBdr>
                  <w:divsChild>
                    <w:div w:id="745877477">
                      <w:marLeft w:val="0"/>
                      <w:marRight w:val="0"/>
                      <w:marTop w:val="0"/>
                      <w:marBottom w:val="0"/>
                      <w:divBdr>
                        <w:top w:val="none" w:sz="0" w:space="0" w:color="auto"/>
                        <w:left w:val="none" w:sz="0" w:space="0" w:color="auto"/>
                        <w:bottom w:val="none" w:sz="0" w:space="0" w:color="auto"/>
                        <w:right w:val="none" w:sz="0" w:space="0" w:color="auto"/>
                      </w:divBdr>
                      <w:divsChild>
                        <w:div w:id="875389093">
                          <w:marLeft w:val="0"/>
                          <w:marRight w:val="0"/>
                          <w:marTop w:val="0"/>
                          <w:marBottom w:val="0"/>
                          <w:divBdr>
                            <w:top w:val="none" w:sz="0" w:space="0" w:color="auto"/>
                            <w:left w:val="none" w:sz="0" w:space="0" w:color="auto"/>
                            <w:bottom w:val="none" w:sz="0" w:space="0" w:color="auto"/>
                            <w:right w:val="none" w:sz="0" w:space="0" w:color="auto"/>
                          </w:divBdr>
                          <w:divsChild>
                            <w:div w:id="915552337">
                              <w:marLeft w:val="0"/>
                              <w:marRight w:val="30"/>
                              <w:marTop w:val="0"/>
                              <w:marBottom w:val="0"/>
                              <w:divBdr>
                                <w:top w:val="none" w:sz="0" w:space="0" w:color="auto"/>
                                <w:left w:val="none" w:sz="0" w:space="0" w:color="auto"/>
                                <w:bottom w:val="none" w:sz="0" w:space="0" w:color="auto"/>
                                <w:right w:val="none" w:sz="0" w:space="0" w:color="auto"/>
                              </w:divBdr>
                            </w:div>
                            <w:div w:id="22945515">
                              <w:marLeft w:val="75"/>
                              <w:marRight w:val="30"/>
                              <w:marTop w:val="0"/>
                              <w:marBottom w:val="0"/>
                              <w:divBdr>
                                <w:top w:val="none" w:sz="0" w:space="0" w:color="auto"/>
                                <w:left w:val="none" w:sz="0" w:space="0" w:color="auto"/>
                                <w:bottom w:val="none" w:sz="0" w:space="0" w:color="auto"/>
                                <w:right w:val="none" w:sz="0" w:space="0" w:color="auto"/>
                              </w:divBdr>
                            </w:div>
                          </w:divsChild>
                        </w:div>
                        <w:div w:id="135811915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940571">
          <w:marLeft w:val="0"/>
          <w:marRight w:val="0"/>
          <w:marTop w:val="0"/>
          <w:marBottom w:val="0"/>
          <w:divBdr>
            <w:top w:val="none" w:sz="0" w:space="0" w:color="auto"/>
            <w:left w:val="none" w:sz="0" w:space="0" w:color="auto"/>
            <w:bottom w:val="none" w:sz="0" w:space="0" w:color="auto"/>
            <w:right w:val="none" w:sz="0" w:space="0" w:color="auto"/>
          </w:divBdr>
          <w:divsChild>
            <w:div w:id="1591425047">
              <w:marLeft w:val="-360"/>
              <w:marRight w:val="-360"/>
              <w:marTop w:val="0"/>
              <w:marBottom w:val="0"/>
              <w:divBdr>
                <w:top w:val="none" w:sz="0" w:space="0" w:color="auto"/>
                <w:left w:val="none" w:sz="0" w:space="0" w:color="auto"/>
                <w:bottom w:val="none" w:sz="0" w:space="0" w:color="auto"/>
                <w:right w:val="none" w:sz="0" w:space="0" w:color="auto"/>
              </w:divBdr>
              <w:divsChild>
                <w:div w:id="993681797">
                  <w:marLeft w:val="0"/>
                  <w:marRight w:val="0"/>
                  <w:marTop w:val="720"/>
                  <w:marBottom w:val="0"/>
                  <w:divBdr>
                    <w:top w:val="none" w:sz="0" w:space="0" w:color="auto"/>
                    <w:left w:val="none" w:sz="0" w:space="0" w:color="auto"/>
                    <w:bottom w:val="none" w:sz="0" w:space="0" w:color="auto"/>
                    <w:right w:val="none" w:sz="0" w:space="0" w:color="auto"/>
                  </w:divBdr>
                  <w:divsChild>
                    <w:div w:id="1348170044">
                      <w:marLeft w:val="0"/>
                      <w:marRight w:val="0"/>
                      <w:marTop w:val="0"/>
                      <w:marBottom w:val="0"/>
                      <w:divBdr>
                        <w:top w:val="none" w:sz="0" w:space="0" w:color="auto"/>
                        <w:left w:val="none" w:sz="0" w:space="0" w:color="auto"/>
                        <w:bottom w:val="none" w:sz="0" w:space="0" w:color="auto"/>
                        <w:right w:val="none" w:sz="0" w:space="0" w:color="auto"/>
                      </w:divBdr>
                      <w:divsChild>
                        <w:div w:id="671184514">
                          <w:marLeft w:val="0"/>
                          <w:marRight w:val="0"/>
                          <w:marTop w:val="0"/>
                          <w:marBottom w:val="0"/>
                          <w:divBdr>
                            <w:top w:val="none" w:sz="0" w:space="0" w:color="auto"/>
                            <w:left w:val="none" w:sz="0" w:space="0" w:color="auto"/>
                            <w:bottom w:val="none" w:sz="0" w:space="0" w:color="auto"/>
                            <w:right w:val="none" w:sz="0" w:space="0" w:color="auto"/>
                          </w:divBdr>
                          <w:divsChild>
                            <w:div w:id="1071545020">
                              <w:marLeft w:val="0"/>
                              <w:marRight w:val="0"/>
                              <w:marTop w:val="0"/>
                              <w:marBottom w:val="360"/>
                              <w:divBdr>
                                <w:top w:val="none" w:sz="0" w:space="0" w:color="auto"/>
                                <w:left w:val="none" w:sz="0" w:space="0" w:color="auto"/>
                                <w:bottom w:val="none" w:sz="0" w:space="0" w:color="auto"/>
                                <w:right w:val="none" w:sz="0" w:space="0" w:color="auto"/>
                              </w:divBdr>
                              <w:divsChild>
                                <w:div w:id="445388382">
                                  <w:marLeft w:val="0"/>
                                  <w:marRight w:val="360"/>
                                  <w:marTop w:val="0"/>
                                  <w:marBottom w:val="0"/>
                                  <w:divBdr>
                                    <w:top w:val="none" w:sz="0" w:space="0" w:color="auto"/>
                                    <w:left w:val="none" w:sz="0" w:space="0" w:color="auto"/>
                                    <w:bottom w:val="none" w:sz="0" w:space="0" w:color="auto"/>
                                    <w:right w:val="none" w:sz="0" w:space="0" w:color="auto"/>
                                  </w:divBdr>
                                </w:div>
                                <w:div w:id="67045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3548">
                          <w:marLeft w:val="0"/>
                          <w:marRight w:val="0"/>
                          <w:marTop w:val="0"/>
                          <w:marBottom w:val="0"/>
                          <w:divBdr>
                            <w:top w:val="none" w:sz="0" w:space="0" w:color="auto"/>
                            <w:left w:val="none" w:sz="0" w:space="0" w:color="auto"/>
                            <w:bottom w:val="none" w:sz="0" w:space="0" w:color="auto"/>
                            <w:right w:val="none" w:sz="0" w:space="0" w:color="auto"/>
                          </w:divBdr>
                        </w:div>
                        <w:div w:id="1805613483">
                          <w:marLeft w:val="0"/>
                          <w:marRight w:val="0"/>
                          <w:marTop w:val="0"/>
                          <w:marBottom w:val="0"/>
                          <w:divBdr>
                            <w:top w:val="none" w:sz="0" w:space="0" w:color="auto"/>
                            <w:left w:val="none" w:sz="0" w:space="0" w:color="auto"/>
                            <w:bottom w:val="none" w:sz="0" w:space="0" w:color="auto"/>
                            <w:right w:val="none" w:sz="0" w:space="0" w:color="auto"/>
                          </w:divBdr>
                          <w:divsChild>
                            <w:div w:id="1648589482">
                              <w:marLeft w:val="0"/>
                              <w:marRight w:val="0"/>
                              <w:marTop w:val="150"/>
                              <w:marBottom w:val="150"/>
                              <w:divBdr>
                                <w:top w:val="none" w:sz="0" w:space="0" w:color="auto"/>
                                <w:left w:val="none" w:sz="0" w:space="0" w:color="auto"/>
                                <w:bottom w:val="none" w:sz="0" w:space="0" w:color="auto"/>
                                <w:right w:val="none" w:sz="0" w:space="0" w:color="auto"/>
                              </w:divBdr>
                              <w:divsChild>
                                <w:div w:id="215176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cristianismeijusticia.net/critique/el-camino-de-la-sinodalida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blog.cristianismeijusticia.net/author/josep-m-lozan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B9170-D92D-4B37-93CA-ECC8F873F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1197</Words>
  <Characters>6587</Characters>
  <Application>Microsoft Office Word</Application>
  <DocSecurity>0</DocSecurity>
  <Lines>54</Lines>
  <Paragraphs>15</Paragraphs>
  <ScaleCrop>false</ScaleCrop>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2024-11-04T13:15:00Z</dcterms:created>
  <dcterms:modified xsi:type="dcterms:W3CDTF">2024-11-04T13:16:00Z</dcterms:modified>
</cp:coreProperties>
</file>