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6F5A90" w14:textId="77777777" w:rsidR="006767E6" w:rsidRPr="006767E6" w:rsidRDefault="006767E6" w:rsidP="006767E6">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6767E6">
        <w:rPr>
          <w:rFonts w:ascii="Open Sans" w:eastAsia="Times New Roman" w:hAnsi="Open Sans" w:cs="Open Sans"/>
          <w:b/>
          <w:bCs/>
          <w:color w:val="333333"/>
          <w:kern w:val="36"/>
          <w:sz w:val="38"/>
          <w:szCs w:val="38"/>
          <w:lang w:eastAsia="es-UY"/>
          <w14:ligatures w14:val="none"/>
        </w:rPr>
        <w:t>"Gracias, Gustavo. Dios te ha pagado, aunque tú bien sabes que no es ninguna paga sino puro amor, amor del bueno"</w:t>
      </w:r>
    </w:p>
    <w:p w14:paraId="47F2075A" w14:textId="77777777" w:rsidR="006767E6" w:rsidRPr="006767E6" w:rsidRDefault="006767E6" w:rsidP="006767E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6767E6">
        <w:rPr>
          <w:rFonts w:ascii="Open Sans" w:eastAsia="Times New Roman" w:hAnsi="Open Sans" w:cs="Open Sans"/>
          <w:noProof/>
          <w:color w:val="000000"/>
          <w:kern w:val="0"/>
          <w:sz w:val="21"/>
          <w:szCs w:val="21"/>
          <w:lang w:eastAsia="es-UY"/>
          <w14:ligatures w14:val="none"/>
        </w:rPr>
        <w:drawing>
          <wp:inline distT="0" distB="0" distL="0" distR="0" wp14:anchorId="649710D7" wp14:editId="6BE14E96">
            <wp:extent cx="5167141" cy="2901950"/>
            <wp:effectExtent l="0" t="0" r="0" b="0"/>
            <wp:docPr id="1" name="Imagen 2" descr="Homenaje de Pedro Trigo, sj., a Gustavo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naje de Pedro Trigo, sj., a Gustavo Gutiérr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4991" cy="2906359"/>
                    </a:xfrm>
                    <a:prstGeom prst="rect">
                      <a:avLst/>
                    </a:prstGeom>
                    <a:noFill/>
                    <a:ln>
                      <a:noFill/>
                    </a:ln>
                  </pic:spPr>
                </pic:pic>
              </a:graphicData>
            </a:graphic>
          </wp:inline>
        </w:drawing>
      </w:r>
    </w:p>
    <w:p w14:paraId="2B10D4A6" w14:textId="77777777" w:rsidR="006767E6" w:rsidRPr="006767E6" w:rsidRDefault="006767E6" w:rsidP="006767E6">
      <w:pPr>
        <w:shd w:val="clear" w:color="auto" w:fill="FFFFFF"/>
        <w:spacing w:line="240" w:lineRule="auto"/>
        <w:rPr>
          <w:rFonts w:ascii="Open Sans" w:eastAsia="Times New Roman" w:hAnsi="Open Sans" w:cs="Open Sans"/>
          <w:color w:val="000000"/>
          <w:kern w:val="0"/>
          <w:sz w:val="21"/>
          <w:szCs w:val="21"/>
          <w:lang w:val="pt-PT" w:eastAsia="es-UY"/>
          <w14:ligatures w14:val="none"/>
        </w:rPr>
      </w:pPr>
      <w:r w:rsidRPr="006767E6">
        <w:rPr>
          <w:rFonts w:ascii="Open Sans" w:eastAsia="Times New Roman" w:hAnsi="Open Sans" w:cs="Open Sans"/>
          <w:color w:val="000000"/>
          <w:kern w:val="0"/>
          <w:sz w:val="21"/>
          <w:szCs w:val="21"/>
          <w:lang w:val="pt-PT" w:eastAsia="es-UY"/>
          <w14:ligatures w14:val="none"/>
        </w:rPr>
        <w:t>Homenaje de Pedro Trigo, sj., a Gustavo Gutiérrez</w:t>
      </w:r>
    </w:p>
    <w:p w14:paraId="3DF72401" w14:textId="77777777" w:rsidR="006767E6" w:rsidRPr="006767E6" w:rsidRDefault="006767E6" w:rsidP="006767E6">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6767E6">
        <w:rPr>
          <w:rFonts w:ascii="Montserrat" w:eastAsia="Times New Roman" w:hAnsi="Montserrat" w:cs="Open Sans"/>
          <w:b/>
          <w:bCs/>
          <w:color w:val="474747"/>
          <w:kern w:val="0"/>
          <w:sz w:val="26"/>
          <w:szCs w:val="26"/>
          <w:lang w:eastAsia="es-UY"/>
          <w14:ligatures w14:val="none"/>
        </w:rPr>
        <w:t>"Cuando lo llamaba por teléfono siempre se ponía alguien distinto. Eran muchos los que se sentían en la casa parroquial como en su casa. Ése era el entronque vital de su teología"</w:t>
      </w:r>
    </w:p>
    <w:p w14:paraId="4D2D0FA2" w14:textId="77777777" w:rsidR="006767E6" w:rsidRPr="006767E6" w:rsidRDefault="006767E6" w:rsidP="006767E6">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6767E6">
        <w:rPr>
          <w:rFonts w:ascii="Montserrat" w:eastAsia="Times New Roman" w:hAnsi="Montserrat" w:cs="Open Sans"/>
          <w:b/>
          <w:bCs/>
          <w:color w:val="474747"/>
          <w:kern w:val="0"/>
          <w:sz w:val="26"/>
          <w:szCs w:val="26"/>
          <w:lang w:eastAsia="es-UY"/>
          <w14:ligatures w14:val="none"/>
        </w:rPr>
        <w:t xml:space="preserve">"Era una persona </w:t>
      </w:r>
      <w:proofErr w:type="gramStart"/>
      <w:r w:rsidRPr="006767E6">
        <w:rPr>
          <w:rFonts w:ascii="Montserrat" w:eastAsia="Times New Roman" w:hAnsi="Montserrat" w:cs="Open Sans"/>
          <w:b/>
          <w:bCs/>
          <w:color w:val="474747"/>
          <w:kern w:val="0"/>
          <w:sz w:val="26"/>
          <w:szCs w:val="26"/>
          <w:lang w:eastAsia="es-UY"/>
          <w14:ligatures w14:val="none"/>
        </w:rPr>
        <w:t>muy inteligente y muy agudo</w:t>
      </w:r>
      <w:proofErr w:type="gramEnd"/>
      <w:r w:rsidRPr="006767E6">
        <w:rPr>
          <w:rFonts w:ascii="Montserrat" w:eastAsia="Times New Roman" w:hAnsi="Montserrat" w:cs="Open Sans"/>
          <w:b/>
          <w:bCs/>
          <w:color w:val="474747"/>
          <w:kern w:val="0"/>
          <w:sz w:val="26"/>
          <w:szCs w:val="26"/>
          <w:lang w:eastAsia="es-UY"/>
          <w14:ligatures w14:val="none"/>
        </w:rPr>
        <w:t>; pero era fundamentalmente dialogal: escuchaba y daba su opinión"</w:t>
      </w:r>
    </w:p>
    <w:p w14:paraId="54BD8873" w14:textId="77777777" w:rsidR="006767E6" w:rsidRPr="006767E6" w:rsidRDefault="006767E6" w:rsidP="006767E6">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6767E6">
        <w:rPr>
          <w:rFonts w:ascii="inherit" w:eastAsia="Times New Roman" w:hAnsi="inherit" w:cs="Open Sans"/>
          <w:b/>
          <w:bCs/>
          <w:i/>
          <w:iCs/>
          <w:color w:val="333333"/>
          <w:kern w:val="0"/>
          <w:sz w:val="20"/>
          <w:szCs w:val="20"/>
          <w:lang w:eastAsia="es-UY"/>
          <w14:ligatures w14:val="none"/>
        </w:rPr>
        <w:t xml:space="preserve">26.10.2024 | Pedro Trigo, </w:t>
      </w:r>
      <w:proofErr w:type="spellStart"/>
      <w:r w:rsidRPr="006767E6">
        <w:rPr>
          <w:rFonts w:ascii="inherit" w:eastAsia="Times New Roman" w:hAnsi="inherit" w:cs="Open Sans"/>
          <w:b/>
          <w:bCs/>
          <w:i/>
          <w:iCs/>
          <w:color w:val="333333"/>
          <w:kern w:val="0"/>
          <w:sz w:val="20"/>
          <w:szCs w:val="20"/>
          <w:lang w:eastAsia="es-UY"/>
          <w14:ligatures w14:val="none"/>
        </w:rPr>
        <w:t>sj</w:t>
      </w:r>
      <w:proofErr w:type="spellEnd"/>
    </w:p>
    <w:p w14:paraId="06289260" w14:textId="77777777" w:rsidR="006767E6" w:rsidRPr="006767E6" w:rsidRDefault="006767E6" w:rsidP="006767E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767E6">
        <w:rPr>
          <w:rFonts w:ascii="Open Sans" w:eastAsia="Times New Roman" w:hAnsi="Open Sans" w:cs="Open Sans"/>
          <w:color w:val="333333"/>
          <w:kern w:val="0"/>
          <w:sz w:val="21"/>
          <w:szCs w:val="21"/>
          <w:lang w:eastAsia="es-UY"/>
          <w14:ligatures w14:val="none"/>
        </w:rPr>
        <w:t>Así como Medellín es la aplicación más consecuente y por eso fielmente creativa del Concilio, así la </w:t>
      </w:r>
      <w:r w:rsidRPr="006767E6">
        <w:rPr>
          <w:rFonts w:ascii="Open Sans" w:eastAsia="Times New Roman" w:hAnsi="Open Sans" w:cs="Open Sans"/>
          <w:i/>
          <w:iCs/>
          <w:color w:val="474747"/>
          <w:kern w:val="0"/>
          <w:sz w:val="21"/>
          <w:szCs w:val="21"/>
          <w:lang w:eastAsia="es-UY"/>
          <w14:ligatures w14:val="none"/>
        </w:rPr>
        <w:t>Teología de la Liberación</w:t>
      </w:r>
      <w:r w:rsidRPr="006767E6">
        <w:rPr>
          <w:rFonts w:ascii="Open Sans" w:eastAsia="Times New Roman" w:hAnsi="Open Sans" w:cs="Open Sans"/>
          <w:color w:val="333333"/>
          <w:kern w:val="0"/>
          <w:sz w:val="21"/>
          <w:szCs w:val="21"/>
          <w:lang w:eastAsia="es-UY"/>
          <w14:ligatures w14:val="none"/>
        </w:rPr>
        <w:t> (CEP, Lima, 1971) de Gustavo Gutiérrez es la </w:t>
      </w:r>
      <w:r w:rsidRPr="006767E6">
        <w:rPr>
          <w:rFonts w:ascii="Open Sans" w:eastAsia="Times New Roman" w:hAnsi="Open Sans" w:cs="Open Sans"/>
          <w:b/>
          <w:bCs/>
          <w:color w:val="474747"/>
          <w:kern w:val="0"/>
          <w:sz w:val="21"/>
          <w:szCs w:val="21"/>
          <w:lang w:eastAsia="es-UY"/>
          <w14:ligatures w14:val="none"/>
        </w:rPr>
        <w:t>expresión teológica más significativa del rumbo que Dios quería en esos tiempos para la Iglesia latinoamericana</w:t>
      </w:r>
      <w:r w:rsidRPr="006767E6">
        <w:rPr>
          <w:rFonts w:ascii="Open Sans" w:eastAsia="Times New Roman" w:hAnsi="Open Sans" w:cs="Open Sans"/>
          <w:color w:val="333333"/>
          <w:kern w:val="0"/>
          <w:sz w:val="21"/>
          <w:szCs w:val="21"/>
          <w:lang w:eastAsia="es-UY"/>
          <w14:ligatures w14:val="none"/>
        </w:rPr>
        <w:t> desde la perspectiva que abrió el Concilio y que asumió Medellín. Por eso, como el Concilio y Medellín, esa obra fue contestada por los que querían seguir en lo que estaban, alejados del mundo y atenidos a la Iglesia como ámbito de salvación o metidos en el orden establecido como su expresión religiosa; pero fue acogida con interés, implicación y agradecimiento por los que querían vivir su cristianismo en lo que demandaba ese espacio y ese tiempo.</w:t>
      </w:r>
    </w:p>
    <w:p w14:paraId="5D84243F" w14:textId="77777777" w:rsidR="006767E6" w:rsidRPr="006767E6" w:rsidRDefault="006767E6" w:rsidP="006767E6">
      <w:pPr>
        <w:pBdr>
          <w:top w:val="single" w:sz="18" w:space="8" w:color="D49400"/>
          <w:left w:val="single" w:sz="18" w:space="0" w:color="D49400"/>
          <w:bottom w:val="single" w:sz="18" w:space="8" w:color="D49400"/>
          <w:right w:val="single" w:sz="18" w:space="0" w:color="D49400"/>
        </w:pBdr>
        <w:shd w:val="clear" w:color="auto" w:fill="FFFFFF"/>
        <w:spacing w:after="465" w:line="480" w:lineRule="auto"/>
        <w:jc w:val="center"/>
        <w:rPr>
          <w:rFonts w:ascii="Montserrat" w:eastAsia="Times New Roman" w:hAnsi="Montserrat" w:cs="Open Sans"/>
          <w:color w:val="333333"/>
          <w:kern w:val="0"/>
          <w:sz w:val="21"/>
          <w:szCs w:val="21"/>
          <w:lang w:eastAsia="es-UY"/>
          <w14:ligatures w14:val="none"/>
        </w:rPr>
      </w:pPr>
      <w:r w:rsidRPr="006767E6">
        <w:rPr>
          <w:rFonts w:ascii="Open Sans" w:eastAsia="Times New Roman" w:hAnsi="Open Sans" w:cs="Open Sans"/>
          <w:b/>
          <w:bCs/>
          <w:color w:val="474747"/>
          <w:kern w:val="0"/>
          <w:sz w:val="21"/>
          <w:szCs w:val="21"/>
          <w:lang w:eastAsia="es-UY"/>
          <w14:ligatures w14:val="none"/>
        </w:rPr>
        <w:lastRenderedPageBreak/>
        <w:t>Boletín gratuito de Religión Digital</w:t>
      </w:r>
      <w:r w:rsidRPr="006767E6">
        <w:rPr>
          <w:rFonts w:ascii="Montserrat" w:eastAsia="Times New Roman" w:hAnsi="Montserrat" w:cs="Open Sans"/>
          <w:color w:val="333333"/>
          <w:kern w:val="0"/>
          <w:sz w:val="21"/>
          <w:szCs w:val="21"/>
          <w:lang w:eastAsia="es-UY"/>
          <w14:ligatures w14:val="none"/>
        </w:rPr>
        <w:br/>
      </w:r>
      <w:hyperlink r:id="rId6" w:tgtFrame="_blank" w:history="1">
        <w:r w:rsidRPr="006767E6">
          <w:rPr>
            <w:rFonts w:ascii="Open Sans" w:eastAsia="Times New Roman" w:hAnsi="Open Sans" w:cs="Open Sans"/>
            <w:color w:val="D49400"/>
            <w:kern w:val="0"/>
            <w:sz w:val="21"/>
            <w:szCs w:val="21"/>
            <w:lang w:eastAsia="es-UY"/>
            <w14:ligatures w14:val="none"/>
          </w:rPr>
          <w:t>QUIERO SUSCRIBIRME</w:t>
        </w:r>
      </w:hyperlink>
    </w:p>
    <w:p w14:paraId="316F67A5" w14:textId="77777777" w:rsidR="006767E6" w:rsidRPr="006767E6" w:rsidRDefault="006767E6" w:rsidP="006767E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767E6">
        <w:rPr>
          <w:rFonts w:ascii="Open Sans" w:eastAsia="Times New Roman" w:hAnsi="Open Sans" w:cs="Open Sans"/>
          <w:color w:val="333333"/>
          <w:kern w:val="0"/>
          <w:sz w:val="21"/>
          <w:szCs w:val="21"/>
          <w:lang w:eastAsia="es-UY"/>
          <w14:ligatures w14:val="none"/>
        </w:rPr>
        <w:t>Como el Concilio, y más concretamente la GS, asentó: “el hombre agente de su propio destino” (44-53), “Un mundo enteramente mundano” (85-90) y la “Vocación única a la salvación” (90-98). Y desde esos presupuestos estudió el proceso de liberación en América Latina (101) y, analizando los resultados de la década del desarrollismo (102-105) y afincado en la teoría de la dependencia (105-114), propuso el movimiento de liberación (115-123) y el compromiso de los cristianos y de la Iglesia en ese proceso en marcha (125-154). Y se apoyó en lo que ya había de una nueva presencia de la Iglesia en América Latina (155-164). Como la GS, insistió en que había una sola historia en la que se prepara la escatología (189-215) y que los cristianos deberíamos llevar el proceso de liberación desde Cristo Liberador (216-229). Por eso, la necesidad de plantear una espiritualidad de la liberación (253-260), afincada en que la Humanidad es templo de Dios (232-238), en que conocer a Dios es obrar la justicia (238-241) y en la presencia de Cristo en el prójimo (241-253). El evangelio no es político, ni consiguientemente la Iglesia, pero sí tiene una dimensión política (275-284) y por eso estudia la relación de Jesús con el mundo político (284-296). Desde este horizonte, la Iglesia, lejos de ser la alternativa a este mundo que está irremisiblemente perdido, es sacramento de la historia, sacramento universal de salvación (313-324). Por eso la eucaristía debería entenderse y practicarse en clave de fraternidad y esta fraternidad en este mundo dividido y enfrentado exige tomar posición por los explotados en busca de una sociedad más humana (324-349). Por eso tenemos que combatir la pobreza no sólo desde tomar partido por los pobres, sino desde vivirla también nosotros como infancia espiritual (363-368).</w:t>
      </w:r>
    </w:p>
    <w:p w14:paraId="19E7E7DB" w14:textId="77777777" w:rsidR="006767E6" w:rsidRPr="006767E6" w:rsidRDefault="006767E6" w:rsidP="006767E6">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6767E6">
        <w:rPr>
          <w:rFonts w:ascii="inherit" w:eastAsia="Times New Roman" w:hAnsi="inherit" w:cs="Open Sans"/>
          <w:noProof/>
          <w:color w:val="000000"/>
          <w:kern w:val="0"/>
          <w:sz w:val="21"/>
          <w:szCs w:val="21"/>
          <w:lang w:eastAsia="es-UY"/>
          <w14:ligatures w14:val="none"/>
        </w:rPr>
        <w:lastRenderedPageBreak/>
        <w:drawing>
          <wp:inline distT="0" distB="0" distL="0" distR="0" wp14:anchorId="1EA9B9C2" wp14:editId="704808E3">
            <wp:extent cx="6356350" cy="3568700"/>
            <wp:effectExtent l="0" t="0" r="6350" b="0"/>
            <wp:docPr id="2" name="Imagen 2" descr="Gustavo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stavo Gutiérre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14:paraId="70B677E6" w14:textId="77777777" w:rsidR="006767E6" w:rsidRPr="006767E6" w:rsidRDefault="006767E6" w:rsidP="006767E6">
      <w:pPr>
        <w:shd w:val="clear" w:color="auto" w:fill="FFFFFF"/>
        <w:spacing w:line="240" w:lineRule="auto"/>
        <w:rPr>
          <w:rFonts w:ascii="inherit" w:eastAsia="Times New Roman" w:hAnsi="inherit" w:cs="Open Sans"/>
          <w:color w:val="000000"/>
          <w:kern w:val="0"/>
          <w:sz w:val="21"/>
          <w:szCs w:val="21"/>
          <w:lang w:eastAsia="es-UY"/>
          <w14:ligatures w14:val="none"/>
        </w:rPr>
      </w:pPr>
      <w:r w:rsidRPr="006767E6">
        <w:rPr>
          <w:rFonts w:ascii="inherit" w:eastAsia="Times New Roman" w:hAnsi="inherit" w:cs="Open Sans"/>
          <w:color w:val="000000"/>
          <w:kern w:val="0"/>
          <w:sz w:val="21"/>
          <w:szCs w:val="21"/>
          <w:lang w:eastAsia="es-UY"/>
          <w14:ligatures w14:val="none"/>
        </w:rPr>
        <w:t>Gustavo Gutiérrez</w:t>
      </w:r>
    </w:p>
    <w:p w14:paraId="2322AD5D" w14:textId="77777777" w:rsidR="006767E6" w:rsidRPr="006767E6" w:rsidRDefault="006767E6" w:rsidP="006767E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767E6">
        <w:rPr>
          <w:rFonts w:ascii="Open Sans" w:eastAsia="Times New Roman" w:hAnsi="Open Sans" w:cs="Open Sans"/>
          <w:color w:val="333333"/>
          <w:kern w:val="0"/>
          <w:sz w:val="21"/>
          <w:szCs w:val="21"/>
          <w:lang w:eastAsia="es-UY"/>
          <w14:ligatures w14:val="none"/>
        </w:rPr>
        <w:t>Así la vivía Gustavo en su parroquia popular del Rímac. Cuando lo llamaba por teléfono siempre se ponía alguien distinto. Eran muchos los que se sentían en la casa parroquial como en su casa. Ése era el entronque vital de su teología.</w:t>
      </w:r>
    </w:p>
    <w:p w14:paraId="0461978A" w14:textId="77777777" w:rsidR="006767E6" w:rsidRPr="006767E6" w:rsidRDefault="006767E6" w:rsidP="006767E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767E6">
        <w:rPr>
          <w:rFonts w:ascii="Open Sans" w:eastAsia="Times New Roman" w:hAnsi="Open Sans" w:cs="Open Sans"/>
          <w:b/>
          <w:bCs/>
          <w:color w:val="474747"/>
          <w:kern w:val="0"/>
          <w:sz w:val="21"/>
          <w:szCs w:val="21"/>
          <w:lang w:eastAsia="es-UY"/>
          <w14:ligatures w14:val="none"/>
        </w:rPr>
        <w:t>Conocí a Gustavo en el encuentro de El Escorial en 1972,</w:t>
      </w:r>
      <w:r w:rsidRPr="006767E6">
        <w:rPr>
          <w:rFonts w:ascii="Open Sans" w:eastAsia="Times New Roman" w:hAnsi="Open Sans" w:cs="Open Sans"/>
          <w:color w:val="333333"/>
          <w:kern w:val="0"/>
          <w:sz w:val="21"/>
          <w:szCs w:val="21"/>
          <w:lang w:eastAsia="es-UY"/>
          <w14:ligatures w14:val="none"/>
        </w:rPr>
        <w:t> en el que se dio la presentación pública a nivel mundial de la TL. Acababa de terminar la licencia en teología y él me ofreció ir a Lima y asistir a sus clases y seminarios y conferencias y además hablar personalmente con él. Me dijo que no había hecho antes la prueba; así que en ese sentido f</w:t>
      </w:r>
      <w:r w:rsidRPr="006767E6">
        <w:rPr>
          <w:rFonts w:ascii="Open Sans" w:eastAsia="Times New Roman" w:hAnsi="Open Sans" w:cs="Open Sans"/>
          <w:b/>
          <w:bCs/>
          <w:color w:val="474747"/>
          <w:kern w:val="0"/>
          <w:sz w:val="21"/>
          <w:szCs w:val="21"/>
          <w:lang w:eastAsia="es-UY"/>
          <w14:ligatures w14:val="none"/>
        </w:rPr>
        <w:t>ui su primer discípulo no peruano</w:t>
      </w:r>
      <w:r w:rsidRPr="006767E6">
        <w:rPr>
          <w:rFonts w:ascii="Open Sans" w:eastAsia="Times New Roman" w:hAnsi="Open Sans" w:cs="Open Sans"/>
          <w:color w:val="333333"/>
          <w:kern w:val="0"/>
          <w:sz w:val="21"/>
          <w:szCs w:val="21"/>
          <w:lang w:eastAsia="es-UY"/>
          <w14:ligatures w14:val="none"/>
        </w:rPr>
        <w:t>. En efecto, fui a la materia que dictaba en la Universidad Católica. Además, fue la única vez que pudo dar clase en el seminario y también asistí, además, a un seminario en el movimiento sacerdotal ONIS (Oficina Nacional de Investigación Social) y al curso de verano del Instituto Bartolomé de Las Casas y actividades en el Centro de Estudios y Publicaciones que, como el Instituto mencionado, contribuyó a crear y a llenar de contenido.</w:t>
      </w:r>
    </w:p>
    <w:p w14:paraId="2EFF38F0" w14:textId="77777777" w:rsidR="006767E6" w:rsidRPr="006767E6" w:rsidRDefault="006767E6" w:rsidP="006767E6">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6767E6">
        <w:rPr>
          <w:rFonts w:ascii="Montserrat" w:eastAsia="Times New Roman" w:hAnsi="Montserrat" w:cs="Open Sans"/>
          <w:b/>
          <w:bCs/>
          <w:i/>
          <w:iCs/>
          <w:color w:val="D49400"/>
          <w:kern w:val="0"/>
          <w:sz w:val="24"/>
          <w:szCs w:val="24"/>
          <w:lang w:eastAsia="es-UY"/>
          <w14:ligatures w14:val="none"/>
        </w:rPr>
        <w:t>Veía la realidad en su complejidad, insisto que desde los de abajo. Y era fundamentalmente cristiano: seguidor de Jesús y por tanto de su misión: hijo humilde de Dios en el Hijo y hermano de todos en el Hermano universal, y desde ahí, presbítero y teólogo</w:t>
      </w:r>
    </w:p>
    <w:p w14:paraId="103824AF" w14:textId="77777777" w:rsidR="006767E6" w:rsidRPr="006767E6" w:rsidRDefault="006767E6" w:rsidP="006767E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767E6">
        <w:rPr>
          <w:rFonts w:ascii="Open Sans" w:eastAsia="Times New Roman" w:hAnsi="Open Sans" w:cs="Open Sans"/>
          <w:color w:val="333333"/>
          <w:kern w:val="0"/>
          <w:sz w:val="21"/>
          <w:szCs w:val="21"/>
          <w:lang w:eastAsia="es-UY"/>
          <w14:ligatures w14:val="none"/>
        </w:rPr>
        <w:t xml:space="preserve">Era una persona </w:t>
      </w:r>
      <w:proofErr w:type="gramStart"/>
      <w:r w:rsidRPr="006767E6">
        <w:rPr>
          <w:rFonts w:ascii="Open Sans" w:eastAsia="Times New Roman" w:hAnsi="Open Sans" w:cs="Open Sans"/>
          <w:color w:val="333333"/>
          <w:kern w:val="0"/>
          <w:sz w:val="21"/>
          <w:szCs w:val="21"/>
          <w:lang w:eastAsia="es-UY"/>
          <w14:ligatures w14:val="none"/>
        </w:rPr>
        <w:t>muy inteligente y muy agudo</w:t>
      </w:r>
      <w:proofErr w:type="gramEnd"/>
      <w:r w:rsidRPr="006767E6">
        <w:rPr>
          <w:rFonts w:ascii="Open Sans" w:eastAsia="Times New Roman" w:hAnsi="Open Sans" w:cs="Open Sans"/>
          <w:color w:val="333333"/>
          <w:kern w:val="0"/>
          <w:sz w:val="21"/>
          <w:szCs w:val="21"/>
          <w:lang w:eastAsia="es-UY"/>
          <w14:ligatures w14:val="none"/>
        </w:rPr>
        <w:t xml:space="preserve">; pero era fundamentalmente dialogal: escuchaba y daba su opinión. De algún modo llevaba la voz cantante, no porque se colocaba por encima de los demás sino porque escuchaba y relacionaba, además de su propia percepción del tema que se trataba y por eso los demás se sentían representados en lo que él decía. Veía la realidad en su complejidad, insisto que desde </w:t>
      </w:r>
      <w:r w:rsidRPr="006767E6">
        <w:rPr>
          <w:rFonts w:ascii="Open Sans" w:eastAsia="Times New Roman" w:hAnsi="Open Sans" w:cs="Open Sans"/>
          <w:color w:val="333333"/>
          <w:kern w:val="0"/>
          <w:sz w:val="21"/>
          <w:szCs w:val="21"/>
          <w:lang w:eastAsia="es-UY"/>
          <w14:ligatures w14:val="none"/>
        </w:rPr>
        <w:lastRenderedPageBreak/>
        <w:t>los de abajo. Y era fundamentalmente cristiano: seguidor de Jesús y por tanto de su misión: hijo humilde de Dios en el Hijo y hermano de todos en el Hermano universal, y desde ahí, presbítero y teólogo.</w:t>
      </w:r>
    </w:p>
    <w:p w14:paraId="54E40AB7" w14:textId="77777777" w:rsidR="006767E6" w:rsidRPr="006767E6" w:rsidRDefault="006767E6" w:rsidP="006767E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767E6">
        <w:rPr>
          <w:rFonts w:ascii="Open Sans" w:eastAsia="Times New Roman" w:hAnsi="Open Sans" w:cs="Open Sans"/>
          <w:b/>
          <w:bCs/>
          <w:color w:val="474747"/>
          <w:kern w:val="0"/>
          <w:sz w:val="21"/>
          <w:szCs w:val="21"/>
          <w:lang w:eastAsia="es-UY"/>
          <w14:ligatures w14:val="none"/>
        </w:rPr>
        <w:t>Él ya está con Jesús en el seno del Padre y en él con tantas y tantos hermanas y hermanos</w:t>
      </w:r>
      <w:r w:rsidRPr="006767E6">
        <w:rPr>
          <w:rFonts w:ascii="Open Sans" w:eastAsia="Times New Roman" w:hAnsi="Open Sans" w:cs="Open Sans"/>
          <w:color w:val="333333"/>
          <w:kern w:val="0"/>
          <w:sz w:val="21"/>
          <w:szCs w:val="21"/>
          <w:lang w:eastAsia="es-UY"/>
          <w14:ligatures w14:val="none"/>
        </w:rPr>
        <w:t>. Nosotros damos gracias a Dios por su vida, por su amistad, por tanto que nos dio y tanto que compartimos y le pedimos que interceda por este pueblo que tanto amó y por quienes en la Iglesia y fuera de ella se dedican a servir al pueblo fraternamente, y por los teólogos, para que acertemos en plasmar y vivir lo equivalente para nuestro tiempo de lo que él plasmó y vivió en el suyo. Gracias, Gustavo. Dios te ha pagado, aunque tú bien sabes que no es ninguna paga sino puro amor, amor del bueno. Que nos veamos cuando nos llegue la hora.</w:t>
      </w:r>
    </w:p>
    <w:p w14:paraId="4B7BF0B6" w14:textId="77777777" w:rsidR="006767E6" w:rsidRPr="006767E6" w:rsidRDefault="006767E6" w:rsidP="006767E6">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6767E6">
        <w:rPr>
          <w:rFonts w:ascii="inherit" w:eastAsia="Times New Roman" w:hAnsi="inherit" w:cs="Open Sans"/>
          <w:noProof/>
          <w:color w:val="000000"/>
          <w:kern w:val="0"/>
          <w:sz w:val="21"/>
          <w:szCs w:val="21"/>
          <w:lang w:eastAsia="es-UY"/>
          <w14:ligatures w14:val="none"/>
        </w:rPr>
        <w:drawing>
          <wp:inline distT="0" distB="0" distL="0" distR="0" wp14:anchorId="1689DC43" wp14:editId="41D3AA1E">
            <wp:extent cx="6356350" cy="3568700"/>
            <wp:effectExtent l="0" t="0" r="6350" b="0"/>
            <wp:docPr id="3" name="Imagen 1" descr="Gustavo Gutiérrez, con Agustín Ort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stavo Gutiérrez, con Agustín Orteg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14:paraId="6CCE54F9" w14:textId="77777777" w:rsidR="006767E6" w:rsidRPr="006767E6" w:rsidRDefault="006767E6" w:rsidP="006767E6">
      <w:pPr>
        <w:shd w:val="clear" w:color="auto" w:fill="FFFFFF"/>
        <w:spacing w:line="240" w:lineRule="auto"/>
        <w:rPr>
          <w:rFonts w:ascii="inherit" w:eastAsia="Times New Roman" w:hAnsi="inherit" w:cs="Open Sans"/>
          <w:color w:val="000000"/>
          <w:kern w:val="0"/>
          <w:sz w:val="21"/>
          <w:szCs w:val="21"/>
          <w:lang w:eastAsia="es-UY"/>
          <w14:ligatures w14:val="none"/>
        </w:rPr>
      </w:pPr>
      <w:r w:rsidRPr="006767E6">
        <w:rPr>
          <w:rFonts w:ascii="inherit" w:eastAsia="Times New Roman" w:hAnsi="inherit" w:cs="Open Sans"/>
          <w:color w:val="000000"/>
          <w:kern w:val="0"/>
          <w:sz w:val="21"/>
          <w:szCs w:val="21"/>
          <w:lang w:eastAsia="es-UY"/>
          <w14:ligatures w14:val="none"/>
        </w:rPr>
        <w:t>Gustavo Gutiérrez, con Agustín Ortega </w:t>
      </w:r>
      <w:r w:rsidRPr="006767E6">
        <w:rPr>
          <w:rFonts w:ascii="inherit" w:eastAsia="Times New Roman" w:hAnsi="inherit" w:cs="Open Sans"/>
          <w:color w:val="8C8C8C"/>
          <w:kern w:val="0"/>
          <w:sz w:val="21"/>
          <w:szCs w:val="21"/>
          <w:lang w:eastAsia="es-UY"/>
          <w14:ligatures w14:val="none"/>
        </w:rPr>
        <w:t>A. Ortega</w:t>
      </w:r>
    </w:p>
    <w:p w14:paraId="429ED303" w14:textId="77777777" w:rsidR="006767E6" w:rsidRPr="006767E6" w:rsidRDefault="006767E6" w:rsidP="006767E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767E6">
        <w:rPr>
          <w:rFonts w:ascii="Open Sans" w:eastAsia="Times New Roman" w:hAnsi="Open Sans" w:cs="Open Sans"/>
          <w:color w:val="333333"/>
          <w:kern w:val="0"/>
          <w:sz w:val="21"/>
          <w:szCs w:val="21"/>
          <w:lang w:eastAsia="es-UY"/>
          <w14:ligatures w14:val="none"/>
        </w:rPr>
        <w:t xml:space="preserve">Es así mismo del Comité asesor del Centro de Estudios y publicaciones (CEP) que él fundó y del Instituto Bartolomé de Las Casas en </w:t>
      </w:r>
      <w:proofErr w:type="spellStart"/>
      <w:r w:rsidRPr="006767E6">
        <w:rPr>
          <w:rFonts w:ascii="Open Sans" w:eastAsia="Times New Roman" w:hAnsi="Open Sans" w:cs="Open Sans"/>
          <w:color w:val="333333"/>
          <w:kern w:val="0"/>
          <w:sz w:val="21"/>
          <w:szCs w:val="21"/>
          <w:lang w:eastAsia="es-UY"/>
          <w14:ligatures w14:val="none"/>
        </w:rPr>
        <w:t>Rimac</w:t>
      </w:r>
      <w:proofErr w:type="spellEnd"/>
      <w:r w:rsidRPr="006767E6">
        <w:rPr>
          <w:rFonts w:ascii="Open Sans" w:eastAsia="Times New Roman" w:hAnsi="Open Sans" w:cs="Open Sans"/>
          <w:color w:val="333333"/>
          <w:kern w:val="0"/>
          <w:sz w:val="21"/>
          <w:szCs w:val="21"/>
          <w:lang w:eastAsia="es-UY"/>
          <w14:ligatures w14:val="none"/>
        </w:rPr>
        <w:t xml:space="preserve"> en Lima, que él fundó,</w:t>
      </w:r>
    </w:p>
    <w:p w14:paraId="6211EBFC" w14:textId="77777777" w:rsidR="006767E6" w:rsidRPr="006767E6" w:rsidRDefault="006767E6" w:rsidP="006767E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767E6">
        <w:rPr>
          <w:rFonts w:ascii="Open Sans" w:eastAsia="Times New Roman" w:hAnsi="Open Sans" w:cs="Open Sans"/>
          <w:i/>
          <w:iCs/>
          <w:color w:val="474747"/>
          <w:kern w:val="0"/>
          <w:sz w:val="21"/>
          <w:szCs w:val="21"/>
          <w:lang w:eastAsia="es-UY"/>
          <w14:ligatures w14:val="none"/>
        </w:rPr>
        <w:t>Beber en su propio pozo: En el itinerario espiritual de un pueblo</w:t>
      </w:r>
      <w:r w:rsidRPr="006767E6">
        <w:rPr>
          <w:rFonts w:ascii="Open Sans" w:eastAsia="Times New Roman" w:hAnsi="Open Sans" w:cs="Open Sans"/>
          <w:color w:val="333333"/>
          <w:kern w:val="0"/>
          <w:sz w:val="21"/>
          <w:szCs w:val="21"/>
          <w:lang w:eastAsia="es-UY"/>
          <w14:ligatures w14:val="none"/>
        </w:rPr>
        <w:t>. Lima: Centro de Estudios y Publicaciones, 1983. </w:t>
      </w:r>
      <w:r w:rsidRPr="006767E6">
        <w:rPr>
          <w:rFonts w:ascii="Open Sans" w:eastAsia="Times New Roman" w:hAnsi="Open Sans" w:cs="Open Sans"/>
          <w:i/>
          <w:iCs/>
          <w:color w:val="474747"/>
          <w:kern w:val="0"/>
          <w:sz w:val="21"/>
          <w:szCs w:val="21"/>
          <w:lang w:eastAsia="es-UY"/>
          <w14:ligatures w14:val="none"/>
        </w:rPr>
        <w:t>El Dios de la vida</w:t>
      </w:r>
      <w:r w:rsidRPr="006767E6">
        <w:rPr>
          <w:rFonts w:ascii="Open Sans" w:eastAsia="Times New Roman" w:hAnsi="Open Sans" w:cs="Open Sans"/>
          <w:color w:val="333333"/>
          <w:kern w:val="0"/>
          <w:sz w:val="21"/>
          <w:szCs w:val="21"/>
          <w:lang w:eastAsia="es-UY"/>
          <w14:ligatures w14:val="none"/>
        </w:rPr>
        <w:t>. Lima: Centro de Estudios y Publicaciones, 1982. </w:t>
      </w:r>
      <w:r w:rsidRPr="006767E6">
        <w:rPr>
          <w:rFonts w:ascii="Open Sans" w:eastAsia="Times New Roman" w:hAnsi="Open Sans" w:cs="Open Sans"/>
          <w:i/>
          <w:iCs/>
          <w:color w:val="474747"/>
          <w:kern w:val="0"/>
          <w:sz w:val="21"/>
          <w:szCs w:val="21"/>
          <w:lang w:eastAsia="es-UY"/>
          <w14:ligatures w14:val="none"/>
        </w:rPr>
        <w:t>Entre las calandrias</w:t>
      </w:r>
      <w:r w:rsidRPr="006767E6">
        <w:rPr>
          <w:rFonts w:ascii="Open Sans" w:eastAsia="Times New Roman" w:hAnsi="Open Sans" w:cs="Open Sans"/>
          <w:color w:val="333333"/>
          <w:kern w:val="0"/>
          <w:sz w:val="21"/>
          <w:szCs w:val="21"/>
          <w:lang w:eastAsia="es-UY"/>
          <w14:ligatures w14:val="none"/>
        </w:rPr>
        <w:t>. Lima: Centro de Estudios y Publicaciones, 1982. </w:t>
      </w:r>
      <w:r w:rsidRPr="006767E6">
        <w:rPr>
          <w:rFonts w:ascii="Open Sans" w:eastAsia="Times New Roman" w:hAnsi="Open Sans" w:cs="Open Sans"/>
          <w:i/>
          <w:iCs/>
          <w:color w:val="474747"/>
          <w:kern w:val="0"/>
          <w:sz w:val="21"/>
          <w:szCs w:val="21"/>
          <w:lang w:eastAsia="es-UY"/>
          <w14:ligatures w14:val="none"/>
        </w:rPr>
        <w:t>Hablar de Dios desde el sufrimiento del inocente: Una reflexión sobre el libro de Job</w:t>
      </w:r>
      <w:r w:rsidRPr="006767E6">
        <w:rPr>
          <w:rFonts w:ascii="Open Sans" w:eastAsia="Times New Roman" w:hAnsi="Open Sans" w:cs="Open Sans"/>
          <w:color w:val="333333"/>
          <w:kern w:val="0"/>
          <w:sz w:val="21"/>
          <w:szCs w:val="21"/>
          <w:lang w:eastAsia="es-UY"/>
          <w14:ligatures w14:val="none"/>
        </w:rPr>
        <w:t>. Lima: Centro de Estudios y Publicaciones, 1986. </w:t>
      </w:r>
      <w:r w:rsidRPr="006767E6">
        <w:rPr>
          <w:rFonts w:ascii="Open Sans" w:eastAsia="Times New Roman" w:hAnsi="Open Sans" w:cs="Open Sans"/>
          <w:i/>
          <w:iCs/>
          <w:color w:val="474747"/>
          <w:kern w:val="0"/>
          <w:sz w:val="21"/>
          <w:szCs w:val="21"/>
          <w:lang w:eastAsia="es-UY"/>
          <w14:ligatures w14:val="none"/>
        </w:rPr>
        <w:t>La fuerza histórica de los pobres</w:t>
      </w:r>
      <w:r w:rsidRPr="006767E6">
        <w:rPr>
          <w:rFonts w:ascii="Open Sans" w:eastAsia="Times New Roman" w:hAnsi="Open Sans" w:cs="Open Sans"/>
          <w:color w:val="333333"/>
          <w:kern w:val="0"/>
          <w:sz w:val="21"/>
          <w:szCs w:val="21"/>
          <w:lang w:eastAsia="es-UY"/>
          <w14:ligatures w14:val="none"/>
        </w:rPr>
        <w:t>. Lima: Centro de Estudios y Publicaciones, 1983. </w:t>
      </w:r>
      <w:r w:rsidRPr="006767E6">
        <w:rPr>
          <w:rFonts w:ascii="Open Sans" w:eastAsia="Times New Roman" w:hAnsi="Open Sans" w:cs="Open Sans"/>
          <w:i/>
          <w:iCs/>
          <w:color w:val="474747"/>
          <w:kern w:val="0"/>
          <w:sz w:val="21"/>
          <w:szCs w:val="21"/>
          <w:lang w:eastAsia="es-UY"/>
          <w14:ligatures w14:val="none"/>
        </w:rPr>
        <w:t>La nueva frontera de la teología en América Latina</w:t>
      </w:r>
      <w:r w:rsidRPr="006767E6">
        <w:rPr>
          <w:rFonts w:ascii="Open Sans" w:eastAsia="Times New Roman" w:hAnsi="Open Sans" w:cs="Open Sans"/>
          <w:color w:val="333333"/>
          <w:kern w:val="0"/>
          <w:sz w:val="21"/>
          <w:szCs w:val="21"/>
          <w:lang w:eastAsia="es-UY"/>
          <w14:ligatures w14:val="none"/>
        </w:rPr>
        <w:t>. Salamanca, México: Sígueme, 1977. </w:t>
      </w:r>
      <w:r w:rsidRPr="006767E6">
        <w:rPr>
          <w:rFonts w:ascii="Open Sans" w:eastAsia="Times New Roman" w:hAnsi="Open Sans" w:cs="Open Sans"/>
          <w:i/>
          <w:iCs/>
          <w:color w:val="474747"/>
          <w:kern w:val="0"/>
          <w:sz w:val="21"/>
          <w:szCs w:val="21"/>
          <w:lang w:eastAsia="es-UY"/>
          <w14:ligatures w14:val="none"/>
        </w:rPr>
        <w:t>Los pobres y la liberación en Puebla</w:t>
      </w:r>
      <w:r w:rsidRPr="006767E6">
        <w:rPr>
          <w:rFonts w:ascii="Open Sans" w:eastAsia="Times New Roman" w:hAnsi="Open Sans" w:cs="Open Sans"/>
          <w:color w:val="333333"/>
          <w:kern w:val="0"/>
          <w:sz w:val="21"/>
          <w:szCs w:val="21"/>
          <w:lang w:eastAsia="es-UY"/>
          <w14:ligatures w14:val="none"/>
        </w:rPr>
        <w:t xml:space="preserve">. Bogotá: Indo-American </w:t>
      </w:r>
      <w:proofErr w:type="spellStart"/>
      <w:r w:rsidRPr="006767E6">
        <w:rPr>
          <w:rFonts w:ascii="Open Sans" w:eastAsia="Times New Roman" w:hAnsi="Open Sans" w:cs="Open Sans"/>
          <w:color w:val="333333"/>
          <w:kern w:val="0"/>
          <w:sz w:val="21"/>
          <w:szCs w:val="21"/>
          <w:lang w:eastAsia="es-UY"/>
          <w14:ligatures w14:val="none"/>
        </w:rPr>
        <w:t>Press</w:t>
      </w:r>
      <w:proofErr w:type="spellEnd"/>
      <w:r w:rsidRPr="006767E6">
        <w:rPr>
          <w:rFonts w:ascii="Open Sans" w:eastAsia="Times New Roman" w:hAnsi="Open Sans" w:cs="Open Sans"/>
          <w:color w:val="333333"/>
          <w:kern w:val="0"/>
          <w:sz w:val="21"/>
          <w:szCs w:val="21"/>
          <w:lang w:eastAsia="es-UY"/>
          <w14:ligatures w14:val="none"/>
        </w:rPr>
        <w:t xml:space="preserve"> </w:t>
      </w:r>
      <w:proofErr w:type="spellStart"/>
      <w:r w:rsidRPr="006767E6">
        <w:rPr>
          <w:rFonts w:ascii="Open Sans" w:eastAsia="Times New Roman" w:hAnsi="Open Sans" w:cs="Open Sans"/>
          <w:color w:val="333333"/>
          <w:kern w:val="0"/>
          <w:sz w:val="21"/>
          <w:szCs w:val="21"/>
          <w:lang w:eastAsia="es-UY"/>
          <w14:ligatures w14:val="none"/>
        </w:rPr>
        <w:t>Service</w:t>
      </w:r>
      <w:proofErr w:type="spellEnd"/>
      <w:r w:rsidRPr="006767E6">
        <w:rPr>
          <w:rFonts w:ascii="Open Sans" w:eastAsia="Times New Roman" w:hAnsi="Open Sans" w:cs="Open Sans"/>
          <w:color w:val="333333"/>
          <w:kern w:val="0"/>
          <w:sz w:val="21"/>
          <w:szCs w:val="21"/>
          <w:lang w:eastAsia="es-UY"/>
          <w14:ligatures w14:val="none"/>
        </w:rPr>
        <w:t xml:space="preserve">, 1979. (Con José Luis </w:t>
      </w:r>
      <w:proofErr w:type="spellStart"/>
      <w:r w:rsidRPr="006767E6">
        <w:rPr>
          <w:rFonts w:ascii="Open Sans" w:eastAsia="Times New Roman" w:hAnsi="Open Sans" w:cs="Open Sans"/>
          <w:color w:val="333333"/>
          <w:kern w:val="0"/>
          <w:sz w:val="21"/>
          <w:szCs w:val="21"/>
          <w:lang w:eastAsia="es-UY"/>
          <w14:ligatures w14:val="none"/>
        </w:rPr>
        <w:t>Indigoras</w:t>
      </w:r>
      <w:proofErr w:type="spellEnd"/>
      <w:r w:rsidRPr="006767E6">
        <w:rPr>
          <w:rFonts w:ascii="Open Sans" w:eastAsia="Times New Roman" w:hAnsi="Open Sans" w:cs="Open Sans"/>
          <w:color w:val="333333"/>
          <w:kern w:val="0"/>
          <w:sz w:val="21"/>
          <w:szCs w:val="21"/>
          <w:lang w:eastAsia="es-UY"/>
          <w14:ligatures w14:val="none"/>
        </w:rPr>
        <w:t xml:space="preserve"> y otros) </w:t>
      </w:r>
      <w:r w:rsidRPr="006767E6">
        <w:rPr>
          <w:rFonts w:ascii="Open Sans" w:eastAsia="Times New Roman" w:hAnsi="Open Sans" w:cs="Open Sans"/>
          <w:i/>
          <w:iCs/>
          <w:color w:val="474747"/>
          <w:kern w:val="0"/>
          <w:sz w:val="21"/>
          <w:szCs w:val="21"/>
          <w:lang w:eastAsia="es-UY"/>
          <w14:ligatures w14:val="none"/>
        </w:rPr>
        <w:t xml:space="preserve">Reflexión sobre la </w:t>
      </w:r>
      <w:r w:rsidRPr="006767E6">
        <w:rPr>
          <w:rFonts w:ascii="Open Sans" w:eastAsia="Times New Roman" w:hAnsi="Open Sans" w:cs="Open Sans"/>
          <w:i/>
          <w:iCs/>
          <w:color w:val="474747"/>
          <w:kern w:val="0"/>
          <w:sz w:val="21"/>
          <w:szCs w:val="21"/>
          <w:lang w:eastAsia="es-UY"/>
          <w14:ligatures w14:val="none"/>
        </w:rPr>
        <w:lastRenderedPageBreak/>
        <w:t>teología de la liberación: Perspectivas desde el Perú</w:t>
      </w:r>
      <w:r w:rsidRPr="006767E6">
        <w:rPr>
          <w:rFonts w:ascii="Open Sans" w:eastAsia="Times New Roman" w:hAnsi="Open Sans" w:cs="Open Sans"/>
          <w:color w:val="333333"/>
          <w:kern w:val="0"/>
          <w:sz w:val="21"/>
          <w:szCs w:val="21"/>
          <w:lang w:eastAsia="es-UY"/>
          <w14:ligatures w14:val="none"/>
        </w:rPr>
        <w:t>. Iquitos, Perú: Centro de Estudios Teológicos de la Amazonía, 1986. </w:t>
      </w:r>
      <w:r w:rsidRPr="006767E6">
        <w:rPr>
          <w:rFonts w:ascii="Open Sans" w:eastAsia="Times New Roman" w:hAnsi="Open Sans" w:cs="Open Sans"/>
          <w:i/>
          <w:iCs/>
          <w:color w:val="474747"/>
          <w:kern w:val="0"/>
          <w:sz w:val="21"/>
          <w:szCs w:val="21"/>
          <w:lang w:eastAsia="es-UY"/>
          <w14:ligatures w14:val="none"/>
        </w:rPr>
        <w:t>Religión, ¿instrumento de liberación?</w:t>
      </w:r>
      <w:r w:rsidRPr="006767E6">
        <w:rPr>
          <w:rFonts w:ascii="Open Sans" w:eastAsia="Times New Roman" w:hAnsi="Open Sans" w:cs="Open Sans"/>
          <w:color w:val="333333"/>
          <w:kern w:val="0"/>
          <w:sz w:val="21"/>
          <w:szCs w:val="21"/>
          <w:lang w:eastAsia="es-UY"/>
          <w14:ligatures w14:val="none"/>
        </w:rPr>
        <w:t xml:space="preserve"> Madrid: Ediciones </w:t>
      </w:r>
      <w:proofErr w:type="spellStart"/>
      <w:r w:rsidRPr="006767E6">
        <w:rPr>
          <w:rFonts w:ascii="Open Sans" w:eastAsia="Times New Roman" w:hAnsi="Open Sans" w:cs="Open Sans"/>
          <w:color w:val="333333"/>
          <w:kern w:val="0"/>
          <w:sz w:val="21"/>
          <w:szCs w:val="21"/>
          <w:lang w:eastAsia="es-UY"/>
          <w14:ligatures w14:val="none"/>
        </w:rPr>
        <w:t>Marova</w:t>
      </w:r>
      <w:proofErr w:type="spellEnd"/>
      <w:r w:rsidRPr="006767E6">
        <w:rPr>
          <w:rFonts w:ascii="Open Sans" w:eastAsia="Times New Roman" w:hAnsi="Open Sans" w:cs="Open Sans"/>
          <w:color w:val="333333"/>
          <w:kern w:val="0"/>
          <w:sz w:val="21"/>
          <w:szCs w:val="21"/>
          <w:lang w:eastAsia="es-UY"/>
          <w14:ligatures w14:val="none"/>
        </w:rPr>
        <w:t>, 1973. (Con otros) </w:t>
      </w:r>
      <w:r w:rsidRPr="006767E6">
        <w:rPr>
          <w:rFonts w:ascii="Open Sans" w:eastAsia="Times New Roman" w:hAnsi="Open Sans" w:cs="Open Sans"/>
          <w:i/>
          <w:iCs/>
          <w:color w:val="474747"/>
          <w:kern w:val="0"/>
          <w:sz w:val="21"/>
          <w:szCs w:val="21"/>
          <w:lang w:eastAsia="es-UY"/>
          <w14:ligatures w14:val="none"/>
        </w:rPr>
        <w:t>Sobre el trabajo humano: Comentarios a la encíclica “</w:t>
      </w:r>
      <w:proofErr w:type="spellStart"/>
      <w:r w:rsidRPr="006767E6">
        <w:rPr>
          <w:rFonts w:ascii="Open Sans" w:eastAsia="Times New Roman" w:hAnsi="Open Sans" w:cs="Open Sans"/>
          <w:i/>
          <w:iCs/>
          <w:color w:val="474747"/>
          <w:kern w:val="0"/>
          <w:sz w:val="21"/>
          <w:szCs w:val="21"/>
          <w:lang w:eastAsia="es-UY"/>
          <w14:ligatures w14:val="none"/>
        </w:rPr>
        <w:t>laborem</w:t>
      </w:r>
      <w:proofErr w:type="spellEnd"/>
      <w:r w:rsidRPr="006767E6">
        <w:rPr>
          <w:rFonts w:ascii="Open Sans" w:eastAsia="Times New Roman" w:hAnsi="Open Sans" w:cs="Open Sans"/>
          <w:i/>
          <w:iCs/>
          <w:color w:val="474747"/>
          <w:kern w:val="0"/>
          <w:sz w:val="21"/>
          <w:szCs w:val="21"/>
          <w:lang w:eastAsia="es-UY"/>
          <w14:ligatures w14:val="none"/>
        </w:rPr>
        <w:t xml:space="preserve"> </w:t>
      </w:r>
      <w:proofErr w:type="spellStart"/>
      <w:r w:rsidRPr="006767E6">
        <w:rPr>
          <w:rFonts w:ascii="Open Sans" w:eastAsia="Times New Roman" w:hAnsi="Open Sans" w:cs="Open Sans"/>
          <w:i/>
          <w:iCs/>
          <w:color w:val="474747"/>
          <w:kern w:val="0"/>
          <w:sz w:val="21"/>
          <w:szCs w:val="21"/>
          <w:lang w:eastAsia="es-UY"/>
          <w14:ligatures w14:val="none"/>
        </w:rPr>
        <w:t>exercens</w:t>
      </w:r>
      <w:proofErr w:type="spellEnd"/>
      <w:r w:rsidRPr="006767E6">
        <w:rPr>
          <w:rFonts w:ascii="Open Sans" w:eastAsia="Times New Roman" w:hAnsi="Open Sans" w:cs="Open Sans"/>
          <w:i/>
          <w:iCs/>
          <w:color w:val="474747"/>
          <w:kern w:val="0"/>
          <w:sz w:val="21"/>
          <w:szCs w:val="21"/>
          <w:lang w:eastAsia="es-UY"/>
          <w14:ligatures w14:val="none"/>
        </w:rPr>
        <w:t>”</w:t>
      </w:r>
      <w:r w:rsidRPr="006767E6">
        <w:rPr>
          <w:rFonts w:ascii="Open Sans" w:eastAsia="Times New Roman" w:hAnsi="Open Sans" w:cs="Open Sans"/>
          <w:color w:val="333333"/>
          <w:kern w:val="0"/>
          <w:sz w:val="21"/>
          <w:szCs w:val="21"/>
          <w:lang w:eastAsia="es-UY"/>
          <w14:ligatures w14:val="none"/>
        </w:rPr>
        <w:t>. Lima: Centro de Estudios y Publicaciones, 1982. </w:t>
      </w:r>
      <w:r w:rsidRPr="006767E6">
        <w:rPr>
          <w:rFonts w:ascii="Open Sans" w:eastAsia="Times New Roman" w:hAnsi="Open Sans" w:cs="Open Sans"/>
          <w:i/>
          <w:iCs/>
          <w:color w:val="474747"/>
          <w:kern w:val="0"/>
          <w:sz w:val="21"/>
          <w:szCs w:val="21"/>
          <w:lang w:eastAsia="es-UY"/>
          <w14:ligatures w14:val="none"/>
        </w:rPr>
        <w:t>Teología de la liberación-perspectivas</w:t>
      </w:r>
      <w:r w:rsidRPr="006767E6">
        <w:rPr>
          <w:rFonts w:ascii="Open Sans" w:eastAsia="Times New Roman" w:hAnsi="Open Sans" w:cs="Open Sans"/>
          <w:color w:val="333333"/>
          <w:kern w:val="0"/>
          <w:sz w:val="21"/>
          <w:szCs w:val="21"/>
          <w:lang w:eastAsia="es-UY"/>
          <w14:ligatures w14:val="none"/>
        </w:rPr>
        <w:t>. Lima: Centro de Estudios y Publicaciones, 1971. </w:t>
      </w:r>
      <w:r w:rsidRPr="006767E6">
        <w:rPr>
          <w:rFonts w:ascii="Open Sans" w:eastAsia="Times New Roman" w:hAnsi="Open Sans" w:cs="Open Sans"/>
          <w:i/>
          <w:iCs/>
          <w:color w:val="474747"/>
          <w:kern w:val="0"/>
          <w:sz w:val="21"/>
          <w:szCs w:val="21"/>
          <w:lang w:eastAsia="es-UY"/>
          <w14:ligatures w14:val="none"/>
        </w:rPr>
        <w:t>Teología desde el reverso de la historia</w:t>
      </w:r>
      <w:r w:rsidRPr="006767E6">
        <w:rPr>
          <w:rFonts w:ascii="Open Sans" w:eastAsia="Times New Roman" w:hAnsi="Open Sans" w:cs="Open Sans"/>
          <w:color w:val="333333"/>
          <w:kern w:val="0"/>
          <w:sz w:val="21"/>
          <w:szCs w:val="21"/>
          <w:lang w:eastAsia="es-UY"/>
          <w14:ligatures w14:val="none"/>
        </w:rPr>
        <w:t>. Lima: Centro de Estudios y Publicaciones, 1977. </w:t>
      </w:r>
      <w:r w:rsidRPr="006767E6">
        <w:rPr>
          <w:rFonts w:ascii="Open Sans" w:eastAsia="Times New Roman" w:hAnsi="Open Sans" w:cs="Open Sans"/>
          <w:i/>
          <w:iCs/>
          <w:color w:val="474747"/>
          <w:kern w:val="0"/>
          <w:sz w:val="21"/>
          <w:szCs w:val="21"/>
          <w:lang w:eastAsia="es-UY"/>
          <w14:ligatures w14:val="none"/>
        </w:rPr>
        <w:t>Teología: Acontecimiento, silencio y lenguaje</w:t>
      </w:r>
      <w:r w:rsidRPr="006767E6">
        <w:rPr>
          <w:rFonts w:ascii="Open Sans" w:eastAsia="Times New Roman" w:hAnsi="Open Sans" w:cs="Open Sans"/>
          <w:color w:val="333333"/>
          <w:kern w:val="0"/>
          <w:sz w:val="21"/>
          <w:szCs w:val="21"/>
          <w:lang w:eastAsia="es-UY"/>
          <w14:ligatures w14:val="none"/>
        </w:rPr>
        <w:t>. Lima: CEP, 1996</w:t>
      </w:r>
    </w:p>
    <w:p w14:paraId="7391B5CC" w14:textId="6A93C8B7" w:rsidR="00926044" w:rsidRDefault="006767E6">
      <w:hyperlink r:id="rId9" w:history="1">
        <w:r w:rsidRPr="004236EA">
          <w:rPr>
            <w:rStyle w:val="Hipervnculo"/>
          </w:rPr>
          <w:t>https://www.religiondigital.org/opinion/pedro-trigo-gustavo-gutierrez-homenaje-memoriam_0_2719228056.html</w:t>
        </w:r>
      </w:hyperlink>
    </w:p>
    <w:p w14:paraId="707B7BA1" w14:textId="77777777" w:rsidR="006767E6" w:rsidRDefault="006767E6"/>
    <w:sectPr w:rsidR="006767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C4417D"/>
    <w:multiLevelType w:val="multilevel"/>
    <w:tmpl w:val="59EC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3878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7E6"/>
    <w:rsid w:val="0043454F"/>
    <w:rsid w:val="006767E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EF243"/>
  <w15:chartTrackingRefBased/>
  <w15:docId w15:val="{89BB269F-DB74-4AC0-B9B8-9CB956FBB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76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76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767E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767E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767E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767E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767E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767E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767E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767E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767E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767E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767E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767E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767E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767E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767E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767E6"/>
    <w:rPr>
      <w:rFonts w:eastAsiaTheme="majorEastAsia" w:cstheme="majorBidi"/>
      <w:color w:val="272727" w:themeColor="text1" w:themeTint="D8"/>
    </w:rPr>
  </w:style>
  <w:style w:type="paragraph" w:styleId="Ttulo">
    <w:name w:val="Title"/>
    <w:basedOn w:val="Normal"/>
    <w:next w:val="Normal"/>
    <w:link w:val="TtuloCar"/>
    <w:uiPriority w:val="10"/>
    <w:qFormat/>
    <w:rsid w:val="00676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767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767E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767E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767E6"/>
    <w:pPr>
      <w:spacing w:before="160"/>
      <w:jc w:val="center"/>
    </w:pPr>
    <w:rPr>
      <w:i/>
      <w:iCs/>
      <w:color w:val="404040" w:themeColor="text1" w:themeTint="BF"/>
    </w:rPr>
  </w:style>
  <w:style w:type="character" w:customStyle="1" w:styleId="CitaCar">
    <w:name w:val="Cita Car"/>
    <w:basedOn w:val="Fuentedeprrafopredeter"/>
    <w:link w:val="Cita"/>
    <w:uiPriority w:val="29"/>
    <w:rsid w:val="006767E6"/>
    <w:rPr>
      <w:i/>
      <w:iCs/>
      <w:color w:val="404040" w:themeColor="text1" w:themeTint="BF"/>
    </w:rPr>
  </w:style>
  <w:style w:type="paragraph" w:styleId="Prrafodelista">
    <w:name w:val="List Paragraph"/>
    <w:basedOn w:val="Normal"/>
    <w:uiPriority w:val="34"/>
    <w:qFormat/>
    <w:rsid w:val="006767E6"/>
    <w:pPr>
      <w:ind w:left="720"/>
      <w:contextualSpacing/>
    </w:pPr>
  </w:style>
  <w:style w:type="character" w:styleId="nfasisintenso">
    <w:name w:val="Intense Emphasis"/>
    <w:basedOn w:val="Fuentedeprrafopredeter"/>
    <w:uiPriority w:val="21"/>
    <w:qFormat/>
    <w:rsid w:val="006767E6"/>
    <w:rPr>
      <w:i/>
      <w:iCs/>
      <w:color w:val="0F4761" w:themeColor="accent1" w:themeShade="BF"/>
    </w:rPr>
  </w:style>
  <w:style w:type="paragraph" w:styleId="Citadestacada">
    <w:name w:val="Intense Quote"/>
    <w:basedOn w:val="Normal"/>
    <w:next w:val="Normal"/>
    <w:link w:val="CitadestacadaCar"/>
    <w:uiPriority w:val="30"/>
    <w:qFormat/>
    <w:rsid w:val="00676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767E6"/>
    <w:rPr>
      <w:i/>
      <w:iCs/>
      <w:color w:val="0F4761" w:themeColor="accent1" w:themeShade="BF"/>
    </w:rPr>
  </w:style>
  <w:style w:type="character" w:styleId="Referenciaintensa">
    <w:name w:val="Intense Reference"/>
    <w:basedOn w:val="Fuentedeprrafopredeter"/>
    <w:uiPriority w:val="32"/>
    <w:qFormat/>
    <w:rsid w:val="006767E6"/>
    <w:rPr>
      <w:b/>
      <w:bCs/>
      <w:smallCaps/>
      <w:color w:val="0F4761" w:themeColor="accent1" w:themeShade="BF"/>
      <w:spacing w:val="5"/>
    </w:rPr>
  </w:style>
  <w:style w:type="character" w:styleId="Hipervnculo">
    <w:name w:val="Hyperlink"/>
    <w:basedOn w:val="Fuentedeprrafopredeter"/>
    <w:uiPriority w:val="99"/>
    <w:unhideWhenUsed/>
    <w:rsid w:val="006767E6"/>
    <w:rPr>
      <w:color w:val="467886" w:themeColor="hyperlink"/>
      <w:u w:val="single"/>
    </w:rPr>
  </w:style>
  <w:style w:type="character" w:styleId="Mencinsinresolver">
    <w:name w:val="Unresolved Mention"/>
    <w:basedOn w:val="Fuentedeprrafopredeter"/>
    <w:uiPriority w:val="99"/>
    <w:semiHidden/>
    <w:unhideWhenUsed/>
    <w:rsid w:val="00676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655087">
      <w:bodyDiv w:val="1"/>
      <w:marLeft w:val="0"/>
      <w:marRight w:val="0"/>
      <w:marTop w:val="0"/>
      <w:marBottom w:val="0"/>
      <w:divBdr>
        <w:top w:val="none" w:sz="0" w:space="0" w:color="auto"/>
        <w:left w:val="none" w:sz="0" w:space="0" w:color="auto"/>
        <w:bottom w:val="none" w:sz="0" w:space="0" w:color="auto"/>
        <w:right w:val="none" w:sz="0" w:space="0" w:color="auto"/>
      </w:divBdr>
      <w:divsChild>
        <w:div w:id="498733995">
          <w:marLeft w:val="0"/>
          <w:marRight w:val="0"/>
          <w:marTop w:val="0"/>
          <w:marBottom w:val="0"/>
          <w:divBdr>
            <w:top w:val="none" w:sz="0" w:space="0" w:color="auto"/>
            <w:left w:val="none" w:sz="0" w:space="0" w:color="auto"/>
            <w:bottom w:val="none" w:sz="0" w:space="0" w:color="auto"/>
            <w:right w:val="none" w:sz="0" w:space="0" w:color="auto"/>
          </w:divBdr>
          <w:divsChild>
            <w:div w:id="1302686665">
              <w:marLeft w:val="0"/>
              <w:marRight w:val="0"/>
              <w:marTop w:val="0"/>
              <w:marBottom w:val="600"/>
              <w:divBdr>
                <w:top w:val="none" w:sz="0" w:space="0" w:color="auto"/>
                <w:left w:val="none" w:sz="0" w:space="0" w:color="auto"/>
                <w:bottom w:val="none" w:sz="0" w:space="0" w:color="auto"/>
                <w:right w:val="none" w:sz="0" w:space="0" w:color="auto"/>
              </w:divBdr>
              <w:divsChild>
                <w:div w:id="211956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1050">
          <w:marLeft w:val="0"/>
          <w:marRight w:val="0"/>
          <w:marTop w:val="0"/>
          <w:marBottom w:val="0"/>
          <w:divBdr>
            <w:top w:val="none" w:sz="0" w:space="0" w:color="auto"/>
            <w:left w:val="none" w:sz="0" w:space="0" w:color="auto"/>
            <w:bottom w:val="none" w:sz="0" w:space="0" w:color="auto"/>
            <w:right w:val="none" w:sz="0" w:space="0" w:color="auto"/>
          </w:divBdr>
          <w:divsChild>
            <w:div w:id="645546109">
              <w:marLeft w:val="0"/>
              <w:marRight w:val="0"/>
              <w:marTop w:val="0"/>
              <w:marBottom w:val="0"/>
              <w:divBdr>
                <w:top w:val="none" w:sz="0" w:space="0" w:color="auto"/>
                <w:left w:val="none" w:sz="0" w:space="0" w:color="auto"/>
                <w:bottom w:val="none" w:sz="0" w:space="0" w:color="auto"/>
                <w:right w:val="none" w:sz="0" w:space="0" w:color="auto"/>
              </w:divBdr>
              <w:divsChild>
                <w:div w:id="1270430315">
                  <w:marLeft w:val="-1275"/>
                  <w:marRight w:val="0"/>
                  <w:marTop w:val="0"/>
                  <w:marBottom w:val="0"/>
                  <w:divBdr>
                    <w:top w:val="none" w:sz="0" w:space="0" w:color="auto"/>
                    <w:left w:val="none" w:sz="0" w:space="0" w:color="auto"/>
                    <w:bottom w:val="none" w:sz="0" w:space="0" w:color="auto"/>
                    <w:right w:val="none" w:sz="0" w:space="0" w:color="auto"/>
                  </w:divBdr>
                </w:div>
                <w:div w:id="1822428709">
                  <w:marLeft w:val="0"/>
                  <w:marRight w:val="0"/>
                  <w:marTop w:val="0"/>
                  <w:marBottom w:val="0"/>
                  <w:divBdr>
                    <w:top w:val="none" w:sz="0" w:space="0" w:color="auto"/>
                    <w:left w:val="none" w:sz="0" w:space="0" w:color="auto"/>
                    <w:bottom w:val="none" w:sz="0" w:space="0" w:color="auto"/>
                    <w:right w:val="none" w:sz="0" w:space="0" w:color="auto"/>
                  </w:divBdr>
                  <w:divsChild>
                    <w:div w:id="725109047">
                      <w:marLeft w:val="0"/>
                      <w:marRight w:val="0"/>
                      <w:marTop w:val="0"/>
                      <w:marBottom w:val="0"/>
                      <w:divBdr>
                        <w:top w:val="none" w:sz="0" w:space="0" w:color="auto"/>
                        <w:left w:val="none" w:sz="0" w:space="0" w:color="auto"/>
                        <w:bottom w:val="none" w:sz="0" w:space="0" w:color="auto"/>
                        <w:right w:val="none" w:sz="0" w:space="0" w:color="auto"/>
                      </w:divBdr>
                    </w:div>
                    <w:div w:id="1201746223">
                      <w:marLeft w:val="0"/>
                      <w:marRight w:val="0"/>
                      <w:marTop w:val="0"/>
                      <w:marBottom w:val="0"/>
                      <w:divBdr>
                        <w:top w:val="none" w:sz="0" w:space="0" w:color="auto"/>
                        <w:left w:val="none" w:sz="0" w:space="0" w:color="auto"/>
                        <w:bottom w:val="none" w:sz="0" w:space="0" w:color="auto"/>
                        <w:right w:val="none" w:sz="0" w:space="0" w:color="auto"/>
                      </w:divBdr>
                      <w:divsChild>
                        <w:div w:id="477957824">
                          <w:marLeft w:val="0"/>
                          <w:marRight w:val="0"/>
                          <w:marTop w:val="0"/>
                          <w:marBottom w:val="450"/>
                          <w:divBdr>
                            <w:top w:val="none" w:sz="0" w:space="0" w:color="auto"/>
                            <w:left w:val="none" w:sz="0" w:space="0" w:color="auto"/>
                            <w:bottom w:val="none" w:sz="0" w:space="0" w:color="auto"/>
                            <w:right w:val="none" w:sz="0" w:space="0" w:color="auto"/>
                          </w:divBdr>
                          <w:divsChild>
                            <w:div w:id="1682774385">
                              <w:marLeft w:val="0"/>
                              <w:marRight w:val="0"/>
                              <w:marTop w:val="0"/>
                              <w:marBottom w:val="0"/>
                              <w:divBdr>
                                <w:top w:val="none" w:sz="0" w:space="0" w:color="auto"/>
                                <w:left w:val="none" w:sz="0" w:space="0" w:color="auto"/>
                                <w:bottom w:val="none" w:sz="0" w:space="0" w:color="auto"/>
                                <w:right w:val="none" w:sz="0" w:space="0" w:color="auto"/>
                              </w:divBdr>
                            </w:div>
                          </w:divsChild>
                        </w:div>
                        <w:div w:id="1671903748">
                          <w:blockQuote w:val="1"/>
                          <w:marLeft w:val="0"/>
                          <w:marRight w:val="0"/>
                          <w:marTop w:val="0"/>
                          <w:marBottom w:val="300"/>
                          <w:divBdr>
                            <w:top w:val="none" w:sz="0" w:space="0" w:color="auto"/>
                            <w:left w:val="none" w:sz="0" w:space="0" w:color="auto"/>
                            <w:bottom w:val="none" w:sz="0" w:space="0" w:color="auto"/>
                            <w:right w:val="none" w:sz="0" w:space="0" w:color="auto"/>
                          </w:divBdr>
                        </w:div>
                        <w:div w:id="1585145051">
                          <w:marLeft w:val="0"/>
                          <w:marRight w:val="0"/>
                          <w:marTop w:val="0"/>
                          <w:marBottom w:val="450"/>
                          <w:divBdr>
                            <w:top w:val="none" w:sz="0" w:space="0" w:color="auto"/>
                            <w:left w:val="none" w:sz="0" w:space="0" w:color="auto"/>
                            <w:bottom w:val="none" w:sz="0" w:space="0" w:color="auto"/>
                            <w:right w:val="none" w:sz="0" w:space="0" w:color="auto"/>
                          </w:divBdr>
                          <w:divsChild>
                            <w:div w:id="146840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boletin/"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pedro-trigo-gustavo-gutierrez-homenaje-memoriam_0_2719228056.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1141</Words>
  <Characters>6276</Characters>
  <Application>Microsoft Office Word</Application>
  <DocSecurity>0</DocSecurity>
  <Lines>52</Lines>
  <Paragraphs>14</Paragraphs>
  <ScaleCrop>false</ScaleCrop>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2024-10-26T13:19:00Z</dcterms:created>
  <dcterms:modified xsi:type="dcterms:W3CDTF">2024-10-26T13:20:00Z</dcterms:modified>
</cp:coreProperties>
</file>