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D30D52" w14:textId="77777777" w:rsidR="000D18A7" w:rsidRPr="000D18A7" w:rsidRDefault="000D18A7" w:rsidP="000D18A7">
      <w:pPr>
        <w:spacing w:after="0" w:line="240" w:lineRule="auto"/>
        <w:jc w:val="center"/>
        <w:outlineLvl w:val="0"/>
        <w:rPr>
          <w:rFonts w:ascii="Arial" w:eastAsia="Times New Roman" w:hAnsi="Arial" w:cs="Arial"/>
          <w:b/>
          <w:bCs/>
          <w:color w:val="BF4E14" w:themeColor="accent2" w:themeShade="BF"/>
          <w:kern w:val="36"/>
          <w:sz w:val="56"/>
          <w:szCs w:val="56"/>
          <w:lang w:val="pt-PT" w:eastAsia="es-UY"/>
          <w14:ligatures w14:val="none"/>
        </w:rPr>
      </w:pPr>
      <w:r w:rsidRPr="000D18A7">
        <w:rPr>
          <w:rFonts w:ascii="Arial" w:eastAsia="Times New Roman" w:hAnsi="Arial" w:cs="Arial"/>
          <w:b/>
          <w:bCs/>
          <w:color w:val="BF4E14" w:themeColor="accent2" w:themeShade="BF"/>
          <w:kern w:val="36"/>
          <w:sz w:val="56"/>
          <w:szCs w:val="56"/>
          <w:lang w:val="pt-PT" w:eastAsia="es-UY"/>
          <w14:ligatures w14:val="none"/>
        </w:rPr>
        <w:t xml:space="preserve">Massacre Guarani Kaiowá e o direito de (r)existir. Violência e omissão do Estado. </w:t>
      </w:r>
    </w:p>
    <w:p w14:paraId="0E2087C0" w14:textId="77EA412B" w:rsidR="000D18A7" w:rsidRPr="000D18A7" w:rsidRDefault="000D18A7" w:rsidP="000D18A7">
      <w:pPr>
        <w:spacing w:after="0" w:line="240" w:lineRule="auto"/>
        <w:jc w:val="center"/>
        <w:outlineLvl w:val="0"/>
        <w:rPr>
          <w:rFonts w:ascii="Arial" w:eastAsia="Times New Roman" w:hAnsi="Arial" w:cs="Arial"/>
          <w:b/>
          <w:bCs/>
          <w:color w:val="BF4E14" w:themeColor="accent2" w:themeShade="BF"/>
          <w:kern w:val="36"/>
          <w:sz w:val="40"/>
          <w:szCs w:val="40"/>
          <w:lang w:val="pt-PT" w:eastAsia="es-UY"/>
          <w14:ligatures w14:val="none"/>
        </w:rPr>
      </w:pPr>
      <w:r w:rsidRPr="000D18A7">
        <w:rPr>
          <w:rFonts w:ascii="Arial" w:eastAsia="Times New Roman" w:hAnsi="Arial" w:cs="Arial"/>
          <w:b/>
          <w:bCs/>
          <w:color w:val="BF4E14" w:themeColor="accent2" w:themeShade="BF"/>
          <w:kern w:val="36"/>
          <w:sz w:val="40"/>
          <w:szCs w:val="40"/>
          <w:lang w:val="pt-PT" w:eastAsia="es-UY"/>
          <w14:ligatures w14:val="none"/>
        </w:rPr>
        <w:t>Artigo de Gabriel Vilardi</w:t>
      </w:r>
    </w:p>
    <w:p w14:paraId="11049337" w14:textId="77777777" w:rsidR="000D18A7" w:rsidRPr="000D18A7" w:rsidRDefault="000D18A7" w:rsidP="000D18A7">
      <w:pPr>
        <w:spacing w:after="0" w:line="240" w:lineRule="auto"/>
        <w:jc w:val="center"/>
        <w:rPr>
          <w:rFonts w:ascii="Times New Roman" w:eastAsia="Times New Roman" w:hAnsi="Times New Roman" w:cs="Times New Roman"/>
          <w:color w:val="BF4E14" w:themeColor="accent2" w:themeShade="BF"/>
          <w:kern w:val="0"/>
          <w:sz w:val="24"/>
          <w:szCs w:val="24"/>
          <w:lang w:val="pt-PT" w:eastAsia="es-UY"/>
          <w14:ligatures w14:val="none"/>
        </w:rPr>
      </w:pPr>
      <w:r w:rsidRPr="000D18A7">
        <w:rPr>
          <w:rFonts w:ascii="Arial" w:eastAsia="Times New Roman" w:hAnsi="Arial" w:cs="Arial"/>
          <w:color w:val="BF4E14" w:themeColor="accent2" w:themeShade="BF"/>
          <w:kern w:val="0"/>
          <w:sz w:val="24"/>
          <w:szCs w:val="24"/>
          <w:lang w:val="pt-PT" w:eastAsia="es-UY"/>
          <w14:ligatures w14:val="none"/>
        </w:rPr>
        <w:t>Lideranças Guarani Kaiowá protestam em Brasília contra a demora na demarcação de suas terras | Foto: Fabio Rodrigues Pozzebom - Agência Brasil</w:t>
      </w:r>
    </w:p>
    <w:p w14:paraId="77905CE0" w14:textId="77777777" w:rsidR="000D18A7" w:rsidRPr="000D18A7" w:rsidRDefault="000D18A7" w:rsidP="000D18A7">
      <w:pPr>
        <w:spacing w:before="521" w:after="0" w:line="240" w:lineRule="auto"/>
        <w:rPr>
          <w:rFonts w:ascii="Arial" w:eastAsia="Times New Roman" w:hAnsi="Arial" w:cs="Arial"/>
          <w:color w:val="666666"/>
          <w:kern w:val="0"/>
          <w:sz w:val="21"/>
          <w:szCs w:val="21"/>
          <w:lang w:val="pt-PT" w:eastAsia="es-UY"/>
          <w14:ligatures w14:val="none"/>
        </w:rPr>
      </w:pPr>
      <w:r w:rsidRPr="000D18A7">
        <w:rPr>
          <w:rFonts w:ascii="Arial" w:eastAsia="Times New Roman" w:hAnsi="Arial" w:cs="Arial"/>
          <w:color w:val="666666"/>
          <w:kern w:val="0"/>
          <w:sz w:val="21"/>
          <w:szCs w:val="21"/>
          <w:lang w:val="pt-PT" w:eastAsia="es-UY"/>
          <w14:ligatures w14:val="none"/>
        </w:rPr>
        <w:t>07 Agosto 2024</w:t>
      </w:r>
    </w:p>
    <w:p w14:paraId="7847EA8B"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Por fim, não haverá qualquer possiblidade de pacificação social enquanto não houver a demarcação dos territórios dos</w:t>
      </w:r>
      <w:r w:rsidRPr="000D18A7">
        <w:rPr>
          <w:rFonts w:ascii="Arial" w:eastAsia="Times New Roman" w:hAnsi="Arial" w:cs="Arial"/>
          <w:b/>
          <w:bCs/>
          <w:color w:val="666666"/>
          <w:kern w:val="0"/>
          <w:sz w:val="27"/>
          <w:szCs w:val="27"/>
          <w:lang w:val="pt-PT" w:eastAsia="es-UY"/>
          <w14:ligatures w14:val="none"/>
        </w:rPr>
        <w:t> Guarani Kaiowá</w:t>
      </w:r>
      <w:r w:rsidRPr="000D18A7">
        <w:rPr>
          <w:rFonts w:ascii="Arial" w:eastAsia="Times New Roman" w:hAnsi="Arial" w:cs="Arial"/>
          <w:color w:val="666666"/>
          <w:kern w:val="0"/>
          <w:sz w:val="27"/>
          <w:szCs w:val="27"/>
          <w:lang w:val="pt-PT" w:eastAsia="es-UY"/>
          <w14:ligatures w14:val="none"/>
        </w:rPr>
        <w:t>. Trata-se de uma evidente questão de justiça! Adiar essa reparação histórica é prolongar o massacre. Usar de quaisquer subterfúgios para pressionar as comunidades indígenas a cederem seus direitos fundamentais, como parece desejar o ministro</w:t>
      </w:r>
      <w:r w:rsidRPr="000D18A7">
        <w:rPr>
          <w:rFonts w:ascii="Arial" w:eastAsia="Times New Roman" w:hAnsi="Arial" w:cs="Arial"/>
          <w:b/>
          <w:bCs/>
          <w:color w:val="666666"/>
          <w:kern w:val="0"/>
          <w:sz w:val="27"/>
          <w:szCs w:val="27"/>
          <w:lang w:val="pt-PT" w:eastAsia="es-UY"/>
          <w14:ligatures w14:val="none"/>
        </w:rPr>
        <w:t> Gilmar Mendes</w:t>
      </w:r>
      <w:r w:rsidRPr="000D18A7">
        <w:rPr>
          <w:rFonts w:ascii="Arial" w:eastAsia="Times New Roman" w:hAnsi="Arial" w:cs="Arial"/>
          <w:color w:val="666666"/>
          <w:kern w:val="0"/>
          <w:sz w:val="27"/>
          <w:szCs w:val="27"/>
          <w:lang w:val="pt-PT" w:eastAsia="es-UY"/>
          <w14:ligatures w14:val="none"/>
        </w:rPr>
        <w:t> com essa imoral mesa de negociação, implica em concordar com o extermínio dos povos originários. </w:t>
      </w:r>
    </w:p>
    <w:p w14:paraId="79FDC95C"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O artigo é de </w:t>
      </w:r>
      <w:hyperlink r:id="rId4" w:tgtFrame="_blank" w:history="1">
        <w:r w:rsidRPr="000D18A7">
          <w:rPr>
            <w:rFonts w:ascii="Arial" w:eastAsia="Times New Roman" w:hAnsi="Arial" w:cs="Arial"/>
            <w:color w:val="FC6B01"/>
            <w:kern w:val="0"/>
            <w:sz w:val="27"/>
            <w:szCs w:val="27"/>
            <w:u w:val="single"/>
            <w:lang w:val="pt-PT" w:eastAsia="es-UY"/>
            <w14:ligatures w14:val="none"/>
          </w:rPr>
          <w:t>Gabriel dos Anjos Vilardi</w:t>
        </w:r>
      </w:hyperlink>
      <w:r w:rsidRPr="000D18A7">
        <w:rPr>
          <w:rFonts w:ascii="Arial" w:eastAsia="Times New Roman" w:hAnsi="Arial" w:cs="Arial"/>
          <w:color w:val="666666"/>
          <w:kern w:val="0"/>
          <w:sz w:val="27"/>
          <w:szCs w:val="27"/>
          <w:lang w:val="pt-PT" w:eastAsia="es-UY"/>
          <w14:ligatures w14:val="none"/>
        </w:rPr>
        <w:t>, jesuíta, bacharel em Direito pela PUC-SP e bacharel em Filosofia pela FAJE. É mestrando no PPG em Direito da </w:t>
      </w:r>
      <w:r w:rsidRPr="000D18A7">
        <w:rPr>
          <w:rFonts w:ascii="Arial" w:eastAsia="Times New Roman" w:hAnsi="Arial" w:cs="Arial"/>
          <w:b/>
          <w:bCs/>
          <w:color w:val="666666"/>
          <w:kern w:val="0"/>
          <w:sz w:val="27"/>
          <w:szCs w:val="27"/>
          <w:lang w:val="pt-PT" w:eastAsia="es-UY"/>
          <w14:ligatures w14:val="none"/>
        </w:rPr>
        <w:t>Unisinos</w:t>
      </w:r>
      <w:r w:rsidRPr="000D18A7">
        <w:rPr>
          <w:rFonts w:ascii="Arial" w:eastAsia="Times New Roman" w:hAnsi="Arial" w:cs="Arial"/>
          <w:color w:val="666666"/>
          <w:kern w:val="0"/>
          <w:sz w:val="27"/>
          <w:szCs w:val="27"/>
          <w:lang w:val="pt-PT" w:eastAsia="es-UY"/>
          <w14:ligatures w14:val="none"/>
        </w:rPr>
        <w:t> e integra a equipe do</w:t>
      </w:r>
      <w:r w:rsidRPr="000D18A7">
        <w:rPr>
          <w:rFonts w:ascii="Arial" w:eastAsia="Times New Roman" w:hAnsi="Arial" w:cs="Arial"/>
          <w:b/>
          <w:bCs/>
          <w:color w:val="666666"/>
          <w:kern w:val="0"/>
          <w:sz w:val="27"/>
          <w:szCs w:val="27"/>
          <w:lang w:val="pt-PT" w:eastAsia="es-UY"/>
          <w14:ligatures w14:val="none"/>
        </w:rPr>
        <w:t> Instituto Humanitas Unisinos</w:t>
      </w:r>
      <w:r w:rsidRPr="000D18A7">
        <w:rPr>
          <w:rFonts w:ascii="Arial" w:eastAsia="Times New Roman" w:hAnsi="Arial" w:cs="Arial"/>
          <w:color w:val="666666"/>
          <w:kern w:val="0"/>
          <w:sz w:val="27"/>
          <w:szCs w:val="27"/>
          <w:lang w:val="pt-PT" w:eastAsia="es-UY"/>
          <w14:ligatures w14:val="none"/>
        </w:rPr>
        <w:t> – </w:t>
      </w:r>
      <w:r w:rsidRPr="000D18A7">
        <w:rPr>
          <w:rFonts w:ascii="Arial" w:eastAsia="Times New Roman" w:hAnsi="Arial" w:cs="Arial"/>
          <w:b/>
          <w:bCs/>
          <w:color w:val="666666"/>
          <w:kern w:val="0"/>
          <w:sz w:val="27"/>
          <w:szCs w:val="27"/>
          <w:lang w:val="pt-PT" w:eastAsia="es-UY"/>
          <w14:ligatures w14:val="none"/>
        </w:rPr>
        <w:t>IHU</w:t>
      </w:r>
      <w:r w:rsidRPr="000D18A7">
        <w:rPr>
          <w:rFonts w:ascii="Arial" w:eastAsia="Times New Roman" w:hAnsi="Arial" w:cs="Arial"/>
          <w:color w:val="666666"/>
          <w:kern w:val="0"/>
          <w:sz w:val="27"/>
          <w:szCs w:val="27"/>
          <w:lang w:val="pt-PT" w:eastAsia="es-UY"/>
          <w14:ligatures w14:val="none"/>
        </w:rPr>
        <w:t>.</w:t>
      </w:r>
    </w:p>
    <w:p w14:paraId="1822B9CC" w14:textId="77777777" w:rsidR="000D18A7" w:rsidRPr="000D18A7" w:rsidRDefault="000D18A7" w:rsidP="000D18A7">
      <w:pPr>
        <w:spacing w:after="0" w:line="240" w:lineRule="auto"/>
        <w:outlineLvl w:val="1"/>
        <w:rPr>
          <w:rFonts w:ascii="Arial" w:eastAsia="Times New Roman" w:hAnsi="Arial" w:cs="Arial"/>
          <w:b/>
          <w:bCs/>
          <w:color w:val="000000"/>
          <w:kern w:val="0"/>
          <w:sz w:val="36"/>
          <w:szCs w:val="36"/>
          <w:lang w:val="pt-PT" w:eastAsia="es-UY"/>
          <w14:ligatures w14:val="none"/>
        </w:rPr>
      </w:pPr>
      <w:r w:rsidRPr="000D18A7">
        <w:rPr>
          <w:rFonts w:ascii="Arial" w:eastAsia="Times New Roman" w:hAnsi="Arial" w:cs="Arial"/>
          <w:b/>
          <w:bCs/>
          <w:color w:val="000000"/>
          <w:kern w:val="0"/>
          <w:sz w:val="36"/>
          <w:szCs w:val="36"/>
          <w:lang w:val="pt-PT" w:eastAsia="es-UY"/>
          <w14:ligatures w14:val="none"/>
        </w:rPr>
        <w:t>Eis o artigo.</w:t>
      </w:r>
    </w:p>
    <w:p w14:paraId="073E85D4"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Nesta segunda-feira (5) foi aberta, no Supremo Tribunal Federal, pela determinação do</w:t>
      </w:r>
      <w:hyperlink r:id="rId5" w:tgtFrame="_blank" w:history="1">
        <w:r w:rsidRPr="000D18A7">
          <w:rPr>
            <w:rFonts w:ascii="Arial" w:eastAsia="Times New Roman" w:hAnsi="Arial" w:cs="Arial"/>
            <w:color w:val="FC6B01"/>
            <w:kern w:val="0"/>
            <w:sz w:val="27"/>
            <w:szCs w:val="27"/>
            <w:u w:val="single"/>
            <w:lang w:val="pt-PT" w:eastAsia="es-UY"/>
            <w14:ligatures w14:val="none"/>
          </w:rPr>
          <w:t> ministro Gilmar Mendes</w:t>
        </w:r>
      </w:hyperlink>
      <w:r w:rsidRPr="000D18A7">
        <w:rPr>
          <w:rFonts w:ascii="Arial" w:eastAsia="Times New Roman" w:hAnsi="Arial" w:cs="Arial"/>
          <w:color w:val="666666"/>
          <w:kern w:val="0"/>
          <w:sz w:val="27"/>
          <w:szCs w:val="27"/>
          <w:lang w:val="pt-PT" w:eastAsia="es-UY"/>
          <w14:ligatures w14:val="none"/>
        </w:rPr>
        <w:t>, uma surpreendente </w:t>
      </w:r>
      <w:hyperlink r:id="rId6" w:tgtFrame="_blank" w:history="1">
        <w:r w:rsidRPr="000D18A7">
          <w:rPr>
            <w:rFonts w:ascii="Arial" w:eastAsia="Times New Roman" w:hAnsi="Arial" w:cs="Arial"/>
            <w:color w:val="FC6B01"/>
            <w:kern w:val="0"/>
            <w:sz w:val="27"/>
            <w:szCs w:val="27"/>
            <w:u w:val="single"/>
            <w:lang w:val="pt-PT" w:eastAsia="es-UY"/>
            <w14:ligatures w14:val="none"/>
          </w:rPr>
          <w:t>mesa de conciliação entre os Povos Indígenas e seus oponentes históricos</w:t>
        </w:r>
      </w:hyperlink>
      <w:r w:rsidRPr="000D18A7">
        <w:rPr>
          <w:rFonts w:ascii="Arial" w:eastAsia="Times New Roman" w:hAnsi="Arial" w:cs="Arial"/>
          <w:color w:val="666666"/>
          <w:kern w:val="0"/>
          <w:sz w:val="27"/>
          <w:szCs w:val="27"/>
          <w:lang w:val="pt-PT" w:eastAsia="es-UY"/>
          <w14:ligatures w14:val="none"/>
        </w:rPr>
        <w:t>, as autoritárias agrofamílias latifundiárias, que há séculos perseguem os habitantes originários do Brasil. A inédita e duvidosa iniciativa do relator das ações diretas de inconstitucionalidade (</w:t>
      </w:r>
      <w:r w:rsidRPr="000D18A7">
        <w:rPr>
          <w:rFonts w:ascii="Arial" w:eastAsia="Times New Roman" w:hAnsi="Arial" w:cs="Arial"/>
          <w:b/>
          <w:bCs/>
          <w:color w:val="666666"/>
          <w:kern w:val="0"/>
          <w:sz w:val="27"/>
          <w:szCs w:val="27"/>
          <w:lang w:val="pt-PT" w:eastAsia="es-UY"/>
          <w14:ligatures w14:val="none"/>
        </w:rPr>
        <w:t>ADINs</w:t>
      </w:r>
      <w:r w:rsidRPr="000D18A7">
        <w:rPr>
          <w:rFonts w:ascii="Arial" w:eastAsia="Times New Roman" w:hAnsi="Arial" w:cs="Arial"/>
          <w:color w:val="666666"/>
          <w:kern w:val="0"/>
          <w:sz w:val="27"/>
          <w:szCs w:val="27"/>
          <w:lang w:val="pt-PT" w:eastAsia="es-UY"/>
          <w14:ligatures w14:val="none"/>
        </w:rPr>
        <w:t>) que questionam o marco temporal, reestabelecido pela </w:t>
      </w:r>
      <w:hyperlink r:id="rId7" w:tgtFrame="_blank" w:history="1">
        <w:r w:rsidRPr="000D18A7">
          <w:rPr>
            <w:rFonts w:ascii="Arial" w:eastAsia="Times New Roman" w:hAnsi="Arial" w:cs="Arial"/>
            <w:color w:val="FC6B01"/>
            <w:kern w:val="0"/>
            <w:sz w:val="27"/>
            <w:szCs w:val="27"/>
            <w:u w:val="single"/>
            <w:lang w:val="pt-PT" w:eastAsia="es-UY"/>
            <w14:ligatures w14:val="none"/>
          </w:rPr>
          <w:t>Lei 14.701/23</w:t>
        </w:r>
      </w:hyperlink>
      <w:r w:rsidRPr="000D18A7">
        <w:rPr>
          <w:rFonts w:ascii="Arial" w:eastAsia="Times New Roman" w:hAnsi="Arial" w:cs="Arial"/>
          <w:color w:val="666666"/>
          <w:kern w:val="0"/>
          <w:sz w:val="27"/>
          <w:szCs w:val="27"/>
          <w:lang w:val="pt-PT" w:eastAsia="es-UY"/>
          <w14:ligatures w14:val="none"/>
        </w:rPr>
        <w:t>, tem contribuído para a escalada dos ataques aos povos originários. Enquanto força uma discutível transação sobre os direitos fundamentais dos indígenas, a Suprema Corte mantém tais comunidades sob a implacável mira de seus algozes.</w:t>
      </w:r>
    </w:p>
    <w:p w14:paraId="04A0CAC5"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Entre as </w:t>
      </w:r>
      <w:hyperlink r:id="rId8" w:tgtFrame="_blank" w:history="1">
        <w:r w:rsidRPr="000D18A7">
          <w:rPr>
            <w:rFonts w:ascii="Arial" w:eastAsia="Times New Roman" w:hAnsi="Arial" w:cs="Arial"/>
            <w:color w:val="FC6B01"/>
            <w:kern w:val="0"/>
            <w:sz w:val="27"/>
            <w:szCs w:val="27"/>
            <w:u w:val="single"/>
            <w:lang w:val="pt-PT" w:eastAsia="es-UY"/>
            <w14:ligatures w14:val="none"/>
          </w:rPr>
          <w:t>principais e mais recentes vítimas</w:t>
        </w:r>
      </w:hyperlink>
      <w:r w:rsidRPr="000D18A7">
        <w:rPr>
          <w:rFonts w:ascii="Arial" w:eastAsia="Times New Roman" w:hAnsi="Arial" w:cs="Arial"/>
          <w:color w:val="666666"/>
          <w:kern w:val="0"/>
          <w:sz w:val="27"/>
          <w:szCs w:val="27"/>
          <w:lang w:val="pt-PT" w:eastAsia="es-UY"/>
          <w14:ligatures w14:val="none"/>
        </w:rPr>
        <w:t> estão os Kaingang de </w:t>
      </w:r>
      <w:r w:rsidRPr="000D18A7">
        <w:rPr>
          <w:rFonts w:ascii="Arial" w:eastAsia="Times New Roman" w:hAnsi="Arial" w:cs="Arial"/>
          <w:b/>
          <w:bCs/>
          <w:color w:val="666666"/>
          <w:kern w:val="0"/>
          <w:sz w:val="27"/>
          <w:szCs w:val="27"/>
          <w:lang w:val="pt-PT" w:eastAsia="es-UY"/>
          <w14:ligatures w14:val="none"/>
        </w:rPr>
        <w:t>Santa Catarina</w:t>
      </w:r>
      <w:r w:rsidRPr="000D18A7">
        <w:rPr>
          <w:rFonts w:ascii="Arial" w:eastAsia="Times New Roman" w:hAnsi="Arial" w:cs="Arial"/>
          <w:color w:val="666666"/>
          <w:kern w:val="0"/>
          <w:sz w:val="27"/>
          <w:szCs w:val="27"/>
          <w:lang w:val="pt-PT" w:eastAsia="es-UY"/>
          <w14:ligatures w14:val="none"/>
        </w:rPr>
        <w:t>, os Avá-Guarani do </w:t>
      </w:r>
      <w:r w:rsidRPr="000D18A7">
        <w:rPr>
          <w:rFonts w:ascii="Arial" w:eastAsia="Times New Roman" w:hAnsi="Arial" w:cs="Arial"/>
          <w:b/>
          <w:bCs/>
          <w:color w:val="666666"/>
          <w:kern w:val="0"/>
          <w:sz w:val="27"/>
          <w:szCs w:val="27"/>
          <w:lang w:val="pt-PT" w:eastAsia="es-UY"/>
          <w14:ligatures w14:val="none"/>
        </w:rPr>
        <w:t>Paraná</w:t>
      </w:r>
      <w:r w:rsidRPr="000D18A7">
        <w:rPr>
          <w:rFonts w:ascii="Arial" w:eastAsia="Times New Roman" w:hAnsi="Arial" w:cs="Arial"/>
          <w:color w:val="666666"/>
          <w:kern w:val="0"/>
          <w:sz w:val="27"/>
          <w:szCs w:val="27"/>
          <w:lang w:val="pt-PT" w:eastAsia="es-UY"/>
          <w14:ligatures w14:val="none"/>
        </w:rPr>
        <w:t> e, especialmente, os Guarani Kaiowá de </w:t>
      </w:r>
      <w:r w:rsidRPr="000D18A7">
        <w:rPr>
          <w:rFonts w:ascii="Arial" w:eastAsia="Times New Roman" w:hAnsi="Arial" w:cs="Arial"/>
          <w:b/>
          <w:bCs/>
          <w:color w:val="666666"/>
          <w:kern w:val="0"/>
          <w:sz w:val="27"/>
          <w:szCs w:val="27"/>
          <w:lang w:val="pt-PT" w:eastAsia="es-UY"/>
          <w14:ligatures w14:val="none"/>
        </w:rPr>
        <w:t>Mato Grosso do Sul</w:t>
      </w:r>
      <w:r w:rsidRPr="000D18A7">
        <w:rPr>
          <w:rFonts w:ascii="Arial" w:eastAsia="Times New Roman" w:hAnsi="Arial" w:cs="Arial"/>
          <w:color w:val="666666"/>
          <w:kern w:val="0"/>
          <w:sz w:val="27"/>
          <w:szCs w:val="27"/>
          <w:lang w:val="pt-PT" w:eastAsia="es-UY"/>
          <w14:ligatures w14:val="none"/>
        </w:rPr>
        <w:t>. Pertencentes ao tronco </w:t>
      </w:r>
      <w:r w:rsidRPr="000D18A7">
        <w:rPr>
          <w:rFonts w:ascii="Arial" w:eastAsia="Times New Roman" w:hAnsi="Arial" w:cs="Arial"/>
          <w:b/>
          <w:bCs/>
          <w:color w:val="666666"/>
          <w:kern w:val="0"/>
          <w:sz w:val="27"/>
          <w:szCs w:val="27"/>
          <w:lang w:val="pt-PT" w:eastAsia="es-UY"/>
          <w14:ligatures w14:val="none"/>
        </w:rPr>
        <w:t>Tupi</w:t>
      </w:r>
      <w:r w:rsidRPr="000D18A7">
        <w:rPr>
          <w:rFonts w:ascii="Arial" w:eastAsia="Times New Roman" w:hAnsi="Arial" w:cs="Arial"/>
          <w:color w:val="666666"/>
          <w:kern w:val="0"/>
          <w:sz w:val="27"/>
          <w:szCs w:val="27"/>
          <w:lang w:val="pt-PT" w:eastAsia="es-UY"/>
          <w14:ligatures w14:val="none"/>
        </w:rPr>
        <w:t> e à família linguística tupi-guarani, os Guarani estão divididos entre os subgrupos </w:t>
      </w:r>
      <w:r w:rsidRPr="000D18A7">
        <w:rPr>
          <w:rFonts w:ascii="Arial" w:eastAsia="Times New Roman" w:hAnsi="Arial" w:cs="Arial"/>
          <w:b/>
          <w:bCs/>
          <w:color w:val="666666"/>
          <w:kern w:val="0"/>
          <w:sz w:val="27"/>
          <w:szCs w:val="27"/>
          <w:lang w:val="pt-PT" w:eastAsia="es-UY"/>
          <w14:ligatures w14:val="none"/>
        </w:rPr>
        <w:t>Mby’a</w:t>
      </w:r>
      <w:r w:rsidRPr="000D18A7">
        <w:rPr>
          <w:rFonts w:ascii="Arial" w:eastAsia="Times New Roman" w:hAnsi="Arial" w:cs="Arial"/>
          <w:color w:val="666666"/>
          <w:kern w:val="0"/>
          <w:sz w:val="27"/>
          <w:szCs w:val="27"/>
          <w:lang w:val="pt-PT" w:eastAsia="es-UY"/>
          <w14:ligatures w14:val="none"/>
        </w:rPr>
        <w:t>, </w:t>
      </w:r>
      <w:r w:rsidRPr="000D18A7">
        <w:rPr>
          <w:rFonts w:ascii="Arial" w:eastAsia="Times New Roman" w:hAnsi="Arial" w:cs="Arial"/>
          <w:b/>
          <w:bCs/>
          <w:color w:val="666666"/>
          <w:kern w:val="0"/>
          <w:sz w:val="27"/>
          <w:szCs w:val="27"/>
          <w:lang w:val="pt-PT" w:eastAsia="es-UY"/>
          <w14:ligatures w14:val="none"/>
        </w:rPr>
        <w:t>Nhandeva</w:t>
      </w:r>
      <w:r w:rsidRPr="000D18A7">
        <w:rPr>
          <w:rFonts w:ascii="Arial" w:eastAsia="Times New Roman" w:hAnsi="Arial" w:cs="Arial"/>
          <w:color w:val="666666"/>
          <w:kern w:val="0"/>
          <w:sz w:val="27"/>
          <w:szCs w:val="27"/>
          <w:lang w:val="pt-PT" w:eastAsia="es-UY"/>
          <w14:ligatures w14:val="none"/>
        </w:rPr>
        <w:t> ou </w:t>
      </w:r>
      <w:r w:rsidRPr="000D18A7">
        <w:rPr>
          <w:rFonts w:ascii="Arial" w:eastAsia="Times New Roman" w:hAnsi="Arial" w:cs="Arial"/>
          <w:b/>
          <w:bCs/>
          <w:color w:val="666666"/>
          <w:kern w:val="0"/>
          <w:sz w:val="27"/>
          <w:szCs w:val="27"/>
          <w:lang w:val="pt-PT" w:eastAsia="es-UY"/>
          <w14:ligatures w14:val="none"/>
        </w:rPr>
        <w:t>Avá</w:t>
      </w:r>
      <w:r w:rsidRPr="000D18A7">
        <w:rPr>
          <w:rFonts w:ascii="Arial" w:eastAsia="Times New Roman" w:hAnsi="Arial" w:cs="Arial"/>
          <w:color w:val="666666"/>
          <w:kern w:val="0"/>
          <w:sz w:val="27"/>
          <w:szCs w:val="27"/>
          <w:lang w:val="pt-PT" w:eastAsia="es-UY"/>
          <w14:ligatures w14:val="none"/>
        </w:rPr>
        <w:t> e </w:t>
      </w:r>
      <w:r w:rsidRPr="000D18A7">
        <w:rPr>
          <w:rFonts w:ascii="Arial" w:eastAsia="Times New Roman" w:hAnsi="Arial" w:cs="Arial"/>
          <w:b/>
          <w:bCs/>
          <w:color w:val="666666"/>
          <w:kern w:val="0"/>
          <w:sz w:val="27"/>
          <w:szCs w:val="27"/>
          <w:lang w:val="pt-PT" w:eastAsia="es-UY"/>
          <w14:ligatures w14:val="none"/>
        </w:rPr>
        <w:t>Kaiowá</w:t>
      </w:r>
      <w:r w:rsidRPr="000D18A7">
        <w:rPr>
          <w:rFonts w:ascii="Arial" w:eastAsia="Times New Roman" w:hAnsi="Arial" w:cs="Arial"/>
          <w:color w:val="666666"/>
          <w:kern w:val="0"/>
          <w:sz w:val="27"/>
          <w:szCs w:val="27"/>
          <w:lang w:val="pt-PT" w:eastAsia="es-UY"/>
          <w14:ligatures w14:val="none"/>
        </w:rPr>
        <w:t>. Vivem desde tempos imemoriais entre o </w:t>
      </w:r>
      <w:r w:rsidRPr="000D18A7">
        <w:rPr>
          <w:rFonts w:ascii="Arial" w:eastAsia="Times New Roman" w:hAnsi="Arial" w:cs="Arial"/>
          <w:b/>
          <w:bCs/>
          <w:color w:val="666666"/>
          <w:kern w:val="0"/>
          <w:sz w:val="27"/>
          <w:szCs w:val="27"/>
          <w:lang w:val="pt-PT" w:eastAsia="es-UY"/>
          <w14:ligatures w14:val="none"/>
        </w:rPr>
        <w:t>Paraguai</w:t>
      </w:r>
      <w:r w:rsidRPr="000D18A7">
        <w:rPr>
          <w:rFonts w:ascii="Arial" w:eastAsia="Times New Roman" w:hAnsi="Arial" w:cs="Arial"/>
          <w:color w:val="666666"/>
          <w:kern w:val="0"/>
          <w:sz w:val="27"/>
          <w:szCs w:val="27"/>
          <w:lang w:val="pt-PT" w:eastAsia="es-UY"/>
          <w14:ligatures w14:val="none"/>
        </w:rPr>
        <w:t> e </w:t>
      </w:r>
      <w:r w:rsidRPr="000D18A7">
        <w:rPr>
          <w:rFonts w:ascii="Arial" w:eastAsia="Times New Roman" w:hAnsi="Arial" w:cs="Arial"/>
          <w:b/>
          <w:bCs/>
          <w:color w:val="666666"/>
          <w:kern w:val="0"/>
          <w:sz w:val="27"/>
          <w:szCs w:val="27"/>
          <w:lang w:val="pt-PT" w:eastAsia="es-UY"/>
          <w14:ligatures w14:val="none"/>
        </w:rPr>
        <w:t>Mato Grosso do Sul</w:t>
      </w:r>
      <w:r w:rsidRPr="000D18A7">
        <w:rPr>
          <w:rFonts w:ascii="Arial" w:eastAsia="Times New Roman" w:hAnsi="Arial" w:cs="Arial"/>
          <w:color w:val="666666"/>
          <w:kern w:val="0"/>
          <w:sz w:val="27"/>
          <w:szCs w:val="27"/>
          <w:lang w:val="pt-PT" w:eastAsia="es-UY"/>
          <w14:ligatures w14:val="none"/>
        </w:rPr>
        <w:t xml:space="preserve">. Com o desembarque dos europeus, passaram a ser perseguidos e </w:t>
      </w:r>
      <w:r w:rsidRPr="000D18A7">
        <w:rPr>
          <w:rFonts w:ascii="Arial" w:eastAsia="Times New Roman" w:hAnsi="Arial" w:cs="Arial"/>
          <w:color w:val="666666"/>
          <w:kern w:val="0"/>
          <w:sz w:val="27"/>
          <w:szCs w:val="27"/>
          <w:lang w:val="pt-PT" w:eastAsia="es-UY"/>
          <w14:ligatures w14:val="none"/>
        </w:rPr>
        <w:lastRenderedPageBreak/>
        <w:t>escravizados pelos </w:t>
      </w:r>
      <w:r w:rsidRPr="000D18A7">
        <w:rPr>
          <w:rFonts w:ascii="Arial" w:eastAsia="Times New Roman" w:hAnsi="Arial" w:cs="Arial"/>
          <w:i/>
          <w:iCs/>
          <w:color w:val="666666"/>
          <w:kern w:val="0"/>
          <w:sz w:val="27"/>
          <w:szCs w:val="27"/>
          <w:lang w:val="pt-PT" w:eastAsia="es-UY"/>
          <w14:ligatures w14:val="none"/>
        </w:rPr>
        <w:t>encomenderos</w:t>
      </w:r>
      <w:r w:rsidRPr="000D18A7">
        <w:rPr>
          <w:rFonts w:ascii="Arial" w:eastAsia="Times New Roman" w:hAnsi="Arial" w:cs="Arial"/>
          <w:color w:val="666666"/>
          <w:kern w:val="0"/>
          <w:sz w:val="27"/>
          <w:szCs w:val="27"/>
          <w:lang w:val="pt-PT" w:eastAsia="es-UY"/>
          <w14:ligatures w14:val="none"/>
        </w:rPr>
        <w:t> espanhóis e pelos bandeirantes portugueses.</w:t>
      </w:r>
    </w:p>
    <w:p w14:paraId="278F9640" w14:textId="77777777" w:rsidR="000D18A7" w:rsidRPr="000D18A7" w:rsidRDefault="000D18A7" w:rsidP="000D18A7">
      <w:pPr>
        <w:spacing w:before="521" w:after="0" w:line="240" w:lineRule="auto"/>
        <w:jc w:val="center"/>
        <w:rPr>
          <w:rFonts w:ascii="Arial" w:eastAsia="Times New Roman" w:hAnsi="Arial" w:cs="Arial"/>
          <w:b/>
          <w:bCs/>
          <w:i/>
          <w:iCs/>
          <w:color w:val="BF4E14" w:themeColor="accent2" w:themeShade="BF"/>
          <w:kern w:val="0"/>
          <w:sz w:val="27"/>
          <w:szCs w:val="27"/>
          <w:lang w:val="pt-PT" w:eastAsia="es-UY"/>
          <w14:ligatures w14:val="none"/>
        </w:rPr>
      </w:pPr>
      <w:r w:rsidRPr="000D18A7">
        <w:rPr>
          <w:rFonts w:ascii="Arial" w:eastAsia="Times New Roman" w:hAnsi="Arial" w:cs="Arial"/>
          <w:b/>
          <w:bCs/>
          <w:i/>
          <w:iCs/>
          <w:color w:val="BF4E14" w:themeColor="accent2" w:themeShade="BF"/>
          <w:kern w:val="0"/>
          <w:sz w:val="27"/>
          <w:szCs w:val="27"/>
          <w:lang w:val="pt-PT" w:eastAsia="es-UY"/>
          <w14:ligatures w14:val="none"/>
        </w:rPr>
        <w:t>Enquanto força uma discutível transação sobre os direitos fundamentais dos indígenas, a Suprema Corte mantém tais comunidades sob a implacável mira de seus algozes – Gabriel Vilardi</w:t>
      </w:r>
    </w:p>
    <w:p w14:paraId="4A83CEF2" w14:textId="63A03312" w:rsidR="000D18A7" w:rsidRPr="000D18A7" w:rsidRDefault="000D18A7" w:rsidP="000D18A7">
      <w:pPr>
        <w:spacing w:line="240" w:lineRule="auto"/>
        <w:jc w:val="center"/>
        <w:rPr>
          <w:rFonts w:ascii="Times New Roman" w:eastAsia="Times New Roman" w:hAnsi="Times New Roman" w:cs="Times New Roman"/>
          <w:b/>
          <w:bCs/>
          <w:i/>
          <w:iCs/>
          <w:color w:val="FC6B01"/>
          <w:kern w:val="0"/>
          <w:sz w:val="27"/>
          <w:szCs w:val="27"/>
          <w:lang w:val="pt-PT" w:eastAsia="es-UY"/>
          <w14:ligatures w14:val="none"/>
        </w:rPr>
      </w:pPr>
    </w:p>
    <w:p w14:paraId="3DA6EE82"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Expulsos de seus territórios e sujeitos a toda espécie de violações de sua dignidade humana, lutam pela garantia de parte dessas </w:t>
      </w:r>
      <w:r w:rsidRPr="000D18A7">
        <w:rPr>
          <w:rFonts w:ascii="Arial" w:eastAsia="Times New Roman" w:hAnsi="Arial" w:cs="Arial"/>
          <w:b/>
          <w:bCs/>
          <w:color w:val="666666"/>
          <w:kern w:val="0"/>
          <w:sz w:val="27"/>
          <w:szCs w:val="27"/>
          <w:lang w:val="pt-PT" w:eastAsia="es-UY"/>
          <w14:ligatures w14:val="none"/>
        </w:rPr>
        <w:t>terras ancestrais</w:t>
      </w:r>
      <w:r w:rsidRPr="000D18A7">
        <w:rPr>
          <w:rFonts w:ascii="Arial" w:eastAsia="Times New Roman" w:hAnsi="Arial" w:cs="Arial"/>
          <w:color w:val="666666"/>
          <w:kern w:val="0"/>
          <w:sz w:val="27"/>
          <w:szCs w:val="27"/>
          <w:lang w:val="pt-PT" w:eastAsia="es-UY"/>
          <w14:ligatures w14:val="none"/>
        </w:rPr>
        <w:t>. Mas não só. Por mais absurdo que possa parecer, lutam também pelo direito à memória, porque os atuais colonizadores alegam que essas comunidades não viviam ali e não tem direito a terra. Em nome da sagrada </w:t>
      </w:r>
      <w:r w:rsidRPr="000D18A7">
        <w:rPr>
          <w:rFonts w:ascii="Arial" w:eastAsia="Times New Roman" w:hAnsi="Arial" w:cs="Arial"/>
          <w:b/>
          <w:bCs/>
          <w:color w:val="666666"/>
          <w:kern w:val="0"/>
          <w:sz w:val="27"/>
          <w:szCs w:val="27"/>
          <w:lang w:val="pt-PT" w:eastAsia="es-UY"/>
          <w14:ligatures w14:val="none"/>
        </w:rPr>
        <w:t>propriedade privada</w:t>
      </w:r>
      <w:r w:rsidRPr="000D18A7">
        <w:rPr>
          <w:rFonts w:ascii="Arial" w:eastAsia="Times New Roman" w:hAnsi="Arial" w:cs="Arial"/>
          <w:color w:val="666666"/>
          <w:kern w:val="0"/>
          <w:sz w:val="27"/>
          <w:szCs w:val="27"/>
          <w:lang w:val="pt-PT" w:eastAsia="es-UY"/>
          <w14:ligatures w14:val="none"/>
        </w:rPr>
        <w:t> e da idolátrica </w:t>
      </w:r>
      <w:r w:rsidRPr="000D18A7">
        <w:rPr>
          <w:rFonts w:ascii="Arial" w:eastAsia="Times New Roman" w:hAnsi="Arial" w:cs="Arial"/>
          <w:b/>
          <w:bCs/>
          <w:color w:val="666666"/>
          <w:kern w:val="0"/>
          <w:sz w:val="27"/>
          <w:szCs w:val="27"/>
          <w:lang w:val="pt-PT" w:eastAsia="es-UY"/>
          <w14:ligatures w14:val="none"/>
        </w:rPr>
        <w:t>segurança jurídica</w:t>
      </w:r>
      <w:r w:rsidRPr="000D18A7">
        <w:rPr>
          <w:rFonts w:ascii="Arial" w:eastAsia="Times New Roman" w:hAnsi="Arial" w:cs="Arial"/>
          <w:color w:val="666666"/>
          <w:kern w:val="0"/>
          <w:sz w:val="27"/>
          <w:szCs w:val="27"/>
          <w:lang w:val="pt-PT" w:eastAsia="es-UY"/>
          <w14:ligatures w14:val="none"/>
        </w:rPr>
        <w:t>, os </w:t>
      </w:r>
      <w:r w:rsidRPr="000D18A7">
        <w:rPr>
          <w:rFonts w:ascii="Arial" w:eastAsia="Times New Roman" w:hAnsi="Arial" w:cs="Arial"/>
          <w:b/>
          <w:bCs/>
          <w:color w:val="666666"/>
          <w:kern w:val="0"/>
          <w:sz w:val="27"/>
          <w:szCs w:val="27"/>
          <w:lang w:val="pt-PT" w:eastAsia="es-UY"/>
          <w14:ligatures w14:val="none"/>
        </w:rPr>
        <w:t>inimigos dos Povos Indígenas</w:t>
      </w:r>
      <w:r w:rsidRPr="000D18A7">
        <w:rPr>
          <w:rFonts w:ascii="Arial" w:eastAsia="Times New Roman" w:hAnsi="Arial" w:cs="Arial"/>
          <w:color w:val="666666"/>
          <w:kern w:val="0"/>
          <w:sz w:val="27"/>
          <w:szCs w:val="27"/>
          <w:lang w:val="pt-PT" w:eastAsia="es-UY"/>
          <w14:ligatures w14:val="none"/>
        </w:rPr>
        <w:t> cometem um avassalador </w:t>
      </w:r>
      <w:r w:rsidRPr="000D18A7">
        <w:rPr>
          <w:rFonts w:ascii="Arial" w:eastAsia="Times New Roman" w:hAnsi="Arial" w:cs="Arial"/>
          <w:b/>
          <w:bCs/>
          <w:color w:val="666666"/>
          <w:kern w:val="0"/>
          <w:sz w:val="27"/>
          <w:szCs w:val="27"/>
          <w:lang w:val="pt-PT" w:eastAsia="es-UY"/>
          <w14:ligatures w14:val="none"/>
        </w:rPr>
        <w:t>genocídio cultural</w:t>
      </w:r>
      <w:r w:rsidRPr="000D18A7">
        <w:rPr>
          <w:rFonts w:ascii="Arial" w:eastAsia="Times New Roman" w:hAnsi="Arial" w:cs="Arial"/>
          <w:color w:val="666666"/>
          <w:kern w:val="0"/>
          <w:sz w:val="27"/>
          <w:szCs w:val="27"/>
          <w:lang w:val="pt-PT" w:eastAsia="es-UY"/>
          <w14:ligatures w14:val="none"/>
        </w:rPr>
        <w:t>. Um apagamento que se perpetua há séculos, como observa </w:t>
      </w:r>
      <w:hyperlink r:id="rId9" w:tgtFrame="_blank" w:history="1">
        <w:r w:rsidRPr="000D18A7">
          <w:rPr>
            <w:rFonts w:ascii="Arial" w:eastAsia="Times New Roman" w:hAnsi="Arial" w:cs="Arial"/>
            <w:color w:val="FC6B01"/>
            <w:kern w:val="0"/>
            <w:sz w:val="27"/>
            <w:szCs w:val="27"/>
            <w:u w:val="single"/>
            <w:lang w:val="pt-PT" w:eastAsia="es-UY"/>
            <w14:ligatures w14:val="none"/>
          </w:rPr>
          <w:t>Paulo Suess</w:t>
        </w:r>
      </w:hyperlink>
      <w:r w:rsidRPr="000D18A7">
        <w:rPr>
          <w:rFonts w:ascii="Arial" w:eastAsia="Times New Roman" w:hAnsi="Arial" w:cs="Arial"/>
          <w:color w:val="666666"/>
          <w:kern w:val="0"/>
          <w:sz w:val="27"/>
          <w:szCs w:val="27"/>
          <w:lang w:val="pt-PT" w:eastAsia="es-UY"/>
          <w14:ligatures w14:val="none"/>
        </w:rPr>
        <w:t>:</w:t>
      </w:r>
    </w:p>
    <w:p w14:paraId="4818CDD6"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i/>
          <w:iCs/>
          <w:color w:val="666666"/>
          <w:kern w:val="0"/>
          <w:sz w:val="27"/>
          <w:szCs w:val="27"/>
          <w:lang w:val="pt-PT" w:eastAsia="es-UY"/>
          <w14:ligatures w14:val="none"/>
        </w:rPr>
        <w:t>“Os vestígios dos oprimidos, às vezes, perdem-se na poeira dos séculos, como a sepultura dos profetas. Os conquistadores não se apropriam somente das riquezas materiais e espirituais dos conquistados. Sempre são também os destruidores de sua memória e profanadores dos sepulcros de seus sábios. Enquanto Francisco Pizarro ganhou uma sepultura bem cuidada na catedral de Lima, os restos mortais de um Bartolomeu de Las Casas simplesmente se perderam. Perderam-se?”</w:t>
      </w:r>
      <w:hyperlink r:id="rId10" w:anchor="_ftn1" w:history="1">
        <w:r w:rsidRPr="000D18A7">
          <w:rPr>
            <w:rFonts w:ascii="Arial" w:eastAsia="Times New Roman" w:hAnsi="Arial" w:cs="Arial"/>
            <w:b/>
            <w:bCs/>
            <w:i/>
            <w:iCs/>
            <w:color w:val="FC6B01"/>
            <w:kern w:val="0"/>
            <w:sz w:val="27"/>
            <w:szCs w:val="27"/>
            <w:u w:val="single"/>
            <w:lang w:val="pt-PT" w:eastAsia="es-UY"/>
            <w14:ligatures w14:val="none"/>
          </w:rPr>
          <w:t>[1]</w:t>
        </w:r>
      </w:hyperlink>
    </w:p>
    <w:p w14:paraId="7A9D780F"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Apartados violentamente de seus </w:t>
      </w:r>
      <w:r w:rsidRPr="000D18A7">
        <w:rPr>
          <w:rFonts w:ascii="Arial" w:eastAsia="Times New Roman" w:hAnsi="Arial" w:cs="Arial"/>
          <w:b/>
          <w:bCs/>
          <w:color w:val="666666"/>
          <w:kern w:val="0"/>
          <w:sz w:val="27"/>
          <w:szCs w:val="27"/>
          <w:lang w:val="pt-PT" w:eastAsia="es-UY"/>
          <w14:ligatures w14:val="none"/>
        </w:rPr>
        <w:t>territórios originários</w:t>
      </w:r>
      <w:r w:rsidRPr="000D18A7">
        <w:rPr>
          <w:rFonts w:ascii="Arial" w:eastAsia="Times New Roman" w:hAnsi="Arial" w:cs="Arial"/>
          <w:color w:val="666666"/>
          <w:kern w:val="0"/>
          <w:sz w:val="27"/>
          <w:szCs w:val="27"/>
          <w:lang w:val="pt-PT" w:eastAsia="es-UY"/>
          <w14:ligatures w14:val="none"/>
        </w:rPr>
        <w:t>, os </w:t>
      </w:r>
      <w:r w:rsidRPr="000D18A7">
        <w:rPr>
          <w:rFonts w:ascii="Arial" w:eastAsia="Times New Roman" w:hAnsi="Arial" w:cs="Arial"/>
          <w:i/>
          <w:iCs/>
          <w:color w:val="666666"/>
          <w:kern w:val="0"/>
          <w:sz w:val="27"/>
          <w:szCs w:val="27"/>
          <w:lang w:val="pt-PT" w:eastAsia="es-UY"/>
          <w14:ligatures w14:val="none"/>
        </w:rPr>
        <w:t>tekohas</w:t>
      </w:r>
      <w:r w:rsidRPr="000D18A7">
        <w:rPr>
          <w:rFonts w:ascii="Arial" w:eastAsia="Times New Roman" w:hAnsi="Arial" w:cs="Arial"/>
          <w:color w:val="666666"/>
          <w:kern w:val="0"/>
          <w:sz w:val="27"/>
          <w:szCs w:val="27"/>
          <w:lang w:val="pt-PT" w:eastAsia="es-UY"/>
          <w14:ligatures w14:val="none"/>
        </w:rPr>
        <w:t>, suas comunidades foram empurradas para situações sub-humanas de desagregação social e indigência cruel. Todavia, mesmo cercados pelas extensas propriedades rurais dominadas pela monocultura da soja, os </w:t>
      </w:r>
      <w:r w:rsidRPr="000D18A7">
        <w:rPr>
          <w:rFonts w:ascii="Arial" w:eastAsia="Times New Roman" w:hAnsi="Arial" w:cs="Arial"/>
          <w:b/>
          <w:bCs/>
          <w:color w:val="666666"/>
          <w:kern w:val="0"/>
          <w:sz w:val="27"/>
          <w:szCs w:val="27"/>
          <w:lang w:val="pt-PT" w:eastAsia="es-UY"/>
          <w14:ligatures w14:val="none"/>
        </w:rPr>
        <w:t>Guarani Kaiowá</w:t>
      </w:r>
      <w:r w:rsidRPr="000D18A7">
        <w:rPr>
          <w:rFonts w:ascii="Arial" w:eastAsia="Times New Roman" w:hAnsi="Arial" w:cs="Arial"/>
          <w:color w:val="666666"/>
          <w:kern w:val="0"/>
          <w:sz w:val="27"/>
          <w:szCs w:val="27"/>
          <w:lang w:val="pt-PT" w:eastAsia="es-UY"/>
          <w14:ligatures w14:val="none"/>
        </w:rPr>
        <w:t> resistem em pequenas e superpopulosas reservas indígenas e em acampamentos montados nas beiras das estradas. O estado de abandono a que foram relegados em nome de um pseudodesenvolvimento é vergonhoso para todo o país.</w:t>
      </w:r>
    </w:p>
    <w:p w14:paraId="0613D82E"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Um modo de vida que não se deixou dominar pelo capital e seu doentio modelo agroexportador em larga escala, preocupado unicamente com o lucro. A mera resistência de comunidades inteiras que se mantêm ligadas à terra de uma forma diferente significa uma ameaça ao sistema. E as ameaças devem ser eliminadas, como se vê nos sucessivos e massivos </w:t>
      </w:r>
      <w:r w:rsidRPr="000D18A7">
        <w:rPr>
          <w:rFonts w:ascii="Arial" w:eastAsia="Times New Roman" w:hAnsi="Arial" w:cs="Arial"/>
          <w:b/>
          <w:bCs/>
          <w:color w:val="666666"/>
          <w:kern w:val="0"/>
          <w:sz w:val="27"/>
          <w:szCs w:val="27"/>
          <w:lang w:val="pt-PT" w:eastAsia="es-UY"/>
          <w14:ligatures w14:val="none"/>
        </w:rPr>
        <w:t>crimes cometidos contra os Guarani Kaiowá</w:t>
      </w:r>
      <w:r w:rsidRPr="000D18A7">
        <w:rPr>
          <w:rFonts w:ascii="Arial" w:eastAsia="Times New Roman" w:hAnsi="Arial" w:cs="Arial"/>
          <w:color w:val="666666"/>
          <w:kern w:val="0"/>
          <w:sz w:val="27"/>
          <w:szCs w:val="27"/>
          <w:lang w:val="pt-PT" w:eastAsia="es-UY"/>
          <w14:ligatures w14:val="none"/>
        </w:rPr>
        <w:t>.</w:t>
      </w:r>
    </w:p>
    <w:p w14:paraId="42591296"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Com a </w:t>
      </w:r>
      <w:r w:rsidRPr="000D18A7">
        <w:rPr>
          <w:rFonts w:ascii="Arial" w:eastAsia="Times New Roman" w:hAnsi="Arial" w:cs="Arial"/>
          <w:b/>
          <w:bCs/>
          <w:color w:val="666666"/>
          <w:kern w:val="0"/>
          <w:sz w:val="27"/>
          <w:szCs w:val="27"/>
          <w:lang w:val="pt-PT" w:eastAsia="es-UY"/>
          <w14:ligatures w14:val="none"/>
        </w:rPr>
        <w:t>alteridade indígena negada</w:t>
      </w:r>
      <w:r w:rsidRPr="000D18A7">
        <w:rPr>
          <w:rFonts w:ascii="Arial" w:eastAsia="Times New Roman" w:hAnsi="Arial" w:cs="Arial"/>
          <w:color w:val="666666"/>
          <w:kern w:val="0"/>
          <w:sz w:val="27"/>
          <w:szCs w:val="27"/>
          <w:lang w:val="pt-PT" w:eastAsia="es-UY"/>
          <w14:ligatures w14:val="none"/>
        </w:rPr>
        <w:t> como possibilidade alternativa de existência, resta um Brasil mais empobrecido e intolerante, como aponta o assessor do Conselho Indigenista Missionário (</w:t>
      </w:r>
      <w:r w:rsidRPr="000D18A7">
        <w:rPr>
          <w:rFonts w:ascii="Arial" w:eastAsia="Times New Roman" w:hAnsi="Arial" w:cs="Arial"/>
          <w:b/>
          <w:bCs/>
          <w:color w:val="666666"/>
          <w:kern w:val="0"/>
          <w:sz w:val="27"/>
          <w:szCs w:val="27"/>
          <w:lang w:val="pt-PT" w:eastAsia="es-UY"/>
          <w14:ligatures w14:val="none"/>
        </w:rPr>
        <w:t>Cimi</w:t>
      </w:r>
      <w:r w:rsidRPr="000D18A7">
        <w:rPr>
          <w:rFonts w:ascii="Arial" w:eastAsia="Times New Roman" w:hAnsi="Arial" w:cs="Arial"/>
          <w:color w:val="666666"/>
          <w:kern w:val="0"/>
          <w:sz w:val="27"/>
          <w:szCs w:val="27"/>
          <w:lang w:val="pt-PT" w:eastAsia="es-UY"/>
          <w14:ligatures w14:val="none"/>
        </w:rPr>
        <w:t>):</w:t>
      </w:r>
    </w:p>
    <w:p w14:paraId="6E2ACEF8"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i/>
          <w:iCs/>
          <w:color w:val="666666"/>
          <w:kern w:val="0"/>
          <w:sz w:val="27"/>
          <w:szCs w:val="27"/>
          <w:lang w:val="pt-PT" w:eastAsia="es-UY"/>
          <w14:ligatures w14:val="none"/>
        </w:rPr>
        <w:lastRenderedPageBreak/>
        <w:t>“O sistema colonial considerava a alteridade dos povos conquistados </w:t>
      </w:r>
      <w:r w:rsidRPr="000D18A7">
        <w:rPr>
          <w:rFonts w:ascii="Arial" w:eastAsia="Times New Roman" w:hAnsi="Arial" w:cs="Arial"/>
          <w:color w:val="666666"/>
          <w:kern w:val="0"/>
          <w:sz w:val="27"/>
          <w:szCs w:val="27"/>
          <w:lang w:val="pt-PT" w:eastAsia="es-UY"/>
          <w14:ligatures w14:val="none"/>
        </w:rPr>
        <w:t>inferioridade</w:t>
      </w:r>
      <w:r w:rsidRPr="000D18A7">
        <w:rPr>
          <w:rFonts w:ascii="Arial" w:eastAsia="Times New Roman" w:hAnsi="Arial" w:cs="Arial"/>
          <w:i/>
          <w:iCs/>
          <w:color w:val="666666"/>
          <w:kern w:val="0"/>
          <w:sz w:val="27"/>
          <w:szCs w:val="27"/>
          <w:lang w:val="pt-PT" w:eastAsia="es-UY"/>
          <w14:ligatures w14:val="none"/>
        </w:rPr>
        <w:t> e a reciprocidade de sua economia, que era a base de sua igualdade, improdutividade. Os Estados Nacionais Modernos, prisioneiros da mundialização do mercado com seu potencial colonizador, todavia, tornaram-se novos colonizadores dos </w:t>
      </w:r>
      <w:r w:rsidRPr="000D18A7">
        <w:rPr>
          <w:rFonts w:ascii="Arial" w:eastAsia="Times New Roman" w:hAnsi="Arial" w:cs="Arial"/>
          <w:color w:val="666666"/>
          <w:kern w:val="0"/>
          <w:sz w:val="27"/>
          <w:szCs w:val="27"/>
          <w:lang w:val="pt-PT" w:eastAsia="es-UY"/>
          <w14:ligatures w14:val="none"/>
        </w:rPr>
        <w:t>outros</w:t>
      </w:r>
      <w:r w:rsidRPr="000D18A7">
        <w:rPr>
          <w:rFonts w:ascii="Arial" w:eastAsia="Times New Roman" w:hAnsi="Arial" w:cs="Arial"/>
          <w:i/>
          <w:iCs/>
          <w:color w:val="666666"/>
          <w:kern w:val="0"/>
          <w:sz w:val="27"/>
          <w:szCs w:val="27"/>
          <w:lang w:val="pt-PT" w:eastAsia="es-UY"/>
          <w14:ligatures w14:val="none"/>
        </w:rPr>
        <w:t> (minorias ou não), muitas vezes incapazes de admitir alternativas frente ao macrossistema cultural e econômico. Vícios herdados se juntaram a novos vícios estruturais dos quais os Estados Modernos são herdeiros, prisioneiros e defensores”.</w:t>
      </w:r>
      <w:hyperlink r:id="rId11" w:anchor="_ftn2" w:history="1">
        <w:r w:rsidRPr="000D18A7">
          <w:rPr>
            <w:rFonts w:ascii="Arial" w:eastAsia="Times New Roman" w:hAnsi="Arial" w:cs="Arial"/>
            <w:b/>
            <w:bCs/>
            <w:i/>
            <w:iCs/>
            <w:color w:val="FC6B01"/>
            <w:kern w:val="0"/>
            <w:sz w:val="27"/>
            <w:szCs w:val="27"/>
            <w:u w:val="single"/>
            <w:lang w:val="pt-PT" w:eastAsia="es-UY"/>
            <w14:ligatures w14:val="none"/>
          </w:rPr>
          <w:t>[2]</w:t>
        </w:r>
      </w:hyperlink>
    </w:p>
    <w:p w14:paraId="7B52EF0F"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Nas últimas semanas, apesar do desinteresse da grande mídia em noticiar o </w:t>
      </w:r>
      <w:hyperlink r:id="rId12" w:tgtFrame="_blank" w:history="1">
        <w:r w:rsidRPr="000D18A7">
          <w:rPr>
            <w:rFonts w:ascii="Arial" w:eastAsia="Times New Roman" w:hAnsi="Arial" w:cs="Arial"/>
            <w:color w:val="FC6B01"/>
            <w:kern w:val="0"/>
            <w:sz w:val="27"/>
            <w:szCs w:val="27"/>
            <w:u w:val="single"/>
            <w:lang w:val="pt-PT" w:eastAsia="es-UY"/>
            <w14:ligatures w14:val="none"/>
          </w:rPr>
          <w:t>banho de sangue promovido pelos ruralistas do Centro-Oeste</w:t>
        </w:r>
      </w:hyperlink>
      <w:r w:rsidRPr="000D18A7">
        <w:rPr>
          <w:rFonts w:ascii="Arial" w:eastAsia="Times New Roman" w:hAnsi="Arial" w:cs="Arial"/>
          <w:color w:val="666666"/>
          <w:kern w:val="0"/>
          <w:sz w:val="27"/>
          <w:szCs w:val="27"/>
          <w:lang w:val="pt-PT" w:eastAsia="es-UY"/>
          <w14:ligatures w14:val="none"/>
        </w:rPr>
        <w:t>, dezenas de vídeos furaram a bolha das redes sociais com cenas perturbadoras. O país vem assistindo estarrecido a um verdadeiro </w:t>
      </w:r>
      <w:r w:rsidRPr="000D18A7">
        <w:rPr>
          <w:rFonts w:ascii="Arial" w:eastAsia="Times New Roman" w:hAnsi="Arial" w:cs="Arial"/>
          <w:b/>
          <w:bCs/>
          <w:color w:val="666666"/>
          <w:kern w:val="0"/>
          <w:sz w:val="27"/>
          <w:szCs w:val="27"/>
          <w:lang w:val="pt-PT" w:eastAsia="es-UY"/>
          <w14:ligatures w14:val="none"/>
        </w:rPr>
        <w:t>massacre do Povo Guarani Kaiowá</w:t>
      </w:r>
      <w:r w:rsidRPr="000D18A7">
        <w:rPr>
          <w:rFonts w:ascii="Arial" w:eastAsia="Times New Roman" w:hAnsi="Arial" w:cs="Arial"/>
          <w:color w:val="666666"/>
          <w:kern w:val="0"/>
          <w:sz w:val="27"/>
          <w:szCs w:val="27"/>
          <w:lang w:val="pt-PT" w:eastAsia="es-UY"/>
          <w14:ligatures w14:val="none"/>
        </w:rPr>
        <w:t>, com dezenas de indígenas barbaramente feridos. Qualquer cientista social teria dificuldade em explicar que tamanhas </w:t>
      </w:r>
      <w:r w:rsidRPr="000D18A7">
        <w:rPr>
          <w:rFonts w:ascii="Arial" w:eastAsia="Times New Roman" w:hAnsi="Arial" w:cs="Arial"/>
          <w:b/>
          <w:bCs/>
          <w:color w:val="666666"/>
          <w:kern w:val="0"/>
          <w:sz w:val="27"/>
          <w:szCs w:val="27"/>
          <w:lang w:val="pt-PT" w:eastAsia="es-UY"/>
          <w14:ligatures w14:val="none"/>
        </w:rPr>
        <w:t>violações de Direitos Humanos</w:t>
      </w:r>
      <w:r w:rsidRPr="000D18A7">
        <w:rPr>
          <w:rFonts w:ascii="Arial" w:eastAsia="Times New Roman" w:hAnsi="Arial" w:cs="Arial"/>
          <w:color w:val="666666"/>
          <w:kern w:val="0"/>
          <w:sz w:val="27"/>
          <w:szCs w:val="27"/>
          <w:lang w:val="pt-PT" w:eastAsia="es-UY"/>
          <w14:ligatures w14:val="none"/>
        </w:rPr>
        <w:t> acontecem em um Estado que se reconhece como Democrático e de Direito.</w:t>
      </w:r>
    </w:p>
    <w:p w14:paraId="37AA131A" w14:textId="77777777" w:rsidR="000D18A7" w:rsidRPr="000D18A7" w:rsidRDefault="000D18A7" w:rsidP="000D18A7">
      <w:pPr>
        <w:spacing w:before="521" w:after="0" w:line="240" w:lineRule="auto"/>
        <w:jc w:val="center"/>
        <w:rPr>
          <w:rFonts w:ascii="Arial" w:eastAsia="Times New Roman" w:hAnsi="Arial" w:cs="Arial"/>
          <w:b/>
          <w:bCs/>
          <w:i/>
          <w:iCs/>
          <w:color w:val="BF4E14" w:themeColor="accent2" w:themeShade="BF"/>
          <w:kern w:val="0"/>
          <w:sz w:val="27"/>
          <w:szCs w:val="27"/>
          <w:lang w:val="pt-PT" w:eastAsia="es-UY"/>
          <w14:ligatures w14:val="none"/>
        </w:rPr>
      </w:pPr>
      <w:r w:rsidRPr="000D18A7">
        <w:rPr>
          <w:rFonts w:ascii="Arial" w:eastAsia="Times New Roman" w:hAnsi="Arial" w:cs="Arial"/>
          <w:b/>
          <w:bCs/>
          <w:i/>
          <w:iCs/>
          <w:color w:val="BF4E14" w:themeColor="accent2" w:themeShade="BF"/>
          <w:kern w:val="0"/>
          <w:sz w:val="27"/>
          <w:szCs w:val="27"/>
          <w:lang w:val="pt-PT" w:eastAsia="es-UY"/>
          <w14:ligatures w14:val="none"/>
        </w:rPr>
        <w:t>Em nome da sagrada propriedade privada e da idolátrica segurança jurídica, os inimigos dos Povos Indígenas cometem um avassalador genocídio cultural – Gabriel Vilardi</w:t>
      </w:r>
    </w:p>
    <w:p w14:paraId="12ABA1A4" w14:textId="13D41375" w:rsidR="000D18A7" w:rsidRPr="000D18A7" w:rsidRDefault="000D18A7" w:rsidP="000D18A7">
      <w:pPr>
        <w:spacing w:line="240" w:lineRule="auto"/>
        <w:jc w:val="center"/>
        <w:rPr>
          <w:rFonts w:ascii="Times New Roman" w:eastAsia="Times New Roman" w:hAnsi="Times New Roman" w:cs="Times New Roman"/>
          <w:b/>
          <w:bCs/>
          <w:i/>
          <w:iCs/>
          <w:color w:val="FC6B01"/>
          <w:kern w:val="0"/>
          <w:sz w:val="27"/>
          <w:szCs w:val="27"/>
          <w:lang w:val="pt-PT" w:eastAsia="es-UY"/>
          <w14:ligatures w14:val="none"/>
        </w:rPr>
      </w:pPr>
    </w:p>
    <w:p w14:paraId="5D64D835"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Alijar as comunidades</w:t>
      </w:r>
      <w:r w:rsidRPr="000D18A7">
        <w:rPr>
          <w:rFonts w:ascii="Arial" w:eastAsia="Times New Roman" w:hAnsi="Arial" w:cs="Arial"/>
          <w:b/>
          <w:bCs/>
          <w:color w:val="666666"/>
          <w:kern w:val="0"/>
          <w:sz w:val="27"/>
          <w:szCs w:val="27"/>
          <w:lang w:val="pt-PT" w:eastAsia="es-UY"/>
          <w14:ligatures w14:val="none"/>
        </w:rPr>
        <w:t> Guarani Kaiowá</w:t>
      </w:r>
      <w:r w:rsidRPr="000D18A7">
        <w:rPr>
          <w:rFonts w:ascii="Arial" w:eastAsia="Times New Roman" w:hAnsi="Arial" w:cs="Arial"/>
          <w:color w:val="666666"/>
          <w:kern w:val="0"/>
          <w:sz w:val="27"/>
          <w:szCs w:val="27"/>
          <w:lang w:val="pt-PT" w:eastAsia="es-UY"/>
          <w14:ligatures w14:val="none"/>
        </w:rPr>
        <w:t> de seus </w:t>
      </w:r>
      <w:r w:rsidRPr="000D18A7">
        <w:rPr>
          <w:rFonts w:ascii="Arial" w:eastAsia="Times New Roman" w:hAnsi="Arial" w:cs="Arial"/>
          <w:b/>
          <w:bCs/>
          <w:color w:val="666666"/>
          <w:kern w:val="0"/>
          <w:sz w:val="27"/>
          <w:szCs w:val="27"/>
          <w:lang w:val="pt-PT" w:eastAsia="es-UY"/>
          <w14:ligatures w14:val="none"/>
        </w:rPr>
        <w:t>territórios tradicionais</w:t>
      </w:r>
      <w:r w:rsidRPr="000D18A7">
        <w:rPr>
          <w:rFonts w:ascii="Arial" w:eastAsia="Times New Roman" w:hAnsi="Arial" w:cs="Arial"/>
          <w:color w:val="666666"/>
          <w:kern w:val="0"/>
          <w:sz w:val="27"/>
          <w:szCs w:val="27"/>
          <w:lang w:val="pt-PT" w:eastAsia="es-UY"/>
          <w14:ligatures w14:val="none"/>
        </w:rPr>
        <w:t> importa em decretar o seu extermínio definitivo. Essa decisão política vem sendo sustentada em uma série de estereótipos estigmatizantes e no </w:t>
      </w:r>
      <w:r w:rsidRPr="000D18A7">
        <w:rPr>
          <w:rFonts w:ascii="Arial" w:eastAsia="Times New Roman" w:hAnsi="Arial" w:cs="Arial"/>
          <w:b/>
          <w:bCs/>
          <w:color w:val="666666"/>
          <w:kern w:val="0"/>
          <w:sz w:val="27"/>
          <w:szCs w:val="27"/>
          <w:lang w:val="pt-PT" w:eastAsia="es-UY"/>
          <w14:ligatures w14:val="none"/>
        </w:rPr>
        <w:t>racismo institucional</w:t>
      </w:r>
      <w:r w:rsidRPr="000D18A7">
        <w:rPr>
          <w:rFonts w:ascii="Arial" w:eastAsia="Times New Roman" w:hAnsi="Arial" w:cs="Arial"/>
          <w:color w:val="666666"/>
          <w:kern w:val="0"/>
          <w:sz w:val="27"/>
          <w:szCs w:val="27"/>
          <w:lang w:val="pt-PT" w:eastAsia="es-UY"/>
          <w14:ligatures w14:val="none"/>
        </w:rPr>
        <w:t> impregnado no poder público. Sob uma ótica neoliberal baseada no consumo desenfreado, não se reconhece a importância do </w:t>
      </w:r>
      <w:hyperlink r:id="rId13" w:tgtFrame="_blank" w:history="1">
        <w:r w:rsidRPr="000D18A7">
          <w:rPr>
            <w:rFonts w:ascii="Arial" w:eastAsia="Times New Roman" w:hAnsi="Arial" w:cs="Arial"/>
            <w:color w:val="FC6B01"/>
            <w:kern w:val="0"/>
            <w:sz w:val="27"/>
            <w:szCs w:val="27"/>
            <w:u w:val="single"/>
            <w:lang w:val="pt-PT" w:eastAsia="es-UY"/>
            <w14:ligatures w14:val="none"/>
          </w:rPr>
          <w:t>Bem Viver para os Povos Indígenas</w:t>
        </w:r>
      </w:hyperlink>
      <w:r w:rsidRPr="000D18A7">
        <w:rPr>
          <w:rFonts w:ascii="Arial" w:eastAsia="Times New Roman" w:hAnsi="Arial" w:cs="Arial"/>
          <w:color w:val="666666"/>
          <w:kern w:val="0"/>
          <w:sz w:val="27"/>
          <w:szCs w:val="27"/>
          <w:lang w:val="pt-PT" w:eastAsia="es-UY"/>
          <w14:ligatures w14:val="none"/>
        </w:rPr>
        <w:t>. Estes não estão preocupados em sugar as riquezas da terra, como se fossem meras mercadorias. Sua lógica é desprezada e incompreendida pelos gurus do mercado e pelos gestores públicos, que pretendem impor seus planos de produção externos:</w:t>
      </w:r>
    </w:p>
    <w:p w14:paraId="00C75BF9"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i/>
          <w:iCs/>
          <w:color w:val="666666"/>
          <w:kern w:val="0"/>
          <w:sz w:val="27"/>
          <w:szCs w:val="27"/>
          <w:lang w:val="pt-PT" w:eastAsia="es-UY"/>
          <w14:ligatures w14:val="none"/>
        </w:rPr>
        <w:t>“Não só a fome do pobre, também o desprezo daquele que é diferente, sua alteridade como inferioridade, enfim, a agressão ao outro, ameaçam a vida de povos, civilizações e indivíduos. A alteridade é uma riqueza a ser permanentemente defendida. A alteridade é uma arma de resistência contra a ‘mesmice sistêmica’. A pobreza, como resultante da assimetria social, é uma patologia a ser superada. A igualdade visa não somente a superação dessa patologia social, mas também o reconhecimento da alteridade cultural de todos, sem obrigação de justificá-la”.</w:t>
      </w:r>
      <w:hyperlink r:id="rId14" w:anchor="_ftn3" w:history="1">
        <w:r w:rsidRPr="000D18A7">
          <w:rPr>
            <w:rFonts w:ascii="Arial" w:eastAsia="Times New Roman" w:hAnsi="Arial" w:cs="Arial"/>
            <w:b/>
            <w:bCs/>
            <w:i/>
            <w:iCs/>
            <w:color w:val="FC6B01"/>
            <w:kern w:val="0"/>
            <w:sz w:val="27"/>
            <w:szCs w:val="27"/>
            <w:u w:val="single"/>
            <w:lang w:val="pt-PT" w:eastAsia="es-UY"/>
            <w14:ligatures w14:val="none"/>
          </w:rPr>
          <w:t>[3]</w:t>
        </w:r>
      </w:hyperlink>
      <w:r w:rsidRPr="000D18A7">
        <w:rPr>
          <w:rFonts w:ascii="Arial" w:eastAsia="Times New Roman" w:hAnsi="Arial" w:cs="Arial"/>
          <w:color w:val="666666"/>
          <w:kern w:val="0"/>
          <w:sz w:val="27"/>
          <w:szCs w:val="27"/>
          <w:lang w:val="pt-PT" w:eastAsia="es-UY"/>
          <w14:ligatures w14:val="none"/>
        </w:rPr>
        <w:t>   </w:t>
      </w:r>
    </w:p>
    <w:p w14:paraId="7B201673"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lastRenderedPageBreak/>
        <w:t>Mesmo o </w:t>
      </w:r>
      <w:hyperlink r:id="rId15" w:tgtFrame="_blank" w:history="1">
        <w:r w:rsidRPr="000D18A7">
          <w:rPr>
            <w:rFonts w:ascii="Arial" w:eastAsia="Times New Roman" w:hAnsi="Arial" w:cs="Arial"/>
            <w:color w:val="FC6B01"/>
            <w:kern w:val="0"/>
            <w:sz w:val="27"/>
            <w:szCs w:val="27"/>
            <w:u w:val="single"/>
            <w:lang w:val="pt-PT" w:eastAsia="es-UY"/>
            <w14:ligatures w14:val="none"/>
          </w:rPr>
          <w:t>Supremo Tribunal Federal tendo declarado inconstitucional a tese do Marco Temporal</w:t>
        </w:r>
      </w:hyperlink>
      <w:r w:rsidRPr="000D18A7">
        <w:rPr>
          <w:rFonts w:ascii="Arial" w:eastAsia="Times New Roman" w:hAnsi="Arial" w:cs="Arial"/>
          <w:color w:val="666666"/>
          <w:kern w:val="0"/>
          <w:sz w:val="27"/>
          <w:szCs w:val="27"/>
          <w:lang w:val="pt-PT" w:eastAsia="es-UY"/>
          <w14:ligatures w14:val="none"/>
        </w:rPr>
        <w:t>, o cenário só se agravou para as comunidades originárias com a aprovação provocativa da </w:t>
      </w:r>
      <w:r w:rsidRPr="000D18A7">
        <w:rPr>
          <w:rFonts w:ascii="Arial" w:eastAsia="Times New Roman" w:hAnsi="Arial" w:cs="Arial"/>
          <w:b/>
          <w:bCs/>
          <w:color w:val="666666"/>
          <w:kern w:val="0"/>
          <w:sz w:val="27"/>
          <w:szCs w:val="27"/>
          <w:lang w:val="pt-PT" w:eastAsia="es-UY"/>
          <w14:ligatures w14:val="none"/>
        </w:rPr>
        <w:t>Lei 14.701/23</w:t>
      </w:r>
      <w:r w:rsidRPr="000D18A7">
        <w:rPr>
          <w:rFonts w:ascii="Arial" w:eastAsia="Times New Roman" w:hAnsi="Arial" w:cs="Arial"/>
          <w:color w:val="666666"/>
          <w:kern w:val="0"/>
          <w:sz w:val="27"/>
          <w:szCs w:val="27"/>
          <w:lang w:val="pt-PT" w:eastAsia="es-UY"/>
          <w14:ligatures w14:val="none"/>
        </w:rPr>
        <w:t>. Com o ajuizamento de novas ações na Corte Suprema, para derrubar mais uma vez a acintosa teoria que confirma a roubo de centenas de </w:t>
      </w:r>
      <w:r w:rsidRPr="000D18A7">
        <w:rPr>
          <w:rFonts w:ascii="Arial" w:eastAsia="Times New Roman" w:hAnsi="Arial" w:cs="Arial"/>
          <w:b/>
          <w:bCs/>
          <w:color w:val="666666"/>
          <w:kern w:val="0"/>
          <w:sz w:val="27"/>
          <w:szCs w:val="27"/>
          <w:lang w:val="pt-PT" w:eastAsia="es-UY"/>
          <w14:ligatures w14:val="none"/>
        </w:rPr>
        <w:t>Terras Indígenas</w:t>
      </w:r>
      <w:r w:rsidRPr="000D18A7">
        <w:rPr>
          <w:rFonts w:ascii="Arial" w:eastAsia="Times New Roman" w:hAnsi="Arial" w:cs="Arial"/>
          <w:color w:val="666666"/>
          <w:kern w:val="0"/>
          <w:sz w:val="27"/>
          <w:szCs w:val="27"/>
          <w:lang w:val="pt-PT" w:eastAsia="es-UY"/>
          <w14:ligatures w14:val="none"/>
        </w:rPr>
        <w:t>, a poderosa e super representada bancada do agronegócio ameaça pautar a </w:t>
      </w:r>
      <w:hyperlink r:id="rId16" w:tgtFrame="_blank" w:history="1">
        <w:r w:rsidRPr="000D18A7">
          <w:rPr>
            <w:rFonts w:ascii="Arial" w:eastAsia="Times New Roman" w:hAnsi="Arial" w:cs="Arial"/>
            <w:color w:val="FC6B01"/>
            <w:kern w:val="0"/>
            <w:sz w:val="27"/>
            <w:szCs w:val="27"/>
            <w:u w:val="single"/>
            <w:lang w:val="pt-PT" w:eastAsia="es-UY"/>
            <w14:ligatures w14:val="none"/>
          </w:rPr>
          <w:t>Proposta de Emenda Constitucional nº 48</w:t>
        </w:r>
      </w:hyperlink>
      <w:r w:rsidRPr="000D18A7">
        <w:rPr>
          <w:rFonts w:ascii="Arial" w:eastAsia="Times New Roman" w:hAnsi="Arial" w:cs="Arial"/>
          <w:color w:val="666666"/>
          <w:kern w:val="0"/>
          <w:sz w:val="27"/>
          <w:szCs w:val="27"/>
          <w:lang w:val="pt-PT" w:eastAsia="es-UY"/>
          <w14:ligatures w14:val="none"/>
        </w:rPr>
        <w:t>. Referida PEC pretende alterar o </w:t>
      </w:r>
      <w:r w:rsidRPr="000D18A7">
        <w:rPr>
          <w:rFonts w:ascii="Arial" w:eastAsia="Times New Roman" w:hAnsi="Arial" w:cs="Arial"/>
          <w:b/>
          <w:bCs/>
          <w:color w:val="666666"/>
          <w:kern w:val="0"/>
          <w:sz w:val="27"/>
          <w:szCs w:val="27"/>
          <w:lang w:val="pt-PT" w:eastAsia="es-UY"/>
          <w14:ligatures w14:val="none"/>
        </w:rPr>
        <w:t>artigo 231</w:t>
      </w:r>
      <w:r w:rsidRPr="000D18A7">
        <w:rPr>
          <w:rFonts w:ascii="Arial" w:eastAsia="Times New Roman" w:hAnsi="Arial" w:cs="Arial"/>
          <w:color w:val="666666"/>
          <w:kern w:val="0"/>
          <w:sz w:val="27"/>
          <w:szCs w:val="27"/>
          <w:lang w:val="pt-PT" w:eastAsia="es-UY"/>
          <w14:ligatures w14:val="none"/>
        </w:rPr>
        <w:t> para acrescentar esse infundado limitador temporal no texto constitucional.</w:t>
      </w:r>
    </w:p>
    <w:p w14:paraId="190A466C"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Eventual aprovação da mencionada PEC acarretaria, entre outros, no desrespeito aos princípios da proibição do retrocesso social e da separação de poderes, em que se prevê a competência da Corte Constitucional para interpretar a Constituição da República, como sua última guardiã. Como se não bastasse, isso implicaria ainda no descumprimento da </w:t>
      </w:r>
      <w:r w:rsidRPr="000D18A7">
        <w:rPr>
          <w:rFonts w:ascii="Arial" w:eastAsia="Times New Roman" w:hAnsi="Arial" w:cs="Arial"/>
          <w:b/>
          <w:bCs/>
          <w:color w:val="666666"/>
          <w:kern w:val="0"/>
          <w:sz w:val="27"/>
          <w:szCs w:val="27"/>
          <w:lang w:val="pt-PT" w:eastAsia="es-UY"/>
          <w14:ligatures w14:val="none"/>
        </w:rPr>
        <w:t>vedação de alteração de cláusula pétrea</w:t>
      </w:r>
      <w:r w:rsidRPr="000D18A7">
        <w:rPr>
          <w:rFonts w:ascii="Arial" w:eastAsia="Times New Roman" w:hAnsi="Arial" w:cs="Arial"/>
          <w:color w:val="666666"/>
          <w:kern w:val="0"/>
          <w:sz w:val="27"/>
          <w:szCs w:val="27"/>
          <w:lang w:val="pt-PT" w:eastAsia="es-UY"/>
          <w14:ligatures w14:val="none"/>
        </w:rPr>
        <w:t>. Isto porque o reconhecimento das terras ancestrais dos </w:t>
      </w:r>
      <w:r w:rsidRPr="000D18A7">
        <w:rPr>
          <w:rFonts w:ascii="Arial" w:eastAsia="Times New Roman" w:hAnsi="Arial" w:cs="Arial"/>
          <w:b/>
          <w:bCs/>
          <w:color w:val="666666"/>
          <w:kern w:val="0"/>
          <w:sz w:val="27"/>
          <w:szCs w:val="27"/>
          <w:lang w:val="pt-PT" w:eastAsia="es-UY"/>
          <w14:ligatures w14:val="none"/>
        </w:rPr>
        <w:t>Povos Indígenas</w:t>
      </w:r>
      <w:r w:rsidRPr="000D18A7">
        <w:rPr>
          <w:rFonts w:ascii="Arial" w:eastAsia="Times New Roman" w:hAnsi="Arial" w:cs="Arial"/>
          <w:color w:val="666666"/>
          <w:kern w:val="0"/>
          <w:sz w:val="27"/>
          <w:szCs w:val="27"/>
          <w:lang w:val="pt-PT" w:eastAsia="es-UY"/>
          <w14:ligatures w14:val="none"/>
        </w:rPr>
        <w:t> consiste em um direito fundamental, que não pode ser modificado nem mesmo pelo Congresso Nacional.</w:t>
      </w:r>
    </w:p>
    <w:p w14:paraId="3A3C5A00"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Infelizmente, para a frustração e a decepção do movimento indígena e de todos aqueles e aquelas que apoiam a sua causa, o </w:t>
      </w:r>
      <w:hyperlink r:id="rId17" w:tgtFrame="_blank" w:history="1">
        <w:r w:rsidRPr="000D18A7">
          <w:rPr>
            <w:rFonts w:ascii="Arial" w:eastAsia="Times New Roman" w:hAnsi="Arial" w:cs="Arial"/>
            <w:color w:val="FC6B01"/>
            <w:kern w:val="0"/>
            <w:sz w:val="27"/>
            <w:szCs w:val="27"/>
            <w:u w:val="single"/>
            <w:lang w:val="pt-PT" w:eastAsia="es-UY"/>
            <w14:ligatures w14:val="none"/>
          </w:rPr>
          <w:t>governo Lula não tem cumprido a contento com suas promessas de campanha</w:t>
        </w:r>
      </w:hyperlink>
      <w:r w:rsidRPr="000D18A7">
        <w:rPr>
          <w:rFonts w:ascii="Arial" w:eastAsia="Times New Roman" w:hAnsi="Arial" w:cs="Arial"/>
          <w:color w:val="666666"/>
          <w:kern w:val="0"/>
          <w:sz w:val="27"/>
          <w:szCs w:val="27"/>
          <w:lang w:val="pt-PT" w:eastAsia="es-UY"/>
          <w14:ligatures w14:val="none"/>
        </w:rPr>
        <w:t>. Além de não avançar em seu dever constitucional de sanar o imenso passivo de</w:t>
      </w:r>
      <w:r w:rsidRPr="000D18A7">
        <w:rPr>
          <w:rFonts w:ascii="Arial" w:eastAsia="Times New Roman" w:hAnsi="Arial" w:cs="Arial"/>
          <w:b/>
          <w:bCs/>
          <w:color w:val="666666"/>
          <w:kern w:val="0"/>
          <w:sz w:val="27"/>
          <w:szCs w:val="27"/>
          <w:lang w:val="pt-PT" w:eastAsia="es-UY"/>
          <w14:ligatures w14:val="none"/>
        </w:rPr>
        <w:t> Terras Indígenas não demarcadas</w:t>
      </w:r>
      <w:r w:rsidRPr="000D18A7">
        <w:rPr>
          <w:rFonts w:ascii="Arial" w:eastAsia="Times New Roman" w:hAnsi="Arial" w:cs="Arial"/>
          <w:color w:val="666666"/>
          <w:kern w:val="0"/>
          <w:sz w:val="27"/>
          <w:szCs w:val="27"/>
          <w:lang w:val="pt-PT" w:eastAsia="es-UY"/>
          <w14:ligatures w14:val="none"/>
        </w:rPr>
        <w:t>, sua posição diante dos conflitos agrários tem sido inaceitável.</w:t>
      </w:r>
    </w:p>
    <w:p w14:paraId="385597C1"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Há uma temerosa reação insuficiente que beira à irresponsável conivência das autoridades federais, com toda a selvageria praticada pelos fazendeiros, no </w:t>
      </w:r>
      <w:r w:rsidRPr="000D18A7">
        <w:rPr>
          <w:rFonts w:ascii="Arial" w:eastAsia="Times New Roman" w:hAnsi="Arial" w:cs="Arial"/>
          <w:b/>
          <w:bCs/>
          <w:color w:val="666666"/>
          <w:kern w:val="0"/>
          <w:sz w:val="27"/>
          <w:szCs w:val="27"/>
          <w:lang w:val="pt-PT" w:eastAsia="es-UY"/>
          <w14:ligatures w14:val="none"/>
        </w:rPr>
        <w:t>Mato Grosso do Sul</w:t>
      </w:r>
      <w:r w:rsidRPr="000D18A7">
        <w:rPr>
          <w:rFonts w:ascii="Arial" w:eastAsia="Times New Roman" w:hAnsi="Arial" w:cs="Arial"/>
          <w:color w:val="666666"/>
          <w:kern w:val="0"/>
          <w:sz w:val="27"/>
          <w:szCs w:val="27"/>
          <w:lang w:val="pt-PT" w:eastAsia="es-UY"/>
          <w14:ligatures w14:val="none"/>
        </w:rPr>
        <w:t>. Nas gravações apresentadas pelas organizações indígenas se constata a omissão da Força Nacional de Segurança Pública diante dos ataques contra os </w:t>
      </w:r>
      <w:r w:rsidRPr="000D18A7">
        <w:rPr>
          <w:rFonts w:ascii="Arial" w:eastAsia="Times New Roman" w:hAnsi="Arial" w:cs="Arial"/>
          <w:b/>
          <w:bCs/>
          <w:color w:val="666666"/>
          <w:kern w:val="0"/>
          <w:sz w:val="27"/>
          <w:szCs w:val="27"/>
          <w:lang w:val="pt-PT" w:eastAsia="es-UY"/>
          <w14:ligatures w14:val="none"/>
        </w:rPr>
        <w:t>Guarani Kaiowá</w:t>
      </w:r>
      <w:r w:rsidRPr="000D18A7">
        <w:rPr>
          <w:rFonts w:ascii="Arial" w:eastAsia="Times New Roman" w:hAnsi="Arial" w:cs="Arial"/>
          <w:color w:val="666666"/>
          <w:kern w:val="0"/>
          <w:sz w:val="27"/>
          <w:szCs w:val="27"/>
          <w:lang w:val="pt-PT" w:eastAsia="es-UY"/>
          <w14:ligatures w14:val="none"/>
        </w:rPr>
        <w:t>. As fotografias de jovens e idosos sangrando após um aterrorizante tiroteio realizado pelos capangas do agro são revoltantes.</w:t>
      </w:r>
    </w:p>
    <w:p w14:paraId="46AB9437"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Visitas e promessas vazias não bastam! Representatividade de autoridades federais indígenas, apesar de importante, não garante a vida digna das comunidades massacradas. Já passou da hora do presidente</w:t>
      </w:r>
      <w:r w:rsidRPr="000D18A7">
        <w:rPr>
          <w:rFonts w:ascii="Arial" w:eastAsia="Times New Roman" w:hAnsi="Arial" w:cs="Arial"/>
          <w:b/>
          <w:bCs/>
          <w:color w:val="666666"/>
          <w:kern w:val="0"/>
          <w:sz w:val="27"/>
          <w:szCs w:val="27"/>
          <w:lang w:val="pt-PT" w:eastAsia="es-UY"/>
          <w14:ligatures w14:val="none"/>
        </w:rPr>
        <w:t> Lula</w:t>
      </w:r>
      <w:r w:rsidRPr="000D18A7">
        <w:rPr>
          <w:rFonts w:ascii="Arial" w:eastAsia="Times New Roman" w:hAnsi="Arial" w:cs="Arial"/>
          <w:color w:val="666666"/>
          <w:kern w:val="0"/>
          <w:sz w:val="27"/>
          <w:szCs w:val="27"/>
          <w:lang w:val="pt-PT" w:eastAsia="es-UY"/>
          <w14:ligatures w14:val="none"/>
        </w:rPr>
        <w:t> decidir se está a favor ou contra os </w:t>
      </w:r>
      <w:r w:rsidRPr="000D18A7">
        <w:rPr>
          <w:rFonts w:ascii="Arial" w:eastAsia="Times New Roman" w:hAnsi="Arial" w:cs="Arial"/>
          <w:b/>
          <w:bCs/>
          <w:color w:val="666666"/>
          <w:kern w:val="0"/>
          <w:sz w:val="27"/>
          <w:szCs w:val="27"/>
          <w:lang w:val="pt-PT" w:eastAsia="es-UY"/>
          <w14:ligatures w14:val="none"/>
        </w:rPr>
        <w:t>povos originários</w:t>
      </w:r>
      <w:r w:rsidRPr="000D18A7">
        <w:rPr>
          <w:rFonts w:ascii="Arial" w:eastAsia="Times New Roman" w:hAnsi="Arial" w:cs="Arial"/>
          <w:color w:val="666666"/>
          <w:kern w:val="0"/>
          <w:sz w:val="27"/>
          <w:szCs w:val="27"/>
          <w:lang w:val="pt-PT" w:eastAsia="es-UY"/>
          <w14:ligatures w14:val="none"/>
        </w:rPr>
        <w:t>. Nesse sentido, bastante lúcida a análise do </w:t>
      </w:r>
      <w:hyperlink r:id="rId18" w:tgtFrame="_blank" w:history="1">
        <w:r w:rsidRPr="000D18A7">
          <w:rPr>
            <w:rFonts w:ascii="Arial" w:eastAsia="Times New Roman" w:hAnsi="Arial" w:cs="Arial"/>
            <w:color w:val="FC6B01"/>
            <w:kern w:val="0"/>
            <w:sz w:val="27"/>
            <w:szCs w:val="27"/>
            <w:u w:val="single"/>
            <w:lang w:val="pt-PT" w:eastAsia="es-UY"/>
            <w14:ligatures w14:val="none"/>
          </w:rPr>
          <w:t>Relatório de Violência Contra os Povos Indígenas-Dados 2023 do Cimi</w:t>
        </w:r>
      </w:hyperlink>
      <w:r w:rsidRPr="000D18A7">
        <w:rPr>
          <w:rFonts w:ascii="Arial" w:eastAsia="Times New Roman" w:hAnsi="Arial" w:cs="Arial"/>
          <w:color w:val="666666"/>
          <w:kern w:val="0"/>
          <w:sz w:val="27"/>
          <w:szCs w:val="27"/>
          <w:lang w:val="pt-PT" w:eastAsia="es-UY"/>
          <w14:ligatures w14:val="none"/>
        </w:rPr>
        <w:t>:</w:t>
      </w:r>
    </w:p>
    <w:p w14:paraId="3F61D84C"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i/>
          <w:iCs/>
          <w:color w:val="666666"/>
          <w:kern w:val="0"/>
          <w:sz w:val="27"/>
          <w:szCs w:val="27"/>
          <w:lang w:val="pt-PT" w:eastAsia="es-UY"/>
          <w14:ligatures w14:val="none"/>
        </w:rPr>
        <w:t xml:space="preserve">“Esqueceu o governo Lula que a recuperação da convivência democrática, bandeira principal do novo momento político no país, passa necessariamente pela demarcação e proteção dos territórios indígenas (...) É fundamental que o atual governo, no tempo que lhe resta, transforme a estética da representação em uma ética política da justiça e do direito. E é indispensável que o poder Judiciário mantenha, no atual embate jurídico sobre os direitos dos povos indígenas, o que </w:t>
      </w:r>
      <w:r w:rsidRPr="000D18A7">
        <w:rPr>
          <w:rFonts w:ascii="Arial" w:eastAsia="Times New Roman" w:hAnsi="Arial" w:cs="Arial"/>
          <w:i/>
          <w:iCs/>
          <w:color w:val="666666"/>
          <w:kern w:val="0"/>
          <w:sz w:val="27"/>
          <w:szCs w:val="27"/>
          <w:lang w:val="pt-PT" w:eastAsia="es-UY"/>
          <w14:ligatures w14:val="none"/>
        </w:rPr>
        <w:lastRenderedPageBreak/>
        <w:t>foi definido em setembro de 2023 quanto à inconstitucionalidade do marco temporal”.</w:t>
      </w:r>
      <w:hyperlink r:id="rId19" w:anchor="_ftn4" w:history="1">
        <w:r w:rsidRPr="000D18A7">
          <w:rPr>
            <w:rFonts w:ascii="Arial" w:eastAsia="Times New Roman" w:hAnsi="Arial" w:cs="Arial"/>
            <w:b/>
            <w:bCs/>
            <w:i/>
            <w:iCs/>
            <w:color w:val="FC6B01"/>
            <w:kern w:val="0"/>
            <w:sz w:val="27"/>
            <w:szCs w:val="27"/>
            <w:u w:val="single"/>
            <w:lang w:val="pt-PT" w:eastAsia="es-UY"/>
            <w14:ligatures w14:val="none"/>
          </w:rPr>
          <w:t>[4]</w:t>
        </w:r>
      </w:hyperlink>
    </w:p>
    <w:p w14:paraId="27B3BF0B"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Dentro do alarmante índice de 208 assassinatos de indígenas no ano passado, após </w:t>
      </w:r>
      <w:hyperlink r:id="rId20" w:tgtFrame="_blank" w:history="1">
        <w:r w:rsidRPr="000D18A7">
          <w:rPr>
            <w:rFonts w:ascii="Arial" w:eastAsia="Times New Roman" w:hAnsi="Arial" w:cs="Arial"/>
            <w:color w:val="FC6B01"/>
            <w:kern w:val="0"/>
            <w:sz w:val="27"/>
            <w:szCs w:val="27"/>
            <w:u w:val="single"/>
            <w:lang w:val="pt-PT" w:eastAsia="es-UY"/>
            <w14:ligatures w14:val="none"/>
          </w:rPr>
          <w:t>Roraima com seus inextinguíveis garimpos </w:t>
        </w:r>
      </w:hyperlink>
      <w:r w:rsidRPr="000D18A7">
        <w:rPr>
          <w:rFonts w:ascii="Arial" w:eastAsia="Times New Roman" w:hAnsi="Arial" w:cs="Arial"/>
          <w:color w:val="666666"/>
          <w:kern w:val="0"/>
          <w:sz w:val="27"/>
          <w:szCs w:val="27"/>
          <w:lang w:val="pt-PT" w:eastAsia="es-UY"/>
          <w14:ligatures w14:val="none"/>
        </w:rPr>
        <w:t>(47), Mato Grosso do Sul é o segundo estado com mais mortes (43). Não se trata, pois, de fatos isolados ou circunstanciais, mas de uma mentalidade de </w:t>
      </w:r>
      <w:r w:rsidRPr="000D18A7">
        <w:rPr>
          <w:rFonts w:ascii="Arial" w:eastAsia="Times New Roman" w:hAnsi="Arial" w:cs="Arial"/>
          <w:b/>
          <w:bCs/>
          <w:color w:val="666666"/>
          <w:kern w:val="0"/>
          <w:sz w:val="27"/>
          <w:szCs w:val="27"/>
          <w:lang w:val="pt-PT" w:eastAsia="es-UY"/>
          <w14:ligatures w14:val="none"/>
        </w:rPr>
        <w:t>extermínio</w:t>
      </w:r>
      <w:r w:rsidRPr="000D18A7">
        <w:rPr>
          <w:rFonts w:ascii="Arial" w:eastAsia="Times New Roman" w:hAnsi="Arial" w:cs="Arial"/>
          <w:color w:val="666666"/>
          <w:kern w:val="0"/>
          <w:sz w:val="27"/>
          <w:szCs w:val="27"/>
          <w:lang w:val="pt-PT" w:eastAsia="es-UY"/>
          <w14:ligatures w14:val="none"/>
        </w:rPr>
        <w:t>, entranhada no poder público local e na parte fascista do agronegócio. Portanto, em face desses </w:t>
      </w:r>
      <w:r w:rsidRPr="000D18A7">
        <w:rPr>
          <w:rFonts w:ascii="Arial" w:eastAsia="Times New Roman" w:hAnsi="Arial" w:cs="Arial"/>
          <w:b/>
          <w:bCs/>
          <w:color w:val="666666"/>
          <w:kern w:val="0"/>
          <w:sz w:val="27"/>
          <w:szCs w:val="27"/>
          <w:lang w:val="pt-PT" w:eastAsia="es-UY"/>
          <w14:ligatures w14:val="none"/>
        </w:rPr>
        <w:t>crimes sistemáticos contra os Guarani Kaiowá</w:t>
      </w:r>
      <w:r w:rsidRPr="000D18A7">
        <w:rPr>
          <w:rFonts w:ascii="Arial" w:eastAsia="Times New Roman" w:hAnsi="Arial" w:cs="Arial"/>
          <w:color w:val="666666"/>
          <w:kern w:val="0"/>
          <w:sz w:val="27"/>
          <w:szCs w:val="27"/>
          <w:lang w:val="pt-PT" w:eastAsia="es-UY"/>
          <w14:ligatures w14:val="none"/>
        </w:rPr>
        <w:t>, com suspeitas da participação de policiais militares como seguranças privados dos fazendeiros, o governo federal precisa tomar medidas enérgicas e assertivas.</w:t>
      </w:r>
    </w:p>
    <w:p w14:paraId="35B4BDE5" w14:textId="77777777" w:rsidR="000D18A7" w:rsidRPr="000D18A7" w:rsidRDefault="000D18A7" w:rsidP="000D18A7">
      <w:pPr>
        <w:spacing w:before="521" w:after="0" w:line="240" w:lineRule="auto"/>
        <w:jc w:val="center"/>
        <w:rPr>
          <w:rFonts w:ascii="Arial" w:eastAsia="Times New Roman" w:hAnsi="Arial" w:cs="Arial"/>
          <w:b/>
          <w:bCs/>
          <w:i/>
          <w:iCs/>
          <w:color w:val="BF4E14" w:themeColor="accent2" w:themeShade="BF"/>
          <w:kern w:val="0"/>
          <w:sz w:val="27"/>
          <w:szCs w:val="27"/>
          <w:lang w:val="pt-PT" w:eastAsia="es-UY"/>
          <w14:ligatures w14:val="none"/>
        </w:rPr>
      </w:pPr>
      <w:r w:rsidRPr="000D18A7">
        <w:rPr>
          <w:rFonts w:ascii="Arial" w:eastAsia="Times New Roman" w:hAnsi="Arial" w:cs="Arial"/>
          <w:b/>
          <w:bCs/>
          <w:i/>
          <w:iCs/>
          <w:color w:val="BF4E14" w:themeColor="accent2" w:themeShade="BF"/>
          <w:kern w:val="0"/>
          <w:sz w:val="27"/>
          <w:szCs w:val="27"/>
          <w:lang w:val="pt-PT" w:eastAsia="es-UY"/>
          <w14:ligatures w14:val="none"/>
        </w:rPr>
        <w:t>Alijar as comunidades Guarani Kaiowá de seus territórios tradicionais importa em decretar o seu extermínio definitivo – Gabriel Vilardi</w:t>
      </w:r>
    </w:p>
    <w:p w14:paraId="71E5DD2B" w14:textId="49FB21C8" w:rsidR="000D18A7" w:rsidRPr="000D18A7" w:rsidRDefault="000D18A7" w:rsidP="000D18A7">
      <w:pPr>
        <w:spacing w:line="240" w:lineRule="auto"/>
        <w:jc w:val="center"/>
        <w:rPr>
          <w:rFonts w:ascii="Times New Roman" w:eastAsia="Times New Roman" w:hAnsi="Times New Roman" w:cs="Times New Roman"/>
          <w:b/>
          <w:bCs/>
          <w:i/>
          <w:iCs/>
          <w:color w:val="FC6B01"/>
          <w:kern w:val="0"/>
          <w:sz w:val="27"/>
          <w:szCs w:val="27"/>
          <w:lang w:val="pt-PT" w:eastAsia="es-UY"/>
          <w14:ligatures w14:val="none"/>
        </w:rPr>
      </w:pPr>
    </w:p>
    <w:p w14:paraId="1A62B8CE"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Esse discurso de conciliação é falso e injusto. O espaço para negociação se fechou quando crimes violentos foram praticados pelos latifundiários. Nesse caso, só cabe a investigação implacável por parte da Polícia Federal para a punição dos responsáveis. Por outro lado, como o estado de Mato Grosso do Sul já demonstrou que não possui condições alguma para proteger as vítimas dessa carnificina, o Executivo federal deve assegurar a</w:t>
      </w:r>
      <w:hyperlink r:id="rId21" w:tgtFrame="_blank" w:history="1">
        <w:r w:rsidRPr="000D18A7">
          <w:rPr>
            <w:rFonts w:ascii="Arial" w:eastAsia="Times New Roman" w:hAnsi="Arial" w:cs="Arial"/>
            <w:color w:val="FC6B01"/>
            <w:kern w:val="0"/>
            <w:sz w:val="27"/>
            <w:szCs w:val="27"/>
            <w:u w:val="single"/>
            <w:lang w:val="pt-PT" w:eastAsia="es-UY"/>
            <w14:ligatures w14:val="none"/>
          </w:rPr>
          <w:t> segurança e incolumidade das comunidades indígenas atacadas</w:t>
        </w:r>
      </w:hyperlink>
      <w:r w:rsidRPr="000D18A7">
        <w:rPr>
          <w:rFonts w:ascii="Arial" w:eastAsia="Times New Roman" w:hAnsi="Arial" w:cs="Arial"/>
          <w:color w:val="666666"/>
          <w:kern w:val="0"/>
          <w:sz w:val="27"/>
          <w:szCs w:val="27"/>
          <w:lang w:val="pt-PT" w:eastAsia="es-UY"/>
          <w14:ligatures w14:val="none"/>
        </w:rPr>
        <w:t>, sob pena de responsabilização direta dos servidores públicos que não cumprirem sua função.</w:t>
      </w:r>
    </w:p>
    <w:p w14:paraId="585865D1"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Por fim, não haverá qualquer possiblidade de pacificação social enquanto não houver a demarcação dos territórios dos </w:t>
      </w:r>
      <w:r w:rsidRPr="000D18A7">
        <w:rPr>
          <w:rFonts w:ascii="Arial" w:eastAsia="Times New Roman" w:hAnsi="Arial" w:cs="Arial"/>
          <w:b/>
          <w:bCs/>
          <w:color w:val="666666"/>
          <w:kern w:val="0"/>
          <w:sz w:val="27"/>
          <w:szCs w:val="27"/>
          <w:lang w:val="pt-PT" w:eastAsia="es-UY"/>
          <w14:ligatures w14:val="none"/>
        </w:rPr>
        <w:t>Guarani Kaiowá</w:t>
      </w:r>
      <w:r w:rsidRPr="000D18A7">
        <w:rPr>
          <w:rFonts w:ascii="Arial" w:eastAsia="Times New Roman" w:hAnsi="Arial" w:cs="Arial"/>
          <w:color w:val="666666"/>
          <w:kern w:val="0"/>
          <w:sz w:val="27"/>
          <w:szCs w:val="27"/>
          <w:lang w:val="pt-PT" w:eastAsia="es-UY"/>
          <w14:ligatures w14:val="none"/>
        </w:rPr>
        <w:t>. Trata-se de uma evidente questão de justiça! Adiar essa reparação histórica é prolongar o massacre. Usar de quaisquer subterfúgios para pressionar as comunidades indígenas a cederem seus direitos fundamentais, como parece desejar o ministro</w:t>
      </w:r>
      <w:r w:rsidRPr="000D18A7">
        <w:rPr>
          <w:rFonts w:ascii="Arial" w:eastAsia="Times New Roman" w:hAnsi="Arial" w:cs="Arial"/>
          <w:b/>
          <w:bCs/>
          <w:color w:val="666666"/>
          <w:kern w:val="0"/>
          <w:sz w:val="27"/>
          <w:szCs w:val="27"/>
          <w:lang w:val="pt-PT" w:eastAsia="es-UY"/>
          <w14:ligatures w14:val="none"/>
        </w:rPr>
        <w:t> Gilmar Mendes</w:t>
      </w:r>
      <w:r w:rsidRPr="000D18A7">
        <w:rPr>
          <w:rFonts w:ascii="Arial" w:eastAsia="Times New Roman" w:hAnsi="Arial" w:cs="Arial"/>
          <w:color w:val="666666"/>
          <w:kern w:val="0"/>
          <w:sz w:val="27"/>
          <w:szCs w:val="27"/>
          <w:lang w:val="pt-PT" w:eastAsia="es-UY"/>
          <w14:ligatures w14:val="none"/>
        </w:rPr>
        <w:t> com essa imoral mesa de negociação, implica em concordar com o </w:t>
      </w:r>
      <w:r w:rsidRPr="000D18A7">
        <w:rPr>
          <w:rFonts w:ascii="Arial" w:eastAsia="Times New Roman" w:hAnsi="Arial" w:cs="Arial"/>
          <w:b/>
          <w:bCs/>
          <w:color w:val="666666"/>
          <w:kern w:val="0"/>
          <w:sz w:val="27"/>
          <w:szCs w:val="27"/>
          <w:lang w:val="pt-PT" w:eastAsia="es-UY"/>
          <w14:ligatures w14:val="none"/>
        </w:rPr>
        <w:t>extermínio dos povos originários</w:t>
      </w:r>
      <w:r w:rsidRPr="000D18A7">
        <w:rPr>
          <w:rFonts w:ascii="Arial" w:eastAsia="Times New Roman" w:hAnsi="Arial" w:cs="Arial"/>
          <w:color w:val="666666"/>
          <w:kern w:val="0"/>
          <w:sz w:val="27"/>
          <w:szCs w:val="27"/>
          <w:lang w:val="pt-PT" w:eastAsia="es-UY"/>
          <w14:ligatures w14:val="none"/>
        </w:rPr>
        <w:t>.</w:t>
      </w:r>
    </w:p>
    <w:p w14:paraId="5246D87E" w14:textId="77777777" w:rsidR="000D18A7" w:rsidRPr="000D18A7" w:rsidRDefault="000D18A7" w:rsidP="000D18A7">
      <w:pPr>
        <w:spacing w:after="0" w:line="240" w:lineRule="auto"/>
        <w:jc w:val="both"/>
        <w:rPr>
          <w:rFonts w:ascii="Arial" w:eastAsia="Times New Roman" w:hAnsi="Arial" w:cs="Arial"/>
          <w:color w:val="666666"/>
          <w:kern w:val="0"/>
          <w:sz w:val="27"/>
          <w:szCs w:val="27"/>
          <w:lang w:val="pt-PT" w:eastAsia="es-UY"/>
          <w14:ligatures w14:val="none"/>
        </w:rPr>
      </w:pPr>
      <w:r w:rsidRPr="000D18A7">
        <w:rPr>
          <w:rFonts w:ascii="Arial" w:eastAsia="Times New Roman" w:hAnsi="Arial" w:cs="Arial"/>
          <w:color w:val="666666"/>
          <w:kern w:val="0"/>
          <w:sz w:val="27"/>
          <w:szCs w:val="27"/>
          <w:lang w:val="pt-PT" w:eastAsia="es-UY"/>
          <w14:ligatures w14:val="none"/>
        </w:rPr>
        <w:t>Se o presidente</w:t>
      </w:r>
      <w:r w:rsidRPr="000D18A7">
        <w:rPr>
          <w:rFonts w:ascii="Arial" w:eastAsia="Times New Roman" w:hAnsi="Arial" w:cs="Arial"/>
          <w:b/>
          <w:bCs/>
          <w:color w:val="666666"/>
          <w:kern w:val="0"/>
          <w:sz w:val="27"/>
          <w:szCs w:val="27"/>
          <w:lang w:val="pt-PT" w:eastAsia="es-UY"/>
          <w14:ligatures w14:val="none"/>
        </w:rPr>
        <w:t> Lula</w:t>
      </w:r>
      <w:r w:rsidRPr="000D18A7">
        <w:rPr>
          <w:rFonts w:ascii="Arial" w:eastAsia="Times New Roman" w:hAnsi="Arial" w:cs="Arial"/>
          <w:color w:val="666666"/>
          <w:kern w:val="0"/>
          <w:sz w:val="27"/>
          <w:szCs w:val="27"/>
          <w:lang w:val="pt-PT" w:eastAsia="es-UY"/>
          <w14:ligatures w14:val="none"/>
        </w:rPr>
        <w:t> e seus líderes no Congresso estão do lado dos indígenas como dizem, devem agir sem meias palavras ou atitudes dúbias. Querer agradar produtores rurais que assassinam lideranças</w:t>
      </w:r>
      <w:r w:rsidRPr="000D18A7">
        <w:rPr>
          <w:rFonts w:ascii="Arial" w:eastAsia="Times New Roman" w:hAnsi="Arial" w:cs="Arial"/>
          <w:b/>
          <w:bCs/>
          <w:color w:val="666666"/>
          <w:kern w:val="0"/>
          <w:sz w:val="27"/>
          <w:szCs w:val="27"/>
          <w:lang w:val="pt-PT" w:eastAsia="es-UY"/>
          <w14:ligatures w14:val="none"/>
        </w:rPr>
        <w:t> Guarani Kaiowá</w:t>
      </w:r>
      <w:r w:rsidRPr="000D18A7">
        <w:rPr>
          <w:rFonts w:ascii="Arial" w:eastAsia="Times New Roman" w:hAnsi="Arial" w:cs="Arial"/>
          <w:color w:val="666666"/>
          <w:kern w:val="0"/>
          <w:sz w:val="27"/>
          <w:szCs w:val="27"/>
          <w:lang w:val="pt-PT" w:eastAsia="es-UY"/>
          <w14:ligatures w14:val="none"/>
        </w:rPr>
        <w:t> é totalmente contrário à fronteira da civilidade. O tempo dos discursos bonitos e dos gestos simbólicos terminou. Como disse o atual secretário-executivo do </w:t>
      </w:r>
      <w:hyperlink r:id="rId22" w:tgtFrame="_blank" w:history="1">
        <w:r w:rsidRPr="000D18A7">
          <w:rPr>
            <w:rFonts w:ascii="Arial" w:eastAsia="Times New Roman" w:hAnsi="Arial" w:cs="Arial"/>
            <w:color w:val="FC6B01"/>
            <w:kern w:val="0"/>
            <w:sz w:val="27"/>
            <w:szCs w:val="27"/>
            <w:u w:val="single"/>
            <w:lang w:val="pt-PT" w:eastAsia="es-UY"/>
            <w14:ligatures w14:val="none"/>
          </w:rPr>
          <w:t>Cimi</w:t>
        </w:r>
      </w:hyperlink>
      <w:r w:rsidRPr="000D18A7">
        <w:rPr>
          <w:rFonts w:ascii="Arial" w:eastAsia="Times New Roman" w:hAnsi="Arial" w:cs="Arial"/>
          <w:color w:val="666666"/>
          <w:kern w:val="0"/>
          <w:sz w:val="27"/>
          <w:szCs w:val="27"/>
          <w:lang w:val="pt-PT" w:eastAsia="es-UY"/>
          <w14:ligatures w14:val="none"/>
        </w:rPr>
        <w:t>, “sem Demarcação, não há Democracia”! Que o atual governo passe para a história como aquele que demarcou com clareza os limites entre a barbárie e o Estado Democrático de Direito.</w:t>
      </w:r>
    </w:p>
    <w:p w14:paraId="4586E5B3" w14:textId="77777777" w:rsidR="00926044" w:rsidRDefault="00926044" w:rsidP="000D18A7">
      <w:pPr>
        <w:jc w:val="both"/>
        <w:rPr>
          <w:lang w:val="pt-PT"/>
        </w:rPr>
      </w:pPr>
    </w:p>
    <w:p w14:paraId="3AACFD8E" w14:textId="77777777" w:rsidR="000D18A7" w:rsidRPr="000D18A7" w:rsidRDefault="000D18A7" w:rsidP="000D18A7">
      <w:pPr>
        <w:spacing w:after="0" w:line="240" w:lineRule="auto"/>
        <w:outlineLvl w:val="1"/>
        <w:rPr>
          <w:rFonts w:ascii="Arial" w:eastAsia="Times New Roman" w:hAnsi="Arial" w:cs="Arial"/>
          <w:b/>
          <w:bCs/>
          <w:color w:val="000000"/>
          <w:kern w:val="0"/>
          <w:sz w:val="36"/>
          <w:szCs w:val="36"/>
          <w:lang w:val="pt-PT" w:eastAsia="es-UY"/>
          <w14:ligatures w14:val="none"/>
        </w:rPr>
      </w:pPr>
      <w:r w:rsidRPr="000D18A7">
        <w:rPr>
          <w:rFonts w:ascii="Arial" w:eastAsia="Times New Roman" w:hAnsi="Arial" w:cs="Arial"/>
          <w:b/>
          <w:bCs/>
          <w:color w:val="000000"/>
          <w:kern w:val="0"/>
          <w:sz w:val="36"/>
          <w:szCs w:val="36"/>
          <w:lang w:val="pt-PT" w:eastAsia="es-UY"/>
          <w14:ligatures w14:val="none"/>
        </w:rPr>
        <w:lastRenderedPageBreak/>
        <w:t>Notas</w:t>
      </w:r>
    </w:p>
    <w:p w14:paraId="198812D2" w14:textId="77777777" w:rsidR="000D18A7" w:rsidRPr="000D18A7" w:rsidRDefault="000D18A7" w:rsidP="000D18A7">
      <w:pPr>
        <w:spacing w:after="0" w:line="240" w:lineRule="auto"/>
        <w:rPr>
          <w:rFonts w:ascii="Arial" w:eastAsia="Times New Roman" w:hAnsi="Arial" w:cs="Arial"/>
          <w:color w:val="666666"/>
          <w:kern w:val="0"/>
          <w:sz w:val="27"/>
          <w:szCs w:val="27"/>
          <w:lang w:val="pt-PT" w:eastAsia="es-UY"/>
          <w14:ligatures w14:val="none"/>
        </w:rPr>
      </w:pPr>
      <w:hyperlink r:id="rId23" w:anchor="_ftnref1" w:history="1">
        <w:r w:rsidRPr="000D18A7">
          <w:rPr>
            <w:rFonts w:ascii="Arial" w:eastAsia="Times New Roman" w:hAnsi="Arial" w:cs="Arial"/>
            <w:color w:val="FC6B01"/>
            <w:kern w:val="0"/>
            <w:sz w:val="27"/>
            <w:szCs w:val="27"/>
            <w:u w:val="single"/>
            <w:lang w:val="pt-PT" w:eastAsia="es-UY"/>
            <w14:ligatures w14:val="none"/>
          </w:rPr>
          <w:t>[1]</w:t>
        </w:r>
      </w:hyperlink>
      <w:r w:rsidRPr="000D18A7">
        <w:rPr>
          <w:rFonts w:ascii="Arial" w:eastAsia="Times New Roman" w:hAnsi="Arial" w:cs="Arial"/>
          <w:color w:val="666666"/>
          <w:kern w:val="0"/>
          <w:sz w:val="27"/>
          <w:szCs w:val="27"/>
          <w:lang w:val="pt-PT" w:eastAsia="es-UY"/>
          <w14:ligatures w14:val="none"/>
        </w:rPr>
        <w:t> SUESS, Paulo. </w:t>
      </w:r>
      <w:r w:rsidRPr="000D18A7">
        <w:rPr>
          <w:rFonts w:ascii="Arial" w:eastAsia="Times New Roman" w:hAnsi="Arial" w:cs="Arial"/>
          <w:i/>
          <w:iCs/>
          <w:color w:val="666666"/>
          <w:kern w:val="0"/>
          <w:sz w:val="27"/>
          <w:szCs w:val="27"/>
          <w:lang w:val="pt-PT" w:eastAsia="es-UY"/>
          <w14:ligatures w14:val="none"/>
        </w:rPr>
        <w:t>A conquista espiritual da América espanhola</w:t>
      </w:r>
      <w:r w:rsidRPr="000D18A7">
        <w:rPr>
          <w:rFonts w:ascii="Arial" w:eastAsia="Times New Roman" w:hAnsi="Arial" w:cs="Arial"/>
          <w:color w:val="666666"/>
          <w:kern w:val="0"/>
          <w:sz w:val="27"/>
          <w:szCs w:val="27"/>
          <w:lang w:val="pt-PT" w:eastAsia="es-UY"/>
          <w14:ligatures w14:val="none"/>
        </w:rPr>
        <w:t>. Petrópolis: Vozes, 2024. p. 11.</w:t>
      </w:r>
    </w:p>
    <w:p w14:paraId="1446BACA" w14:textId="77777777" w:rsidR="000D18A7" w:rsidRPr="000D18A7" w:rsidRDefault="000D18A7" w:rsidP="000D18A7">
      <w:pPr>
        <w:spacing w:after="0" w:line="240" w:lineRule="auto"/>
        <w:rPr>
          <w:rFonts w:ascii="Arial" w:eastAsia="Times New Roman" w:hAnsi="Arial" w:cs="Arial"/>
          <w:color w:val="666666"/>
          <w:kern w:val="0"/>
          <w:sz w:val="27"/>
          <w:szCs w:val="27"/>
          <w:lang w:val="pt-PT" w:eastAsia="es-UY"/>
          <w14:ligatures w14:val="none"/>
        </w:rPr>
      </w:pPr>
      <w:hyperlink r:id="rId24" w:anchor="_ftnref2" w:history="1">
        <w:r w:rsidRPr="000D18A7">
          <w:rPr>
            <w:rFonts w:ascii="Arial" w:eastAsia="Times New Roman" w:hAnsi="Arial" w:cs="Arial"/>
            <w:color w:val="FC6B01"/>
            <w:kern w:val="0"/>
            <w:sz w:val="27"/>
            <w:szCs w:val="27"/>
            <w:u w:val="single"/>
            <w:lang w:val="pt-PT" w:eastAsia="es-UY"/>
            <w14:ligatures w14:val="none"/>
          </w:rPr>
          <w:t>[2]</w:t>
        </w:r>
      </w:hyperlink>
      <w:r w:rsidRPr="000D18A7">
        <w:rPr>
          <w:rFonts w:ascii="Arial" w:eastAsia="Times New Roman" w:hAnsi="Arial" w:cs="Arial"/>
          <w:color w:val="666666"/>
          <w:kern w:val="0"/>
          <w:sz w:val="27"/>
          <w:szCs w:val="27"/>
          <w:lang w:val="pt-PT" w:eastAsia="es-UY"/>
          <w14:ligatures w14:val="none"/>
        </w:rPr>
        <w:t> </w:t>
      </w:r>
      <w:r w:rsidRPr="000D18A7">
        <w:rPr>
          <w:rFonts w:ascii="Arial" w:eastAsia="Times New Roman" w:hAnsi="Arial" w:cs="Arial"/>
          <w:i/>
          <w:iCs/>
          <w:color w:val="666666"/>
          <w:kern w:val="0"/>
          <w:sz w:val="27"/>
          <w:szCs w:val="27"/>
          <w:lang w:val="pt-PT" w:eastAsia="es-UY"/>
          <w14:ligatures w14:val="none"/>
        </w:rPr>
        <w:t>Idem</w:t>
      </w:r>
      <w:r w:rsidRPr="000D18A7">
        <w:rPr>
          <w:rFonts w:ascii="Arial" w:eastAsia="Times New Roman" w:hAnsi="Arial" w:cs="Arial"/>
          <w:color w:val="666666"/>
          <w:kern w:val="0"/>
          <w:sz w:val="27"/>
          <w:szCs w:val="27"/>
          <w:lang w:val="pt-PT" w:eastAsia="es-UY"/>
          <w14:ligatures w14:val="none"/>
        </w:rPr>
        <w:t>, </w:t>
      </w:r>
      <w:r w:rsidRPr="000D18A7">
        <w:rPr>
          <w:rFonts w:ascii="Arial" w:eastAsia="Times New Roman" w:hAnsi="Arial" w:cs="Arial"/>
          <w:i/>
          <w:iCs/>
          <w:color w:val="666666"/>
          <w:kern w:val="0"/>
          <w:sz w:val="27"/>
          <w:szCs w:val="27"/>
          <w:lang w:val="pt-PT" w:eastAsia="es-UY"/>
          <w14:ligatures w14:val="none"/>
        </w:rPr>
        <w:t>ibidem</w:t>
      </w:r>
      <w:r w:rsidRPr="000D18A7">
        <w:rPr>
          <w:rFonts w:ascii="Arial" w:eastAsia="Times New Roman" w:hAnsi="Arial" w:cs="Arial"/>
          <w:color w:val="666666"/>
          <w:kern w:val="0"/>
          <w:sz w:val="27"/>
          <w:szCs w:val="27"/>
          <w:lang w:val="pt-PT" w:eastAsia="es-UY"/>
          <w14:ligatures w14:val="none"/>
        </w:rPr>
        <w:t>. p. 15.</w:t>
      </w:r>
    </w:p>
    <w:p w14:paraId="78788935" w14:textId="77777777" w:rsidR="000D18A7" w:rsidRPr="000D18A7" w:rsidRDefault="000D18A7" w:rsidP="000D18A7">
      <w:pPr>
        <w:spacing w:after="0" w:line="240" w:lineRule="auto"/>
        <w:rPr>
          <w:rFonts w:ascii="Arial" w:eastAsia="Times New Roman" w:hAnsi="Arial" w:cs="Arial"/>
          <w:color w:val="666666"/>
          <w:kern w:val="0"/>
          <w:sz w:val="27"/>
          <w:szCs w:val="27"/>
          <w:lang w:val="pt-PT" w:eastAsia="es-UY"/>
          <w14:ligatures w14:val="none"/>
        </w:rPr>
      </w:pPr>
      <w:hyperlink r:id="rId25" w:anchor="_ftnref3" w:history="1">
        <w:r w:rsidRPr="000D18A7">
          <w:rPr>
            <w:rFonts w:ascii="Arial" w:eastAsia="Times New Roman" w:hAnsi="Arial" w:cs="Arial"/>
            <w:color w:val="FC6B01"/>
            <w:kern w:val="0"/>
            <w:sz w:val="27"/>
            <w:szCs w:val="27"/>
            <w:u w:val="single"/>
            <w:lang w:val="pt-PT" w:eastAsia="es-UY"/>
            <w14:ligatures w14:val="none"/>
          </w:rPr>
          <w:t>[3]</w:t>
        </w:r>
      </w:hyperlink>
      <w:r w:rsidRPr="000D18A7">
        <w:rPr>
          <w:rFonts w:ascii="Arial" w:eastAsia="Times New Roman" w:hAnsi="Arial" w:cs="Arial"/>
          <w:color w:val="666666"/>
          <w:kern w:val="0"/>
          <w:sz w:val="27"/>
          <w:szCs w:val="27"/>
          <w:lang w:val="pt-PT" w:eastAsia="es-UY"/>
          <w14:ligatures w14:val="none"/>
        </w:rPr>
        <w:t> </w:t>
      </w:r>
      <w:r w:rsidRPr="000D18A7">
        <w:rPr>
          <w:rFonts w:ascii="Arial" w:eastAsia="Times New Roman" w:hAnsi="Arial" w:cs="Arial"/>
          <w:i/>
          <w:iCs/>
          <w:color w:val="666666"/>
          <w:kern w:val="0"/>
          <w:sz w:val="27"/>
          <w:szCs w:val="27"/>
          <w:lang w:val="pt-PT" w:eastAsia="es-UY"/>
          <w14:ligatures w14:val="none"/>
        </w:rPr>
        <w:t>Ibidem</w:t>
      </w:r>
      <w:r w:rsidRPr="000D18A7">
        <w:rPr>
          <w:rFonts w:ascii="Arial" w:eastAsia="Times New Roman" w:hAnsi="Arial" w:cs="Arial"/>
          <w:color w:val="666666"/>
          <w:kern w:val="0"/>
          <w:sz w:val="27"/>
          <w:szCs w:val="27"/>
          <w:lang w:val="pt-PT" w:eastAsia="es-UY"/>
          <w14:ligatures w14:val="none"/>
        </w:rPr>
        <w:t>, p. 15.</w:t>
      </w:r>
    </w:p>
    <w:p w14:paraId="4334AE70" w14:textId="77777777" w:rsidR="000D18A7" w:rsidRPr="000D18A7" w:rsidRDefault="000D18A7" w:rsidP="000D18A7">
      <w:pPr>
        <w:spacing w:after="0" w:line="240" w:lineRule="auto"/>
        <w:rPr>
          <w:rFonts w:ascii="Arial" w:eastAsia="Times New Roman" w:hAnsi="Arial" w:cs="Arial"/>
          <w:color w:val="666666"/>
          <w:kern w:val="0"/>
          <w:sz w:val="27"/>
          <w:szCs w:val="27"/>
          <w:lang w:val="pt-PT" w:eastAsia="es-UY"/>
          <w14:ligatures w14:val="none"/>
        </w:rPr>
      </w:pPr>
      <w:hyperlink r:id="rId26" w:anchor="_ftnref4" w:history="1">
        <w:r w:rsidRPr="000D18A7">
          <w:rPr>
            <w:rFonts w:ascii="Arial" w:eastAsia="Times New Roman" w:hAnsi="Arial" w:cs="Arial"/>
            <w:color w:val="FC6B01"/>
            <w:kern w:val="0"/>
            <w:sz w:val="27"/>
            <w:szCs w:val="27"/>
            <w:u w:val="single"/>
            <w:lang w:val="pt-PT" w:eastAsia="es-UY"/>
            <w14:ligatures w14:val="none"/>
          </w:rPr>
          <w:t>[4]</w:t>
        </w:r>
      </w:hyperlink>
      <w:r w:rsidRPr="000D18A7">
        <w:rPr>
          <w:rFonts w:ascii="Arial" w:eastAsia="Times New Roman" w:hAnsi="Arial" w:cs="Arial"/>
          <w:color w:val="666666"/>
          <w:kern w:val="0"/>
          <w:sz w:val="27"/>
          <w:szCs w:val="27"/>
          <w:lang w:val="pt-PT" w:eastAsia="es-UY"/>
          <w14:ligatures w14:val="none"/>
        </w:rPr>
        <w:t> FERNÁNDEZ, Luis Ventura. Violência contra os povos indígenas persiste diante da inércia e da cumplicidade do Estado. </w:t>
      </w:r>
      <w:r w:rsidRPr="000D18A7">
        <w:rPr>
          <w:rFonts w:ascii="Arial" w:eastAsia="Times New Roman" w:hAnsi="Arial" w:cs="Arial"/>
          <w:i/>
          <w:iCs/>
          <w:color w:val="666666"/>
          <w:kern w:val="0"/>
          <w:sz w:val="27"/>
          <w:szCs w:val="27"/>
          <w:lang w:val="pt-PT" w:eastAsia="es-UY"/>
          <w14:ligatures w14:val="none"/>
        </w:rPr>
        <w:t>Relatório de Violência Contra os Povos Indígenas no Brasil – Dados 2023</w:t>
      </w:r>
      <w:r w:rsidRPr="000D18A7">
        <w:rPr>
          <w:rFonts w:ascii="Arial" w:eastAsia="Times New Roman" w:hAnsi="Arial" w:cs="Arial"/>
          <w:color w:val="666666"/>
          <w:kern w:val="0"/>
          <w:sz w:val="27"/>
          <w:szCs w:val="27"/>
          <w:lang w:val="pt-PT" w:eastAsia="es-UY"/>
          <w14:ligatures w14:val="none"/>
        </w:rPr>
        <w:t>. p. 16.</w:t>
      </w:r>
    </w:p>
    <w:p w14:paraId="70B4B4B2" w14:textId="77777777" w:rsidR="000D18A7" w:rsidRDefault="000D18A7" w:rsidP="000D18A7">
      <w:pPr>
        <w:jc w:val="both"/>
        <w:rPr>
          <w:lang w:val="pt-PT"/>
        </w:rPr>
      </w:pPr>
    </w:p>
    <w:p w14:paraId="57C8ED6F" w14:textId="7FDFB162" w:rsidR="000D18A7" w:rsidRDefault="000D18A7" w:rsidP="000D18A7">
      <w:pPr>
        <w:jc w:val="both"/>
        <w:rPr>
          <w:lang w:val="pt-PT"/>
        </w:rPr>
      </w:pPr>
      <w:hyperlink r:id="rId27" w:history="1">
        <w:r w:rsidRPr="00E52840">
          <w:rPr>
            <w:rStyle w:val="Hipervnculo"/>
            <w:lang w:val="pt-PT"/>
          </w:rPr>
          <w:t>https://www.ihu.unisinos.br/642096-massacre-guarani-kaiowa-e-o-direito-de-r-existir-violencia-e-omissao-do-estado-artigo-de-gabriel-vilardi</w:t>
        </w:r>
      </w:hyperlink>
    </w:p>
    <w:p w14:paraId="7C662409" w14:textId="77777777" w:rsidR="000D18A7" w:rsidRPr="000D18A7" w:rsidRDefault="000D18A7" w:rsidP="000D18A7">
      <w:pPr>
        <w:jc w:val="both"/>
        <w:rPr>
          <w:lang w:val="pt-PT"/>
        </w:rPr>
      </w:pPr>
    </w:p>
    <w:sectPr w:rsidR="000D18A7" w:rsidRPr="000D18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8A7"/>
    <w:rsid w:val="000D18A7"/>
    <w:rsid w:val="00926044"/>
    <w:rsid w:val="00BC0C7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1A502"/>
  <w15:chartTrackingRefBased/>
  <w15:docId w15:val="{D29E9927-9D3D-4644-9500-C7DA701E4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1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1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18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18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18A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18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18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18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18A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18A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18A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18A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18A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18A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18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18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18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18A7"/>
    <w:rPr>
      <w:rFonts w:eastAsiaTheme="majorEastAsia" w:cstheme="majorBidi"/>
      <w:color w:val="272727" w:themeColor="text1" w:themeTint="D8"/>
    </w:rPr>
  </w:style>
  <w:style w:type="paragraph" w:styleId="Ttulo">
    <w:name w:val="Title"/>
    <w:basedOn w:val="Normal"/>
    <w:next w:val="Normal"/>
    <w:link w:val="TtuloCar"/>
    <w:uiPriority w:val="10"/>
    <w:qFormat/>
    <w:rsid w:val="000D1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18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18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18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18A7"/>
    <w:pPr>
      <w:spacing w:before="160"/>
      <w:jc w:val="center"/>
    </w:pPr>
    <w:rPr>
      <w:i/>
      <w:iCs/>
      <w:color w:val="404040" w:themeColor="text1" w:themeTint="BF"/>
    </w:rPr>
  </w:style>
  <w:style w:type="character" w:customStyle="1" w:styleId="CitaCar">
    <w:name w:val="Cita Car"/>
    <w:basedOn w:val="Fuentedeprrafopredeter"/>
    <w:link w:val="Cita"/>
    <w:uiPriority w:val="29"/>
    <w:rsid w:val="000D18A7"/>
    <w:rPr>
      <w:i/>
      <w:iCs/>
      <w:color w:val="404040" w:themeColor="text1" w:themeTint="BF"/>
    </w:rPr>
  </w:style>
  <w:style w:type="paragraph" w:styleId="Prrafodelista">
    <w:name w:val="List Paragraph"/>
    <w:basedOn w:val="Normal"/>
    <w:uiPriority w:val="34"/>
    <w:qFormat/>
    <w:rsid w:val="000D18A7"/>
    <w:pPr>
      <w:ind w:left="720"/>
      <w:contextualSpacing/>
    </w:pPr>
  </w:style>
  <w:style w:type="character" w:styleId="nfasisintenso">
    <w:name w:val="Intense Emphasis"/>
    <w:basedOn w:val="Fuentedeprrafopredeter"/>
    <w:uiPriority w:val="21"/>
    <w:qFormat/>
    <w:rsid w:val="000D18A7"/>
    <w:rPr>
      <w:i/>
      <w:iCs/>
      <w:color w:val="0F4761" w:themeColor="accent1" w:themeShade="BF"/>
    </w:rPr>
  </w:style>
  <w:style w:type="paragraph" w:styleId="Citadestacada">
    <w:name w:val="Intense Quote"/>
    <w:basedOn w:val="Normal"/>
    <w:next w:val="Normal"/>
    <w:link w:val="CitadestacadaCar"/>
    <w:uiPriority w:val="30"/>
    <w:qFormat/>
    <w:rsid w:val="000D1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18A7"/>
    <w:rPr>
      <w:i/>
      <w:iCs/>
      <w:color w:val="0F4761" w:themeColor="accent1" w:themeShade="BF"/>
    </w:rPr>
  </w:style>
  <w:style w:type="character" w:styleId="Referenciaintensa">
    <w:name w:val="Intense Reference"/>
    <w:basedOn w:val="Fuentedeprrafopredeter"/>
    <w:uiPriority w:val="32"/>
    <w:qFormat/>
    <w:rsid w:val="000D18A7"/>
    <w:rPr>
      <w:b/>
      <w:bCs/>
      <w:smallCaps/>
      <w:color w:val="0F4761" w:themeColor="accent1" w:themeShade="BF"/>
      <w:spacing w:val="5"/>
    </w:rPr>
  </w:style>
  <w:style w:type="character" w:styleId="Hipervnculo">
    <w:name w:val="Hyperlink"/>
    <w:basedOn w:val="Fuentedeprrafopredeter"/>
    <w:uiPriority w:val="99"/>
    <w:unhideWhenUsed/>
    <w:rsid w:val="000D18A7"/>
    <w:rPr>
      <w:color w:val="467886" w:themeColor="hyperlink"/>
      <w:u w:val="single"/>
    </w:rPr>
  </w:style>
  <w:style w:type="character" w:styleId="Mencinsinresolver">
    <w:name w:val="Unresolved Mention"/>
    <w:basedOn w:val="Fuentedeprrafopredeter"/>
    <w:uiPriority w:val="99"/>
    <w:semiHidden/>
    <w:unhideWhenUsed/>
    <w:rsid w:val="000D18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9158133">
      <w:bodyDiv w:val="1"/>
      <w:marLeft w:val="0"/>
      <w:marRight w:val="0"/>
      <w:marTop w:val="0"/>
      <w:marBottom w:val="0"/>
      <w:divBdr>
        <w:top w:val="none" w:sz="0" w:space="0" w:color="auto"/>
        <w:left w:val="none" w:sz="0" w:space="0" w:color="auto"/>
        <w:bottom w:val="none" w:sz="0" w:space="0" w:color="auto"/>
        <w:right w:val="none" w:sz="0" w:space="0" w:color="auto"/>
      </w:divBdr>
      <w:divsChild>
        <w:div w:id="297733267">
          <w:marLeft w:val="0"/>
          <w:marRight w:val="0"/>
          <w:marTop w:val="0"/>
          <w:marBottom w:val="0"/>
          <w:divBdr>
            <w:top w:val="none" w:sz="0" w:space="0" w:color="auto"/>
            <w:left w:val="none" w:sz="0" w:space="0" w:color="auto"/>
            <w:bottom w:val="none" w:sz="0" w:space="0" w:color="auto"/>
            <w:right w:val="none" w:sz="0" w:space="0" w:color="auto"/>
          </w:divBdr>
        </w:div>
        <w:div w:id="2019576234">
          <w:marLeft w:val="0"/>
          <w:marRight w:val="0"/>
          <w:marTop w:val="0"/>
          <w:marBottom w:val="0"/>
          <w:divBdr>
            <w:top w:val="none" w:sz="0" w:space="0" w:color="auto"/>
            <w:left w:val="none" w:sz="0" w:space="0" w:color="auto"/>
            <w:bottom w:val="none" w:sz="0" w:space="0" w:color="auto"/>
            <w:right w:val="none" w:sz="0" w:space="0" w:color="auto"/>
          </w:divBdr>
        </w:div>
        <w:div w:id="470831475">
          <w:marLeft w:val="0"/>
          <w:marRight w:val="0"/>
          <w:marTop w:val="450"/>
          <w:marBottom w:val="450"/>
          <w:divBdr>
            <w:top w:val="single" w:sz="12" w:space="11" w:color="DDDDDD"/>
            <w:left w:val="none" w:sz="0" w:space="0" w:color="auto"/>
            <w:bottom w:val="single" w:sz="12" w:space="11" w:color="DDDDDD"/>
            <w:right w:val="none" w:sz="0" w:space="0" w:color="auto"/>
          </w:divBdr>
        </w:div>
        <w:div w:id="1020544066">
          <w:marLeft w:val="0"/>
          <w:marRight w:val="0"/>
          <w:marTop w:val="450"/>
          <w:marBottom w:val="450"/>
          <w:divBdr>
            <w:top w:val="single" w:sz="12" w:space="11" w:color="DDDDDD"/>
            <w:left w:val="none" w:sz="0" w:space="0" w:color="auto"/>
            <w:bottom w:val="single" w:sz="12" w:space="11" w:color="DDDDDD"/>
            <w:right w:val="none" w:sz="0" w:space="0" w:color="auto"/>
          </w:divBdr>
        </w:div>
        <w:div w:id="861281703">
          <w:marLeft w:val="0"/>
          <w:marRight w:val="0"/>
          <w:marTop w:val="450"/>
          <w:marBottom w:val="450"/>
          <w:divBdr>
            <w:top w:val="single" w:sz="12" w:space="11" w:color="DDDDDD"/>
            <w:left w:val="none" w:sz="0" w:space="0" w:color="auto"/>
            <w:bottom w:val="single" w:sz="12" w:space="11" w:color="DDDDDD"/>
            <w:right w:val="none" w:sz="0" w:space="0" w:color="auto"/>
          </w:divBdr>
        </w:div>
      </w:divsChild>
    </w:div>
    <w:div w:id="113668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42065-06-08-2024-x-tuitadas" TargetMode="External"/><Relationship Id="rId13" Type="http://schemas.openxmlformats.org/officeDocument/2006/relationships/hyperlink" Target="https://www.ihu.unisinos.br/categorias/188-noticias-2018/575404-o-bem-viver-ancestral-uma-cosmovisao-indigena" TargetMode="External"/><Relationship Id="rId18" Type="http://schemas.openxmlformats.org/officeDocument/2006/relationships/hyperlink" Target="https://www.ihu.unisinos.br/641442-cimi-lanca-relatorio-de-violencia-contra-povos-indigenas-no-brasil-com-dados-de-2023-e-retrato-do-primeiro-ano-do-governo-lula" TargetMode="External"/><Relationship Id="rId26" Type="http://schemas.openxmlformats.org/officeDocument/2006/relationships/hyperlink" Target="https://www.ihu.unisinos.br/642096-massacre-guarani-kaiowa-e-o-direito-de-r-existir-violencia-e-omissao-do-estado-artigo-de-gabriel-vilardi" TargetMode="External"/><Relationship Id="rId3" Type="http://schemas.openxmlformats.org/officeDocument/2006/relationships/webSettings" Target="webSettings.xml"/><Relationship Id="rId21" Type="http://schemas.openxmlformats.org/officeDocument/2006/relationships/hyperlink" Target="https://www.ihu.unisinos.br/categorias/638538-se-eles-nao-nos-deixam-sonhar-a-gente-tambem-nao-os-deixa-dormir-artigo-de-roberto-liebgott-e-ivan-cesar-cima" TargetMode="External"/><Relationship Id="rId7" Type="http://schemas.openxmlformats.org/officeDocument/2006/relationships/hyperlink" Target="https://www.ihu.unisinos.br/642052-indigenas-ameacam-abandonar-conciliacao-caso-lei-do-marco-temporal-siga-em-debate" TargetMode="External"/><Relationship Id="rId12" Type="http://schemas.openxmlformats.org/officeDocument/2006/relationships/hyperlink" Target="https://www.ihu.unisinos.br/642051-fazendeiros-fazem-dois-ataques-armados-e-ferem-11-indigenas-no-ms-com-certeza-vai-acontecer-mais-alerta-lideranca" TargetMode="External"/><Relationship Id="rId17" Type="http://schemas.openxmlformats.org/officeDocument/2006/relationships/hyperlink" Target="https://www.ihu.unisinos.br/categorias/638525-povos-indigenas-em-debate-no-ihu-do-exterminio-a-resistencia" TargetMode="External"/><Relationship Id="rId25" Type="http://schemas.openxmlformats.org/officeDocument/2006/relationships/hyperlink" Target="https://www.ihu.unisinos.br/642096-massacre-guarani-kaiowa-e-o-direito-de-r-existir-violencia-e-omissao-do-estado-artigo-de-gabriel-vilardi" TargetMode="External"/><Relationship Id="rId2" Type="http://schemas.openxmlformats.org/officeDocument/2006/relationships/settings" Target="settings.xml"/><Relationship Id="rId16" Type="http://schemas.openxmlformats.org/officeDocument/2006/relationships/hyperlink" Target="https://www.ihu.unisinos.br/641249-ruralistas-avancam-com-a-pec-48-o-marco-da-morte-no-senado" TargetMode="External"/><Relationship Id="rId20" Type="http://schemas.openxmlformats.org/officeDocument/2006/relationships/hyperlink" Target="https://www.ihu.unisinos.br/Garimpo%20e%20barb%C3%A1rie:%20uma%20hist%C3%B3ria%20de%20genoc%C3%ADdio%20e%20de%20luta%20dos%20Yanomami.%20Artigo%20de%20Gabriel%20Vilardi"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642049-enquanto-stf-tenta-conciliar-o-inconstitucional-marco-temporal-ataques-aos-guarani-kaiowa-continuam" TargetMode="External"/><Relationship Id="rId11" Type="http://schemas.openxmlformats.org/officeDocument/2006/relationships/hyperlink" Target="https://www.ihu.unisinos.br/642096-massacre-guarani-kaiowa-e-o-direito-de-r-existir-violencia-e-omissao-do-estado-artigo-de-gabriel-vilardi" TargetMode="External"/><Relationship Id="rId24" Type="http://schemas.openxmlformats.org/officeDocument/2006/relationships/hyperlink" Target="https://www.ihu.unisinos.br/642096-massacre-guarani-kaiowa-e-o-direito-de-r-existir-violencia-e-omissao-do-estado-artigo-de-gabriel-vilardi" TargetMode="External"/><Relationship Id="rId5" Type="http://schemas.openxmlformats.org/officeDocument/2006/relationships/hyperlink" Target="https://www.ihu.unisinos.br/categorias/639362-egydio-schwade-e-preciso-ir-ao-encontro-das-consciencias-dos-latifundiarios-e-nao-de-sua-ganancia-historica-carta-a-gilmar-mendes" TargetMode="External"/><Relationship Id="rId15" Type="http://schemas.openxmlformats.org/officeDocument/2006/relationships/hyperlink" Target="https://www.ihu.unisinos.br/categorias/635466-a-certeza-e-as-duvidas-sobre-o-novo-capitulo-do-marco-temporal-no-stf" TargetMode="External"/><Relationship Id="rId23" Type="http://schemas.openxmlformats.org/officeDocument/2006/relationships/hyperlink" Target="https://www.ihu.unisinos.br/642096-massacre-guarani-kaiowa-e-o-direito-de-r-existir-violencia-e-omissao-do-estado-artigo-de-gabriel-vilardi" TargetMode="External"/><Relationship Id="rId28" Type="http://schemas.openxmlformats.org/officeDocument/2006/relationships/fontTable" Target="fontTable.xml"/><Relationship Id="rId10" Type="http://schemas.openxmlformats.org/officeDocument/2006/relationships/hyperlink" Target="https://www.ihu.unisinos.br/642096-massacre-guarani-kaiowa-e-o-direito-de-r-existir-violencia-e-omissao-do-estado-artigo-de-gabriel-vilardi" TargetMode="External"/><Relationship Id="rId19" Type="http://schemas.openxmlformats.org/officeDocument/2006/relationships/hyperlink" Target="https://www.ihu.unisinos.br/642096-massacre-guarani-kaiowa-e-o-direito-de-r-existir-violencia-e-omissao-do-estado-artigo-de-gabriel-vilardi" TargetMode="External"/><Relationship Id="rId4" Type="http://schemas.openxmlformats.org/officeDocument/2006/relationships/hyperlink" Target="https://www.ihu.unisinos.br/categorias/642002-inacio-de-loyola-e-o-peregrinar-por-uma-igreja-mais-humilde-servidora-e-sinodal-artigo-de-gabriel-vilardi" TargetMode="External"/><Relationship Id="rId9" Type="http://schemas.openxmlformats.org/officeDocument/2006/relationships/hyperlink" Target="https://www.ihu.unisinos.br/184-conferencistas/574733-prof-dr-paulos-suess" TargetMode="External"/><Relationship Id="rId14" Type="http://schemas.openxmlformats.org/officeDocument/2006/relationships/hyperlink" Target="https://www.ihu.unisinos.br/642096-massacre-guarani-kaiowa-e-o-direito-de-r-existir-violencia-e-omissao-do-estado-artigo-de-gabriel-vilardi" TargetMode="External"/><Relationship Id="rId22" Type="http://schemas.openxmlformats.org/officeDocument/2006/relationships/hyperlink" Target="https://www.ihu.unisinos.br/categorias/159-entrevistas/638807-brasil-indigena-em-perspectiva-historias-de-compromisso-e-dedicacao-entrevista-com-egydio-schwade-e-jussara-rezende" TargetMode="External"/><Relationship Id="rId27" Type="http://schemas.openxmlformats.org/officeDocument/2006/relationships/hyperlink" Target="https://www.ihu.unisinos.br/642096-massacre-guarani-kaiowa-e-o-direito-de-r-existir-violencia-e-omissao-do-estado-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2538</Words>
  <Characters>13962</Characters>
  <Application>Microsoft Office Word</Application>
  <DocSecurity>0</DocSecurity>
  <Lines>116</Lines>
  <Paragraphs>32</Paragraphs>
  <ScaleCrop>false</ScaleCrop>
  <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2024-08-07T13:34:00Z</dcterms:created>
  <dcterms:modified xsi:type="dcterms:W3CDTF">2024-08-07T13:45:00Z</dcterms:modified>
</cp:coreProperties>
</file>