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12610" w14:textId="77777777" w:rsidR="009234E2" w:rsidRPr="009234E2" w:rsidRDefault="009234E2" w:rsidP="009234E2">
      <w:pPr>
        <w:shd w:val="clear" w:color="auto" w:fill="FFCB9E"/>
        <w:spacing w:after="0" w:line="240" w:lineRule="auto"/>
        <w:outlineLvl w:val="1"/>
        <w:rPr>
          <w:rFonts w:ascii="Tahoma" w:eastAsia="Times New Roman" w:hAnsi="Tahoma" w:cs="Tahoma"/>
          <w:color w:val="483D34"/>
          <w:kern w:val="0"/>
          <w:sz w:val="29"/>
          <w:szCs w:val="29"/>
          <w:lang w:eastAsia="es-UY"/>
          <w14:ligatures w14:val="none"/>
        </w:rPr>
      </w:pPr>
      <w:r w:rsidRPr="009234E2">
        <w:rPr>
          <w:rFonts w:ascii="Tahoma" w:eastAsia="Times New Roman" w:hAnsi="Tahoma" w:cs="Tahoma"/>
          <w:color w:val="483D34"/>
          <w:kern w:val="0"/>
          <w:sz w:val="29"/>
          <w:szCs w:val="29"/>
          <w:lang w:eastAsia="es-UY"/>
          <w14:ligatures w14:val="none"/>
        </w:rPr>
        <w:t>RAFAEL LUCIANI: "HAY MIEDO A REPLANTEARSE LO QUE SIGNIFICA EL PODER Y LA AUTORIDAD EN LA IGLESIA"</w:t>
      </w:r>
    </w:p>
    <w:p w14:paraId="62BDE5B7" w14:textId="77777777" w:rsidR="009234E2" w:rsidRPr="009234E2" w:rsidRDefault="00000000" w:rsidP="009234E2">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hyperlink r:id="rId5" w:history="1">
        <w:r w:rsidR="009234E2" w:rsidRPr="009234E2">
          <w:rPr>
            <w:rFonts w:ascii="Tahoma" w:eastAsia="Times New Roman" w:hAnsi="Tahoma" w:cs="Tahoma"/>
            <w:b/>
            <w:bCs/>
            <w:color w:val="483D34"/>
            <w:kern w:val="0"/>
            <w:sz w:val="23"/>
            <w:szCs w:val="23"/>
            <w:u w:val="single"/>
            <w:lang w:eastAsia="es-UY"/>
            <w14:ligatures w14:val="none"/>
          </w:rPr>
          <w:t>Ángel Morillo</w:t>
        </w:r>
      </w:hyperlink>
    </w:p>
    <w:p w14:paraId="45E155E3" w14:textId="77777777" w:rsidR="009234E2" w:rsidRDefault="009234E2" w:rsidP="009234E2">
      <w:pPr>
        <w:shd w:val="clear" w:color="auto" w:fill="FFCB9E"/>
        <w:spacing w:after="180" w:line="240" w:lineRule="auto"/>
        <w:jc w:val="both"/>
        <w:rPr>
          <w:rFonts w:ascii="Tahoma" w:eastAsia="Times New Roman" w:hAnsi="Tahoma" w:cs="Tahoma"/>
          <w:b/>
          <w:bCs/>
          <w:color w:val="483D34"/>
          <w:kern w:val="0"/>
          <w:sz w:val="24"/>
          <w:szCs w:val="24"/>
          <w:lang w:eastAsia="es-UY"/>
          <w14:ligatures w14:val="none"/>
        </w:rPr>
      </w:pPr>
    </w:p>
    <w:p w14:paraId="2413B3B2" w14:textId="138DE6F1"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b/>
          <w:bCs/>
          <w:color w:val="483D34"/>
          <w:kern w:val="0"/>
          <w:sz w:val="24"/>
          <w:szCs w:val="24"/>
          <w:lang w:eastAsia="es-UY"/>
          <w14:ligatures w14:val="none"/>
        </w:rPr>
        <w:t>Rafael Luciani, teólogo venezolano,</w:t>
      </w:r>
      <w:r w:rsidRPr="009234E2">
        <w:rPr>
          <w:rFonts w:ascii="Tahoma" w:eastAsia="Times New Roman" w:hAnsi="Tahoma" w:cs="Tahoma"/>
          <w:color w:val="483D34"/>
          <w:kern w:val="0"/>
          <w:sz w:val="24"/>
          <w:szCs w:val="24"/>
          <w:lang w:eastAsia="es-UY"/>
          <w14:ligatures w14:val="none"/>
        </w:rPr>
        <w:t> es integrante de la Comisión teológica del Sínodo 2021-2024 en calidad de perito. Ha estado muy involucrado desde los trabajos preparatorios de la XVI Asamblea general del sínodo de obispos, cuya segunda vuelta está prevista para octubre de este año.</w:t>
      </w:r>
    </w:p>
    <w:p w14:paraId="22E16F9C" w14:textId="77777777" w:rsidR="009234E2" w:rsidRPr="009234E2" w:rsidRDefault="009234E2" w:rsidP="009234E2">
      <w:pPr>
        <w:shd w:val="clear" w:color="auto" w:fill="FFCB9E"/>
        <w:spacing w:after="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color w:val="483D34"/>
          <w:kern w:val="0"/>
          <w:sz w:val="24"/>
          <w:szCs w:val="24"/>
          <w:lang w:eastAsia="es-UY"/>
          <w14:ligatures w14:val="none"/>
        </w:rPr>
        <w:t>Además coordina y forma parte del equipo de profesores del curso global “Hacia una Iglesia constitutivamente sinodal”, organizado por varias instancias eclesiales del mundo, entre estas, el Centro de formación Cebitepal del Consejo Episcopal Latinoamericano y Caribeño (Celam) y del que aún </w:t>
      </w:r>
      <w:hyperlink r:id="rId6" w:history="1">
        <w:r w:rsidRPr="009234E2">
          <w:rPr>
            <w:rFonts w:ascii="Tahoma" w:eastAsia="Times New Roman" w:hAnsi="Tahoma" w:cs="Tahoma"/>
            <w:b/>
            <w:bCs/>
            <w:color w:val="483D34"/>
            <w:kern w:val="0"/>
            <w:sz w:val="23"/>
            <w:szCs w:val="23"/>
            <w:u w:val="single"/>
            <w:lang w:eastAsia="es-UY"/>
            <w14:ligatures w14:val="none"/>
          </w:rPr>
          <w:t>siguen abiertas las inscripciones gratuitamente.</w:t>
        </w:r>
      </w:hyperlink>
    </w:p>
    <w:p w14:paraId="3D837323" w14:textId="77777777" w:rsidR="009234E2" w:rsidRPr="009234E2" w:rsidRDefault="00000000" w:rsidP="009234E2">
      <w:pPr>
        <w:shd w:val="clear" w:color="auto" w:fill="FFCB9E"/>
        <w:spacing w:after="0" w:line="240" w:lineRule="auto"/>
        <w:jc w:val="both"/>
        <w:rPr>
          <w:rFonts w:ascii="Tahoma" w:eastAsia="Times New Roman" w:hAnsi="Tahoma" w:cs="Tahoma"/>
          <w:color w:val="483D34"/>
          <w:kern w:val="0"/>
          <w:sz w:val="24"/>
          <w:szCs w:val="24"/>
          <w:lang w:eastAsia="es-UY"/>
          <w14:ligatures w14:val="none"/>
        </w:rPr>
      </w:pPr>
      <w:hyperlink r:id="rId7" w:history="1">
        <w:r w:rsidR="009234E2" w:rsidRPr="009234E2">
          <w:rPr>
            <w:rFonts w:ascii="Tahoma" w:eastAsia="Times New Roman" w:hAnsi="Tahoma" w:cs="Tahoma"/>
            <w:b/>
            <w:bCs/>
            <w:color w:val="483D34"/>
            <w:kern w:val="0"/>
            <w:sz w:val="23"/>
            <w:szCs w:val="23"/>
            <w:u w:val="single"/>
            <w:lang w:eastAsia="es-UY"/>
            <w14:ligatures w14:val="none"/>
          </w:rPr>
          <w:t>Curso que comenzará el 2 de marzo de 2024 </w:t>
        </w:r>
      </w:hyperlink>
      <w:r w:rsidR="009234E2" w:rsidRPr="009234E2">
        <w:rPr>
          <w:rFonts w:ascii="Tahoma" w:eastAsia="Times New Roman" w:hAnsi="Tahoma" w:cs="Tahoma"/>
          <w:color w:val="483D34"/>
          <w:kern w:val="0"/>
          <w:sz w:val="24"/>
          <w:szCs w:val="24"/>
          <w:lang w:eastAsia="es-UY"/>
          <w14:ligatures w14:val="none"/>
        </w:rPr>
        <w:t>y en el que Luciani abordará el </w:t>
      </w:r>
      <w:r w:rsidR="009234E2" w:rsidRPr="009234E2">
        <w:rPr>
          <w:rFonts w:ascii="Tahoma" w:eastAsia="Times New Roman" w:hAnsi="Tahoma" w:cs="Tahoma"/>
          <w:b/>
          <w:bCs/>
          <w:color w:val="483D34"/>
          <w:kern w:val="0"/>
          <w:sz w:val="24"/>
          <w:szCs w:val="24"/>
          <w:lang w:eastAsia="es-UY"/>
          <w14:ligatures w14:val="none"/>
        </w:rPr>
        <w:t>tema Sensus fidei (sentido de los fieles) y consensus fidelium (consenso de los fieles).</w:t>
      </w:r>
      <w:r w:rsidR="009234E2" w:rsidRPr="009234E2">
        <w:rPr>
          <w:rFonts w:ascii="Tahoma" w:eastAsia="Times New Roman" w:hAnsi="Tahoma" w:cs="Tahoma"/>
          <w:color w:val="483D34"/>
          <w:kern w:val="0"/>
          <w:sz w:val="24"/>
          <w:szCs w:val="24"/>
          <w:lang w:eastAsia="es-UY"/>
          <w14:ligatures w14:val="none"/>
        </w:rPr>
        <w:t> Explicó a ADN Celam que cuando Francisco asumió el pontificado “profundizó en el Concilio Vaticano II con un modelo específico de la Iglesia pueblo de Dios” plasmada en la constitución Lumen Gentium de san Pablo VI.</w:t>
      </w:r>
    </w:p>
    <w:p w14:paraId="76E4D9C8"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b/>
          <w:bCs/>
          <w:color w:val="483D34"/>
          <w:kern w:val="0"/>
          <w:sz w:val="24"/>
          <w:szCs w:val="24"/>
          <w:lang w:eastAsia="es-UY"/>
          <w14:ligatures w14:val="none"/>
        </w:rPr>
        <w:t>-Quienes se oponen a la sinodalidad afirman que esta no tiene fundamentos bíblicos ni teológicos, ¿qué opina?</w:t>
      </w:r>
    </w:p>
    <w:p w14:paraId="4483C637"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color w:val="483D34"/>
          <w:kern w:val="0"/>
          <w:sz w:val="24"/>
          <w:szCs w:val="24"/>
          <w:lang w:eastAsia="es-UY"/>
          <w14:ligatures w14:val="none"/>
        </w:rPr>
        <w:t>La sinodalidad no es algo nuevo, es nuevo para nosotros hoy en día, pero pertenece a la tradición de la Iglesia católica. A nivel de la Santa Escritura, el testimonio se da en Hechos 15 con el Concilio de Jerusalén, donde las comunidades tuvieron que hacer un discernimiento y tomar decisiones. Ese modelo de ser Iglesia que se reúne, se escucha, discierne en función de una decisión es lo que da origen a una Iglesia sinodal.</w:t>
      </w:r>
    </w:p>
    <w:p w14:paraId="0E580FDD"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color w:val="483D34"/>
          <w:kern w:val="0"/>
          <w:sz w:val="24"/>
          <w:szCs w:val="24"/>
          <w:lang w:eastAsia="es-UY"/>
          <w14:ligatures w14:val="none"/>
        </w:rPr>
        <w:t>A lo largo del primer milenio siempre hubo prácticas que profundizaron esa manera de ser y de proceder de la Iglesia, por ejemplo, san Cipriano obispo cuando nombraba a alguien para confiarle una comunidad, diríamos hoy en día una parroquia, o alguien que iba a ser obispo convocaba a la comunidad y él tenía un famoso axioma que decía: «primero busco el consejo de los presbíteros y, luego con ese consejo, comienzo a construir el consenso con el resto del pueblo de Dios». Entonces tenemos ahí una práctica de la tradición de la Iglesia del primer milenio.</w:t>
      </w:r>
    </w:p>
    <w:p w14:paraId="636549A1"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color w:val="483D34"/>
          <w:kern w:val="0"/>
          <w:sz w:val="24"/>
          <w:szCs w:val="24"/>
          <w:lang w:eastAsia="es-UY"/>
          <w14:ligatures w14:val="none"/>
        </w:rPr>
        <w:t>A lo largo del segundo Milenio, aunque se fue perdiendo la práctica ordinaria de la Iglesia en esto, sí se realizaron sínodos como, por ejemplo, el Concilio de Trento, que mandó que las diócesis hicieran un sínodo por año; si eso se hubiese realizado, entonces se hubiese logrado muchos avances en las Iglesias locales.</w:t>
      </w:r>
    </w:p>
    <w:p w14:paraId="3FC6961B"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color w:val="483D34"/>
          <w:kern w:val="0"/>
          <w:sz w:val="24"/>
          <w:szCs w:val="24"/>
          <w:lang w:eastAsia="es-UY"/>
          <w14:ligatures w14:val="none"/>
        </w:rPr>
        <w:t>¿Qué hace Francisco? Retoma lo que los padres conciliares de Vaticano II habían dicho que era lo normativo, lo que define a la Iglesia que era ser pueblo de Dios y pueblo de Dios supone que nos constituimos haciendo en conjunto la vida eclesial.</w:t>
      </w:r>
    </w:p>
    <w:p w14:paraId="407963DF"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b/>
          <w:bCs/>
          <w:color w:val="483D34"/>
          <w:kern w:val="0"/>
          <w:sz w:val="24"/>
          <w:szCs w:val="24"/>
          <w:lang w:eastAsia="es-UY"/>
          <w14:ligatures w14:val="none"/>
        </w:rPr>
        <w:lastRenderedPageBreak/>
        <w:t>- ¿Entonces por qué hay tantas resistencias y miedos?</w:t>
      </w:r>
    </w:p>
    <w:p w14:paraId="0BF94898"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color w:val="483D34"/>
          <w:kern w:val="0"/>
          <w:sz w:val="24"/>
          <w:szCs w:val="24"/>
          <w:lang w:eastAsia="es-UY"/>
          <w14:ligatures w14:val="none"/>
        </w:rPr>
        <w:t>- Por una parte creo que hay un miedo a replantearse lo que significa el poder en la Iglesia y esto supone el ejercicio de la autoridad, no se trata de negar la autoridad en cualquier institución, que es necesaria. El problema es cómo se ejerce y en la Iglesia se ejerce para servir, no para tener poder sobre los demás y hacer lo que la persona quiera.</w:t>
      </w:r>
    </w:p>
    <w:p w14:paraId="756295E1"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color w:val="483D34"/>
          <w:kern w:val="0"/>
          <w:sz w:val="24"/>
          <w:szCs w:val="24"/>
          <w:lang w:eastAsia="es-UY"/>
          <w14:ligatures w14:val="none"/>
        </w:rPr>
        <w:t>Ese es un aspecto que sale mucho en quienes tienen miedo y se preguntan si ahora van a perder el poder en la parroquia, en la diócesis. En ese aspecto, la sinodalidad ofrece cómo ejercer el poder en comunión, con la comunidad y no aislado de la comunidad, cómo el obispo ejerce el poder en comunión con la vida diocesana que él preside, no como un sujeto que actúa aislado.</w:t>
      </w:r>
    </w:p>
    <w:p w14:paraId="621CCE73"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color w:val="483D34"/>
          <w:kern w:val="0"/>
          <w:sz w:val="24"/>
          <w:szCs w:val="24"/>
          <w:lang w:eastAsia="es-UY"/>
          <w14:ligatures w14:val="none"/>
        </w:rPr>
        <w:t>El Papa ejerce el poder en estos contextos donde toma consejo de los obispos y, en este caso, de esta asamblea de otros miembros no obispos que participan. Creo que ese es un primer ámbito de miedo.</w:t>
      </w:r>
    </w:p>
    <w:p w14:paraId="0628F968"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color w:val="483D34"/>
          <w:kern w:val="0"/>
          <w:sz w:val="24"/>
          <w:szCs w:val="24"/>
          <w:lang w:eastAsia="es-UY"/>
          <w14:ligatures w14:val="none"/>
        </w:rPr>
        <w:t>Hay otro aspecto más práctico: la falta de conocimiento de la tradición de la Iglesia católica. Esto es muy grave, porque a veces decimos cosas que en la tradición están sustentadas, pero no conocemos, creemos que son cosas que se están inventando con base en los modelos políticos actuales, por ello la formación teológica es fundamental.</w:t>
      </w:r>
    </w:p>
    <w:p w14:paraId="6CF4C646"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color w:val="483D34"/>
          <w:kern w:val="0"/>
          <w:sz w:val="24"/>
          <w:szCs w:val="24"/>
          <w:lang w:eastAsia="es-UY"/>
          <w14:ligatures w14:val="none"/>
        </w:rPr>
        <w:t>Antes de hacer una crítica, siempre es bueno preguntarse: Qué dice el magisterio, qué dice la tradición, qué dice la Sagrada Escritura, qué ha dicho la reflexión teológica, luego de hacer esa revisión puedo entonces decir estoy o no estoy de acuerdo. Con argumentos se inicia un diálogo que es lo propio de la vida eclesial.</w:t>
      </w:r>
    </w:p>
    <w:p w14:paraId="05674DD0"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b/>
          <w:bCs/>
          <w:color w:val="483D34"/>
          <w:kern w:val="0"/>
          <w:sz w:val="24"/>
          <w:szCs w:val="24"/>
          <w:lang w:eastAsia="es-UY"/>
          <w14:ligatures w14:val="none"/>
        </w:rPr>
        <w:t>-¿Por qué el Papa decide hacer una segunda sesión del Sínodo?</w:t>
      </w:r>
    </w:p>
    <w:p w14:paraId="6720EB11"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color w:val="483D34"/>
          <w:kern w:val="0"/>
          <w:sz w:val="24"/>
          <w:szCs w:val="24"/>
          <w:lang w:eastAsia="es-UY"/>
          <w14:ligatures w14:val="none"/>
        </w:rPr>
        <w:t>- La idea de hacer una segunda asamblea y no solamente la primera es que se busca profundizar, porque son temas que afectarán a toda la vida y la misión de la Iglesia. Por eso, el segundo año busca dar un paso más para madurar, para pensar de nuevo lo que se ha venido haciendo, para poder llegar a la asamblea de octubre de 2024 cuando se tomarán las decisiones que el Papa después de recibir el documento final considere oportuno para la Iglesia.</w:t>
      </w:r>
    </w:p>
    <w:p w14:paraId="74E6E874"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b/>
          <w:bCs/>
          <w:color w:val="483D34"/>
          <w:kern w:val="0"/>
          <w:sz w:val="24"/>
          <w:szCs w:val="24"/>
          <w:lang w:eastAsia="es-UY"/>
          <w14:ligatures w14:val="none"/>
        </w:rPr>
        <w:t>- ¿Qué se siente ser perito de este evento tan histórico?</w:t>
      </w:r>
    </w:p>
    <w:p w14:paraId="59709EF4"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color w:val="483D34"/>
          <w:kern w:val="0"/>
          <w:sz w:val="24"/>
          <w:szCs w:val="24"/>
          <w:lang w:eastAsia="es-UY"/>
          <w14:ligatures w14:val="none"/>
        </w:rPr>
        <w:t>- La teología y, en mi caso personal, es un ministerio, es un servicio, es mi vocación, no es una profesión y la he vivido ejercida en muchos ámbitos de la vida eclesial: en el Consejo Episcopal Latinoamericano, en la Conferencia Latinoamericana de religiosas y religiosas y en muchas otras instancias, actualmente en la secretaría general del Sínodo.</w:t>
      </w:r>
    </w:p>
    <w:p w14:paraId="508ED75F"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color w:val="483D34"/>
          <w:kern w:val="0"/>
          <w:sz w:val="24"/>
          <w:szCs w:val="24"/>
          <w:lang w:eastAsia="es-UY"/>
          <w14:ligatures w14:val="none"/>
        </w:rPr>
        <w:t>Entonces para mí tiene esa dimensión de servicio eclesial y, por otra parte, digo que es un ministerio,</w:t>
      </w:r>
      <w:r w:rsidRPr="009234E2">
        <w:rPr>
          <w:rFonts w:ascii="Tahoma" w:eastAsia="Times New Roman" w:hAnsi="Tahoma" w:cs="Tahoma"/>
          <w:b/>
          <w:bCs/>
          <w:color w:val="483D34"/>
          <w:kern w:val="0"/>
          <w:sz w:val="24"/>
          <w:szCs w:val="24"/>
          <w:lang w:eastAsia="es-UY"/>
          <w14:ligatures w14:val="none"/>
        </w:rPr>
        <w:t> porque mi vida vocacional se desarrolla como una entrega al servicio de la reflexión teológica para las comunidades y no solamente para la Iglesia institución.</w:t>
      </w:r>
    </w:p>
    <w:p w14:paraId="12E94476"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color w:val="483D34"/>
          <w:kern w:val="0"/>
          <w:sz w:val="24"/>
          <w:szCs w:val="24"/>
          <w:lang w:eastAsia="es-UY"/>
          <w14:ligatures w14:val="none"/>
        </w:rPr>
        <w:lastRenderedPageBreak/>
        <w:t>Cuando estoy en una comunidad y puedo compartir reflexiones teológicas que nazcan de ese diálogo a la luz de la escritura, entonces estoy ejerciendo un ministerio como teólogo.</w:t>
      </w:r>
    </w:p>
    <w:p w14:paraId="19F41A64"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color w:val="483D34"/>
          <w:kern w:val="0"/>
          <w:sz w:val="24"/>
          <w:szCs w:val="24"/>
          <w:lang w:eastAsia="es-UY"/>
          <w14:ligatures w14:val="none"/>
        </w:rPr>
        <w:t>No es solamente dar clases o el ámbito académico lo que cualifica la teología, sino también es un ministerio, una manera de realizar la educación cristiana que muchos puedan optar.</w:t>
      </w:r>
    </w:p>
    <w:p w14:paraId="44A538A8"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b/>
          <w:bCs/>
          <w:color w:val="483D34"/>
          <w:kern w:val="0"/>
          <w:sz w:val="24"/>
          <w:szCs w:val="24"/>
          <w:lang w:eastAsia="es-UY"/>
          <w14:ligatures w14:val="none"/>
        </w:rPr>
        <w:t>-¿Qué espera de este sínodo?</w:t>
      </w:r>
    </w:p>
    <w:p w14:paraId="117B6611"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color w:val="483D34"/>
          <w:kern w:val="0"/>
          <w:sz w:val="24"/>
          <w:szCs w:val="24"/>
          <w:lang w:eastAsia="es-UY"/>
          <w14:ligatures w14:val="none"/>
        </w:rPr>
        <w:t>- Espero que la Iglesia tome conciencia ante la crisis que ha habido en estos años sobre todo con el tema de los abusos, del clericalismo y sobre tantos temas que han afectado el testimonio.</w:t>
      </w:r>
    </w:p>
    <w:p w14:paraId="46075645"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color w:val="483D34"/>
          <w:kern w:val="0"/>
          <w:sz w:val="24"/>
          <w:szCs w:val="24"/>
          <w:lang w:eastAsia="es-UY"/>
          <w14:ligatures w14:val="none"/>
        </w:rPr>
        <w:t>Entonces espero que este reconocimiento de una Iglesia que necesita aprender no solo cambiar, a ser testimonio y ser fiel a Jesús, que el sínodo pueda proveer las maneras de cómo lograr eso.</w:t>
      </w:r>
    </w:p>
    <w:p w14:paraId="22856278"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color w:val="483D34"/>
          <w:kern w:val="0"/>
          <w:sz w:val="24"/>
          <w:szCs w:val="24"/>
          <w:lang w:eastAsia="es-UY"/>
          <w14:ligatures w14:val="none"/>
        </w:rPr>
        <w:t>Necesitamos poder superar esa falta de credibilidad de la Iglesia y espero que el sínodo siga generando más allá de la asamblea la conciencia de que todos y todas tenemos derecho de palabra, tenemos derecho de estar en la Iglesia como bautizados independientemente de que seamos laicos, religiosos, clérigos.</w:t>
      </w:r>
    </w:p>
    <w:p w14:paraId="721F616B"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color w:val="483D34"/>
          <w:kern w:val="0"/>
          <w:sz w:val="24"/>
          <w:szCs w:val="24"/>
          <w:lang w:eastAsia="es-UY"/>
          <w14:ligatures w14:val="none"/>
        </w:rPr>
        <w:t>Y, por último, también puedo decir que espero que haya cambios estructurales, no solamente sean cambios de mentalidad, porque la mentalidad va unida a la institución y la institución tiene vida porque hay personas con mentalidades.</w:t>
      </w:r>
    </w:p>
    <w:p w14:paraId="38E93F2E"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color w:val="483D34"/>
          <w:kern w:val="0"/>
          <w:sz w:val="24"/>
          <w:szCs w:val="24"/>
          <w:lang w:eastAsia="es-UY"/>
          <w14:ligatures w14:val="none"/>
        </w:rPr>
        <w:t>Por ende, si las instituciones en el siglo XXI, en el tercer Milenio no son replanteadas, quedaremos con instituciones obsoletas como dice Aparecida y cuando hay instituciones obsoletas – en la misma Aparecida los obispos dijeron – en ese momento hay que crear nuevas instituciones o renovar las existentes, diríamos en clave sinodal.</w:t>
      </w:r>
    </w:p>
    <w:p w14:paraId="6729A48C"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color w:val="483D34"/>
          <w:kern w:val="0"/>
          <w:sz w:val="24"/>
          <w:szCs w:val="24"/>
          <w:lang w:eastAsia="es-UY"/>
          <w14:ligatures w14:val="none"/>
        </w:rPr>
        <w:t> </w:t>
      </w:r>
    </w:p>
    <w:p w14:paraId="439A6AB9" w14:textId="77777777" w:rsidR="009234E2" w:rsidRPr="009234E2" w:rsidRDefault="009234E2" w:rsidP="009234E2">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9234E2">
        <w:rPr>
          <w:rFonts w:ascii="Tahoma" w:eastAsia="Times New Roman" w:hAnsi="Tahoma" w:cs="Tahoma"/>
          <w:b/>
          <w:bCs/>
          <w:color w:val="483D34"/>
          <w:kern w:val="0"/>
          <w:sz w:val="24"/>
          <w:szCs w:val="24"/>
          <w:lang w:eastAsia="es-UY"/>
          <w14:ligatures w14:val="none"/>
        </w:rPr>
        <w:t>Ángel Morillo</w:t>
      </w:r>
      <w:r w:rsidRPr="009234E2">
        <w:rPr>
          <w:rFonts w:ascii="Tahoma" w:eastAsia="Times New Roman" w:hAnsi="Tahoma" w:cs="Tahoma"/>
          <w:b/>
          <w:bCs/>
          <w:i/>
          <w:iCs/>
          <w:color w:val="483D34"/>
          <w:kern w:val="0"/>
          <w:sz w:val="24"/>
          <w:szCs w:val="24"/>
          <w:lang w:eastAsia="es-UY"/>
          <w14:ligatures w14:val="none"/>
        </w:rPr>
        <w:t>, ADN Celam</w:t>
      </w:r>
    </w:p>
    <w:p w14:paraId="2AA6D00D" w14:textId="48CFD94E" w:rsidR="00926044" w:rsidRDefault="00000000">
      <w:hyperlink r:id="rId8" w:history="1">
        <w:r w:rsidR="009234E2" w:rsidRPr="00585B1C">
          <w:rPr>
            <w:rStyle w:val="Hipervnculo"/>
          </w:rPr>
          <w:t>https://www.feadulta.com/es/buscadoravanzado/item/15673-rafael-luciani-hay-miedo-a-replantearse-lo-que-significa-el-poder-y-la-autoridad-en-la-iglesia.html</w:t>
        </w:r>
      </w:hyperlink>
    </w:p>
    <w:p w14:paraId="74DF8C1F" w14:textId="77777777" w:rsidR="009234E2" w:rsidRDefault="009234E2"/>
    <w:sectPr w:rsidR="009234E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956A1"/>
    <w:multiLevelType w:val="multilevel"/>
    <w:tmpl w:val="2D64C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A54866"/>
    <w:multiLevelType w:val="multilevel"/>
    <w:tmpl w:val="7DC20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4189940">
    <w:abstractNumId w:val="1"/>
  </w:num>
  <w:num w:numId="2" w16cid:durableId="1711759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4E2"/>
    <w:rsid w:val="00496F93"/>
    <w:rsid w:val="009234E2"/>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EC79C"/>
  <w15:chartTrackingRefBased/>
  <w15:docId w15:val="{0E0ED830-0814-4814-AC82-1FAE90C75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234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234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234E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234E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234E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234E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234E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234E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234E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234E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234E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234E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234E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234E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234E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234E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234E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234E2"/>
    <w:rPr>
      <w:rFonts w:eastAsiaTheme="majorEastAsia" w:cstheme="majorBidi"/>
      <w:color w:val="272727" w:themeColor="text1" w:themeTint="D8"/>
    </w:rPr>
  </w:style>
  <w:style w:type="paragraph" w:styleId="Ttulo">
    <w:name w:val="Title"/>
    <w:basedOn w:val="Normal"/>
    <w:next w:val="Normal"/>
    <w:link w:val="TtuloCar"/>
    <w:uiPriority w:val="10"/>
    <w:qFormat/>
    <w:rsid w:val="009234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234E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234E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234E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234E2"/>
    <w:pPr>
      <w:spacing w:before="160"/>
      <w:jc w:val="center"/>
    </w:pPr>
    <w:rPr>
      <w:i/>
      <w:iCs/>
      <w:color w:val="404040" w:themeColor="text1" w:themeTint="BF"/>
    </w:rPr>
  </w:style>
  <w:style w:type="character" w:customStyle="1" w:styleId="CitaCar">
    <w:name w:val="Cita Car"/>
    <w:basedOn w:val="Fuentedeprrafopredeter"/>
    <w:link w:val="Cita"/>
    <w:uiPriority w:val="29"/>
    <w:rsid w:val="009234E2"/>
    <w:rPr>
      <w:i/>
      <w:iCs/>
      <w:color w:val="404040" w:themeColor="text1" w:themeTint="BF"/>
    </w:rPr>
  </w:style>
  <w:style w:type="paragraph" w:styleId="Prrafodelista">
    <w:name w:val="List Paragraph"/>
    <w:basedOn w:val="Normal"/>
    <w:uiPriority w:val="34"/>
    <w:qFormat/>
    <w:rsid w:val="009234E2"/>
    <w:pPr>
      <w:ind w:left="720"/>
      <w:contextualSpacing/>
    </w:pPr>
  </w:style>
  <w:style w:type="character" w:styleId="nfasisintenso">
    <w:name w:val="Intense Emphasis"/>
    <w:basedOn w:val="Fuentedeprrafopredeter"/>
    <w:uiPriority w:val="21"/>
    <w:qFormat/>
    <w:rsid w:val="009234E2"/>
    <w:rPr>
      <w:i/>
      <w:iCs/>
      <w:color w:val="0F4761" w:themeColor="accent1" w:themeShade="BF"/>
    </w:rPr>
  </w:style>
  <w:style w:type="paragraph" w:styleId="Citadestacada">
    <w:name w:val="Intense Quote"/>
    <w:basedOn w:val="Normal"/>
    <w:next w:val="Normal"/>
    <w:link w:val="CitadestacadaCar"/>
    <w:uiPriority w:val="30"/>
    <w:qFormat/>
    <w:rsid w:val="009234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234E2"/>
    <w:rPr>
      <w:i/>
      <w:iCs/>
      <w:color w:val="0F4761" w:themeColor="accent1" w:themeShade="BF"/>
    </w:rPr>
  </w:style>
  <w:style w:type="character" w:styleId="Referenciaintensa">
    <w:name w:val="Intense Reference"/>
    <w:basedOn w:val="Fuentedeprrafopredeter"/>
    <w:uiPriority w:val="32"/>
    <w:qFormat/>
    <w:rsid w:val="009234E2"/>
    <w:rPr>
      <w:b/>
      <w:bCs/>
      <w:smallCaps/>
      <w:color w:val="0F4761" w:themeColor="accent1" w:themeShade="BF"/>
      <w:spacing w:val="5"/>
    </w:rPr>
  </w:style>
  <w:style w:type="character" w:styleId="Hipervnculo">
    <w:name w:val="Hyperlink"/>
    <w:basedOn w:val="Fuentedeprrafopredeter"/>
    <w:uiPriority w:val="99"/>
    <w:unhideWhenUsed/>
    <w:rsid w:val="009234E2"/>
    <w:rPr>
      <w:color w:val="467886" w:themeColor="hyperlink"/>
      <w:u w:val="single"/>
    </w:rPr>
  </w:style>
  <w:style w:type="character" w:styleId="Mencinsinresolver">
    <w:name w:val="Unresolved Mention"/>
    <w:basedOn w:val="Fuentedeprrafopredeter"/>
    <w:uiPriority w:val="99"/>
    <w:semiHidden/>
    <w:unhideWhenUsed/>
    <w:rsid w:val="009234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709564">
      <w:bodyDiv w:val="1"/>
      <w:marLeft w:val="0"/>
      <w:marRight w:val="0"/>
      <w:marTop w:val="0"/>
      <w:marBottom w:val="0"/>
      <w:divBdr>
        <w:top w:val="none" w:sz="0" w:space="0" w:color="auto"/>
        <w:left w:val="none" w:sz="0" w:space="0" w:color="auto"/>
        <w:bottom w:val="none" w:sz="0" w:space="0" w:color="auto"/>
        <w:right w:val="none" w:sz="0" w:space="0" w:color="auto"/>
      </w:divBdr>
      <w:divsChild>
        <w:div w:id="436561817">
          <w:marLeft w:val="0"/>
          <w:marRight w:val="0"/>
          <w:marTop w:val="240"/>
          <w:marBottom w:val="0"/>
          <w:divBdr>
            <w:top w:val="none" w:sz="0" w:space="0" w:color="auto"/>
            <w:left w:val="none" w:sz="0" w:space="0" w:color="auto"/>
            <w:bottom w:val="none" w:sz="0" w:space="0" w:color="auto"/>
            <w:right w:val="none" w:sz="0" w:space="0" w:color="auto"/>
          </w:divBdr>
        </w:div>
        <w:div w:id="1427456863">
          <w:marLeft w:val="0"/>
          <w:marRight w:val="0"/>
          <w:marTop w:val="0"/>
          <w:marBottom w:val="0"/>
          <w:divBdr>
            <w:top w:val="none" w:sz="0" w:space="0" w:color="auto"/>
            <w:left w:val="none" w:sz="0" w:space="0" w:color="auto"/>
            <w:bottom w:val="none" w:sz="0" w:space="0" w:color="auto"/>
            <w:right w:val="none" w:sz="0" w:space="0" w:color="auto"/>
          </w:divBdr>
          <w:divsChild>
            <w:div w:id="1173179359">
              <w:marLeft w:val="0"/>
              <w:marRight w:val="0"/>
              <w:marTop w:val="0"/>
              <w:marBottom w:val="0"/>
              <w:divBdr>
                <w:top w:val="none" w:sz="0" w:space="0" w:color="auto"/>
                <w:left w:val="none" w:sz="0" w:space="0" w:color="auto"/>
                <w:bottom w:val="none" w:sz="0" w:space="0" w:color="auto"/>
                <w:right w:val="none" w:sz="0" w:space="0" w:color="auto"/>
              </w:divBdr>
            </w:div>
          </w:divsChild>
        </w:div>
        <w:div w:id="9679710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adulta.com/es/buscadoravanzado/item/15673-rafael-luciani-hay-miedo-a-replantearse-lo-que-significa-el-poder-y-la-autoridad-en-la-iglesia.html" TargetMode="External"/><Relationship Id="rId3" Type="http://schemas.openxmlformats.org/officeDocument/2006/relationships/settings" Target="settings.xml"/><Relationship Id="rId7" Type="http://schemas.openxmlformats.org/officeDocument/2006/relationships/hyperlink" Target="https://www.religiondigital.org/educacion/Iglesia-constitutivamente-sinodal-Marzo_0_262983699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aciononline.bc.edu/es/courses/iglesiasinodal/" TargetMode="External"/><Relationship Id="rId5" Type="http://schemas.openxmlformats.org/officeDocument/2006/relationships/hyperlink" Target="https://www.feadulta.com/es/buscadoravanzado/itemlist/user/36726-%C3%A1ngelmorillo.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1215</Words>
  <Characters>6688</Characters>
  <Application>Microsoft Office Word</Application>
  <DocSecurity>0</DocSecurity>
  <Lines>55</Lines>
  <Paragraphs>15</Paragraphs>
  <ScaleCrop>false</ScaleCrop>
  <Company/>
  <LinksUpToDate>false</LinksUpToDate>
  <CharactersWithSpaces>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2024-02-29T14:59:00Z</dcterms:created>
  <dcterms:modified xsi:type="dcterms:W3CDTF">2024-03-05T18:12:00Z</dcterms:modified>
</cp:coreProperties>
</file>