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A3239" w14:textId="77777777" w:rsidR="008473CF" w:rsidRPr="009A0951" w:rsidRDefault="009172A6" w:rsidP="008473CF">
      <w:pPr>
        <w:spacing w:line="276" w:lineRule="auto"/>
        <w:jc w:val="center"/>
        <w:rPr>
          <w:rFonts w:ascii="Times New Roman" w:hAnsi="Times New Roman" w:cs="Times New Roman"/>
          <w:b/>
          <w:color w:val="000000" w:themeColor="text1"/>
          <w:sz w:val="24"/>
          <w:szCs w:val="24"/>
          <w:lang w:val="es-ES"/>
        </w:rPr>
      </w:pPr>
      <w:r>
        <w:rPr>
          <w:rFonts w:ascii="Times New Roman" w:hAnsi="Times New Roman" w:cs="Times New Roman"/>
          <w:b/>
          <w:color w:val="000000" w:themeColor="text1"/>
          <w:sz w:val="24"/>
          <w:szCs w:val="24"/>
          <w:lang w:val="es-ES"/>
        </w:rPr>
        <w:t>Apuntes para el abordaje al</w:t>
      </w:r>
      <w:r w:rsidR="008473CF" w:rsidRPr="009A0951">
        <w:rPr>
          <w:rFonts w:ascii="Times New Roman" w:hAnsi="Times New Roman" w:cs="Times New Roman"/>
          <w:b/>
          <w:color w:val="000000" w:themeColor="text1"/>
          <w:sz w:val="24"/>
          <w:szCs w:val="24"/>
          <w:lang w:val="es-ES"/>
        </w:rPr>
        <w:t xml:space="preserve"> conflicto Gaza-Israel</w:t>
      </w:r>
    </w:p>
    <w:p w14:paraId="5BB559DF" w14:textId="77777777" w:rsidR="008473CF" w:rsidRPr="009A0951" w:rsidRDefault="008473CF" w:rsidP="008473CF">
      <w:pPr>
        <w:spacing w:line="276" w:lineRule="auto"/>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Mg. José A. Amesty Rivera</w:t>
      </w:r>
    </w:p>
    <w:p w14:paraId="57459D72"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Tú, ahí, junto al umbral de nuestra puerta,</w:t>
      </w:r>
    </w:p>
    <w:p w14:paraId="24B60BA9"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entra y bebe café árabe con nosotros</w:t>
      </w:r>
    </w:p>
    <w:p w14:paraId="76EA25C9"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(puedes sentir que eres humano como nosotros)</w:t>
      </w:r>
    </w:p>
    <w:p w14:paraId="0FB89698"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Tú, ahí, junto al umbral de nuestra puerta</w:t>
      </w:r>
    </w:p>
    <w:p w14:paraId="37760163"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sal de nuestras mañanas</w:t>
      </w:r>
    </w:p>
    <w:p w14:paraId="45200756"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para que tengamos la seguridad de que</w:t>
      </w:r>
    </w:p>
    <w:p w14:paraId="78C635F2"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somos humanos como tú.</w:t>
      </w:r>
    </w:p>
    <w:p w14:paraId="67107E98" w14:textId="77777777" w:rsidR="008473CF" w:rsidRPr="009A0951" w:rsidRDefault="008473CF" w:rsidP="008473CF">
      <w:pPr>
        <w:spacing w:after="0" w:line="276" w:lineRule="auto"/>
        <w:jc w:val="right"/>
        <w:rPr>
          <w:rFonts w:ascii="Times New Roman" w:hAnsi="Times New Roman" w:cs="Times New Roman"/>
          <w:color w:val="000000" w:themeColor="text1"/>
          <w:sz w:val="24"/>
          <w:szCs w:val="24"/>
          <w:lang w:val="es-ES"/>
        </w:rPr>
      </w:pPr>
    </w:p>
    <w:p w14:paraId="7ED58CD1" w14:textId="77777777" w:rsidR="008473CF" w:rsidRPr="009A0951" w:rsidRDefault="008473CF" w:rsidP="008473CF">
      <w:pPr>
        <w:spacing w:after="0" w:line="276" w:lineRule="auto"/>
        <w:jc w:val="right"/>
        <w:rPr>
          <w:rFonts w:ascii="Times New Roman" w:hAnsi="Times New Roman" w:cs="Times New Roman"/>
          <w:color w:val="000000" w:themeColor="text1"/>
          <w:sz w:val="20"/>
          <w:szCs w:val="20"/>
          <w:lang w:val="es-ES"/>
        </w:rPr>
      </w:pPr>
      <w:r w:rsidRPr="009A0951">
        <w:rPr>
          <w:rFonts w:ascii="Times New Roman" w:hAnsi="Times New Roman" w:cs="Times New Roman"/>
          <w:color w:val="000000" w:themeColor="text1"/>
          <w:sz w:val="20"/>
          <w:szCs w:val="20"/>
          <w:lang w:val="es-ES"/>
        </w:rPr>
        <w:t xml:space="preserve">Poema de Mahmoud Darwish (1941-2008), </w:t>
      </w:r>
    </w:p>
    <w:p w14:paraId="61883AF0" w14:textId="77777777" w:rsidR="008473CF" w:rsidRPr="009A0951" w:rsidRDefault="008473CF" w:rsidP="008473CF">
      <w:pPr>
        <w:spacing w:after="0" w:line="276" w:lineRule="auto"/>
        <w:jc w:val="right"/>
        <w:rPr>
          <w:rFonts w:ascii="Times New Roman" w:hAnsi="Times New Roman" w:cs="Times New Roman"/>
          <w:color w:val="000000" w:themeColor="text1"/>
          <w:sz w:val="20"/>
          <w:szCs w:val="20"/>
          <w:lang w:val="es-ES"/>
        </w:rPr>
      </w:pPr>
      <w:r w:rsidRPr="009A0951">
        <w:rPr>
          <w:rFonts w:ascii="Times New Roman" w:hAnsi="Times New Roman" w:cs="Times New Roman"/>
          <w:color w:val="000000" w:themeColor="text1"/>
          <w:sz w:val="20"/>
          <w:szCs w:val="20"/>
          <w:lang w:val="es-ES"/>
        </w:rPr>
        <w:t xml:space="preserve">dirigido al soldado israelí </w:t>
      </w:r>
    </w:p>
    <w:p w14:paraId="424A03B2" w14:textId="77777777" w:rsidR="008473CF" w:rsidRDefault="008473CF" w:rsidP="009A0951">
      <w:pPr>
        <w:spacing w:after="0" w:line="276" w:lineRule="auto"/>
        <w:jc w:val="right"/>
        <w:rPr>
          <w:rFonts w:ascii="Times New Roman" w:hAnsi="Times New Roman" w:cs="Times New Roman"/>
          <w:color w:val="000000" w:themeColor="text1"/>
          <w:sz w:val="20"/>
          <w:szCs w:val="20"/>
          <w:lang w:val="es-ES"/>
        </w:rPr>
      </w:pPr>
      <w:r w:rsidRPr="009A0951">
        <w:rPr>
          <w:rFonts w:ascii="Times New Roman" w:hAnsi="Times New Roman" w:cs="Times New Roman"/>
          <w:color w:val="000000" w:themeColor="text1"/>
          <w:sz w:val="20"/>
          <w:szCs w:val="20"/>
          <w:lang w:val="es-ES"/>
        </w:rPr>
        <w:t xml:space="preserve">dispuesto a derribar la puerta de un hogar palestino. </w:t>
      </w:r>
    </w:p>
    <w:p w14:paraId="2C7C9CD5" w14:textId="77777777" w:rsidR="009A0951" w:rsidRPr="009A0951" w:rsidRDefault="009A0951" w:rsidP="009A0951">
      <w:pPr>
        <w:spacing w:after="0" w:line="276" w:lineRule="auto"/>
        <w:jc w:val="right"/>
        <w:rPr>
          <w:rFonts w:ascii="Times New Roman" w:hAnsi="Times New Roman" w:cs="Times New Roman"/>
          <w:color w:val="000000" w:themeColor="text1"/>
          <w:sz w:val="20"/>
          <w:szCs w:val="20"/>
          <w:lang w:val="es-ES"/>
        </w:rPr>
      </w:pPr>
    </w:p>
    <w:p w14:paraId="439950B3" w14:textId="77777777" w:rsidR="008473CF" w:rsidRPr="009A0951" w:rsidRDefault="008473CF" w:rsidP="008473CF">
      <w:pPr>
        <w:spacing w:line="276" w:lineRule="auto"/>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 xml:space="preserve">Porque tanta saña contra los palestinos/as, por parte de Israel? tanta inhumanidad, tanta barbarie, tanta miseria humana, tanta bajeza, tanta criminalidad, tanto horror producido a seres humanos, tantos homicidios, tanta sin dolor contra los niños y niñas. </w:t>
      </w:r>
    </w:p>
    <w:p w14:paraId="6BB9BB24" w14:textId="77777777" w:rsidR="008473CF" w:rsidRPr="009A0951" w:rsidRDefault="008473CF" w:rsidP="008473CF">
      <w:pPr>
        <w:spacing w:line="276" w:lineRule="auto"/>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Intentaremos compartir dos aspectos importantes del conflicto, unos políticos y otros histórico-biblico-teologicos, para intentar respon</w:t>
      </w:r>
      <w:r w:rsidR="00B54046">
        <w:rPr>
          <w:rFonts w:ascii="Times New Roman" w:hAnsi="Times New Roman" w:cs="Times New Roman"/>
          <w:color w:val="000000" w:themeColor="text1"/>
          <w:sz w:val="24"/>
          <w:szCs w:val="24"/>
          <w:lang w:val="es-ES"/>
        </w:rPr>
        <w:t xml:space="preserve">der a las iniciales preguntas. </w:t>
      </w:r>
      <w:r w:rsidR="00B54046" w:rsidRPr="00B54046">
        <w:rPr>
          <w:rFonts w:ascii="Times New Roman" w:hAnsi="Times New Roman" w:cs="Times New Roman"/>
          <w:i/>
          <w:color w:val="000000" w:themeColor="text1"/>
          <w:sz w:val="24"/>
          <w:szCs w:val="24"/>
          <w:lang w:val="es-ES"/>
        </w:rPr>
        <w:t>A buen entendedor pocas palabras</w:t>
      </w:r>
      <w:r w:rsidR="00B54046">
        <w:rPr>
          <w:rFonts w:ascii="Times New Roman" w:hAnsi="Times New Roman" w:cs="Times New Roman"/>
          <w:color w:val="000000" w:themeColor="text1"/>
          <w:sz w:val="24"/>
          <w:szCs w:val="24"/>
          <w:lang w:val="es-ES"/>
        </w:rPr>
        <w:t xml:space="preserve">. </w:t>
      </w:r>
    </w:p>
    <w:p w14:paraId="4F4D454B" w14:textId="77777777" w:rsidR="008473CF" w:rsidRPr="009A0951" w:rsidRDefault="008473CF" w:rsidP="008473CF">
      <w:pPr>
        <w:spacing w:line="276" w:lineRule="auto"/>
        <w:jc w:val="both"/>
        <w:rPr>
          <w:rFonts w:ascii="Times New Roman" w:hAnsi="Times New Roman" w:cs="Times New Roman"/>
          <w:b/>
          <w:color w:val="000000" w:themeColor="text1"/>
          <w:sz w:val="24"/>
          <w:szCs w:val="24"/>
          <w:u w:val="single"/>
          <w:lang w:val="es-ES"/>
        </w:rPr>
      </w:pPr>
      <w:r w:rsidRPr="009A0951">
        <w:rPr>
          <w:rFonts w:ascii="Times New Roman" w:hAnsi="Times New Roman" w:cs="Times New Roman"/>
          <w:b/>
          <w:color w:val="000000" w:themeColor="text1"/>
          <w:sz w:val="24"/>
          <w:szCs w:val="24"/>
          <w:u w:val="single"/>
          <w:lang w:val="es-ES"/>
        </w:rPr>
        <w:t xml:space="preserve">Apuntes políticos </w:t>
      </w:r>
    </w:p>
    <w:p w14:paraId="626839C4" w14:textId="77777777" w:rsidR="008473CF" w:rsidRPr="009A0951" w:rsidRDefault="008473CF" w:rsidP="008473CF">
      <w:pPr>
        <w:pStyle w:val="Prrafodelista"/>
        <w:numPr>
          <w:ilvl w:val="0"/>
          <w:numId w:val="1"/>
        </w:numPr>
        <w:spacing w:line="276" w:lineRule="auto"/>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 xml:space="preserve">Según el historiador israelí Ilan Pappe en </w:t>
      </w:r>
      <w:r w:rsidRPr="009A0951">
        <w:rPr>
          <w:rFonts w:ascii="Times New Roman" w:hAnsi="Times New Roman" w:cs="Times New Roman"/>
          <w:i/>
          <w:color w:val="000000" w:themeColor="text1"/>
          <w:sz w:val="24"/>
          <w:szCs w:val="24"/>
          <w:lang w:val="es-ES"/>
        </w:rPr>
        <w:t>El origen de la violencia en Gaza está en la ideología racista de la eliminación del nativo</w:t>
      </w:r>
      <w:r w:rsidRPr="009A0951">
        <w:rPr>
          <w:rFonts w:ascii="Times New Roman" w:hAnsi="Times New Roman" w:cs="Times New Roman"/>
          <w:color w:val="000000" w:themeColor="text1"/>
          <w:sz w:val="24"/>
          <w:szCs w:val="24"/>
          <w:lang w:val="es-ES"/>
        </w:rPr>
        <w:t xml:space="preserve">, hasta el 7 de octubre, donde ocurre el ataque sorpresa de Hamas a Israel, el tema de discusión principal era la identidad de Israel, ya que existe o existe una lucha interna entre el Estado de Judea y el Estado de Israel. </w:t>
      </w:r>
    </w:p>
    <w:p w14:paraId="537D0724" w14:textId="77777777" w:rsidR="008473CF" w:rsidRPr="009A0951" w:rsidRDefault="008473CF" w:rsidP="008473CF">
      <w:pPr>
        <w:spacing w:line="276" w:lineRule="auto"/>
        <w:ind w:left="720"/>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El Estado de Judea establecido y conformado por colonos judíos en Cisjordania, el cual es una combinación de judaísmo mesiánico, fanatismo sionista y racismo, que se convirtió en una estructura poderosa, notoria e importante en los últimos años, bajo el régimen de Benjamín Netanyahu, y que estuvo a punto de imponer su forma de vida a Israel, más allá de Judea, más allá de Cisjordania.</w:t>
      </w:r>
    </w:p>
    <w:p w14:paraId="7E87E257" w14:textId="77777777" w:rsidR="008473CF" w:rsidRPr="009A0951" w:rsidRDefault="008473CF" w:rsidP="008473CF">
      <w:pPr>
        <w:spacing w:line="276" w:lineRule="auto"/>
        <w:ind w:left="720"/>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Para el Estado de Judea, su capital fue y seguirá siendo Jerusalén, así como para el Estado de Israel, en esto no hay discusión. Situada en los montes de Judea, capital de Israel, la sede del gobierno y el centro histórico, espiritual y nacional del pueblo judío desde que el rey David la convirtió en capital de su reino hace aproximadamente 3.000 años. Santificada por la religión y la tradición, por sus lugares santos y sus templos.</w:t>
      </w:r>
    </w:p>
    <w:p w14:paraId="3E0323E2" w14:textId="77777777" w:rsidR="008473CF" w:rsidRPr="009A0951" w:rsidRDefault="008473CF" w:rsidP="008473CF">
      <w:pPr>
        <w:spacing w:line="276" w:lineRule="auto"/>
        <w:ind w:left="720"/>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 xml:space="preserve">El Estado de Israel, que se alzó contra el Estado de Judea, su principal ciudad de Tel Aviv; pluralista, democrática, laico, occidental o europeo; es una guerra civil fría, pero sin duda, una guerra cultural y religiosa entre ellos mismos. </w:t>
      </w:r>
    </w:p>
    <w:p w14:paraId="19846DBF" w14:textId="77777777" w:rsidR="008473CF" w:rsidRPr="009A0951" w:rsidRDefault="008473CF" w:rsidP="008473CF">
      <w:pPr>
        <w:spacing w:line="276" w:lineRule="auto"/>
        <w:ind w:left="720"/>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lastRenderedPageBreak/>
        <w:t xml:space="preserve">Así mismo añade Pappe, que se tiene una lucha, por un lado, </w:t>
      </w:r>
      <w:r w:rsidRPr="009A0951">
        <w:rPr>
          <w:rFonts w:ascii="Times New Roman" w:hAnsi="Times New Roman" w:cs="Times New Roman"/>
          <w:i/>
          <w:color w:val="000000" w:themeColor="text1"/>
          <w:sz w:val="24"/>
          <w:szCs w:val="24"/>
          <w:lang w:val="es-ES"/>
        </w:rPr>
        <w:t>estaba el apartheid israelí laico, en el que los judíos israelíes sin duda disfrutan de la vida en una democracia plural, al estilo occidental.</w:t>
      </w:r>
      <w:r w:rsidRPr="009A0951">
        <w:rPr>
          <w:rFonts w:ascii="Times New Roman" w:hAnsi="Times New Roman" w:cs="Times New Roman"/>
          <w:color w:val="000000" w:themeColor="text1"/>
          <w:sz w:val="24"/>
          <w:szCs w:val="24"/>
          <w:lang w:val="es-ES"/>
        </w:rPr>
        <w:t xml:space="preserve"> As u vez, está la </w:t>
      </w:r>
      <w:r w:rsidRPr="009A0951">
        <w:rPr>
          <w:rFonts w:ascii="Times New Roman" w:hAnsi="Times New Roman" w:cs="Times New Roman"/>
          <w:i/>
          <w:color w:val="000000" w:themeColor="text1"/>
          <w:sz w:val="24"/>
          <w:szCs w:val="24"/>
          <w:lang w:val="es-ES"/>
        </w:rPr>
        <w:t xml:space="preserve">versión contraria del apartheid, la mesiánica, la religiosa, la teocrática. </w:t>
      </w:r>
      <w:r w:rsidRPr="009A0951">
        <w:rPr>
          <w:rFonts w:ascii="Times New Roman" w:hAnsi="Times New Roman" w:cs="Times New Roman"/>
          <w:color w:val="000000" w:themeColor="text1"/>
          <w:sz w:val="24"/>
          <w:szCs w:val="24"/>
          <w:lang w:val="es-ES"/>
        </w:rPr>
        <w:t xml:space="preserve">En fin, era una lucha interna, sobre el tipo de vida judía en el ámbito público. Por supuesto, no existe Palestina ni en Cisjordania, ni en Gaza, ni descremación contra ellos/as, es decir, los palestinos/as no existen. </w:t>
      </w:r>
    </w:p>
    <w:p w14:paraId="0872E74C" w14:textId="77777777" w:rsidR="008473CF" w:rsidRPr="009A0951" w:rsidRDefault="008473CF" w:rsidP="008473CF">
      <w:pPr>
        <w:spacing w:line="276" w:lineRule="auto"/>
        <w:ind w:left="720"/>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 xml:space="preserve">Pappe nos sigue ilustrando al afirmar que Israel, tiene unas políticas de eliminación históricas que son: el genocidio, la limpieza étnica o el apartheid, que "tienen su origen en el pensamiento sionista (en los dibujos de los pintores sionistas, en la escritura de los intelectuales sionistas), y que en 1930 se convirtieron en una estrategia que se implementó por primera vez en 1948, con la limpieza étnica que terminó con la expulsión de la mitad de los palestinos/as y la destrucción de la mitad de los pueblos de Palestina. Por cierto, muchos pueblos israelíes están construidos sobre las ruinas de aquellos; algunos kibutz que fueron ocupados por Hamás durante unas horas se construyeron sobre las ruinas de esos pueblos palestinos de 1948, y una cantidad considerable de los palestinos/as que entraron en los kibutz (explotación agraria israelí gestionada de forma colectiva y basada en el trabajo y la propiedad comunes) eran una tercera generación de refugiados de estos mismos pueblos destruidos no lejos de Gaza". </w:t>
      </w:r>
    </w:p>
    <w:p w14:paraId="3B1FF6D9" w14:textId="77777777" w:rsidR="008473CF" w:rsidRPr="009A0951" w:rsidRDefault="008473CF" w:rsidP="008473CF">
      <w:pPr>
        <w:spacing w:line="276" w:lineRule="auto"/>
        <w:ind w:left="720"/>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 xml:space="preserve">Así concluye Ilan Pappe, "Israel expulsó a 36 pueblos entre 1948 y 1967 dentro de Israel, Israel expulsó a 300.000 palestinos/as de Cisjordania y la Franja de Gaza durante la guerra de junio de 1967. Desde 1967 hasta hoy, Israel ha expulsado a casi 700.000 palestinos/as de Cisjordania y la Franja de Gaza. Y actualmente, Israel continúa la limpieza étnica en lugares como Maghazi, Gaza, el sur, las montañas de Hebrón, la zona del Gran Jerusalén y otros lugares de Palestina". </w:t>
      </w:r>
    </w:p>
    <w:p w14:paraId="544DAB10" w14:textId="77777777" w:rsidR="008473CF" w:rsidRPr="009A0951" w:rsidRDefault="008473CF" w:rsidP="008473CF">
      <w:pPr>
        <w:spacing w:line="276" w:lineRule="auto"/>
        <w:ind w:left="720"/>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"La limpieza étnica se ha convertido en el ADN de la política israelí hacia los palestinos y palestinas, y emplea a cientos de miles de personas para llevarla a cabo, porque no se trata de limpiezas étnicas masivas como en 1948, sino de limpiezas étnicas graduales. A veces es la expulsión de una persona o de una familia, a veces es el cierre de un pueblo o el cerco de la Franja de Gaza, que también es una forma de limpieza étnica, porque si creas el gueto de Gaza, no tienes que incluir a esos dos millones de palestinos/as dentro del balance demográfico de árabes y judíos, porque estos palestinos/as no tienen voz ni voto en el futuro de la Palestina histórica".</w:t>
      </w:r>
    </w:p>
    <w:p w14:paraId="42A8628C" w14:textId="77777777" w:rsidR="008473CF" w:rsidRPr="009A0951" w:rsidRDefault="008473CF" w:rsidP="008473CF">
      <w:pPr>
        <w:spacing w:line="276" w:lineRule="auto"/>
        <w:ind w:left="720"/>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 xml:space="preserve">Claudio Katz en </w:t>
      </w:r>
      <w:r w:rsidRPr="009A0951">
        <w:rPr>
          <w:rFonts w:ascii="Times New Roman" w:hAnsi="Times New Roman" w:cs="Times New Roman"/>
          <w:i/>
          <w:color w:val="000000" w:themeColor="text1"/>
          <w:sz w:val="24"/>
          <w:szCs w:val="24"/>
          <w:lang w:val="es-ES"/>
        </w:rPr>
        <w:t>La incursión que trastocó Medio Oriente</w:t>
      </w:r>
      <w:r w:rsidRPr="009A0951">
        <w:rPr>
          <w:rFonts w:ascii="Times New Roman" w:hAnsi="Times New Roman" w:cs="Times New Roman"/>
          <w:color w:val="000000" w:themeColor="text1"/>
          <w:sz w:val="24"/>
          <w:szCs w:val="24"/>
          <w:lang w:val="es-ES"/>
        </w:rPr>
        <w:t>, lo sintetiza así: "</w:t>
      </w:r>
      <w:r w:rsidRPr="009A0951">
        <w:rPr>
          <w:rFonts w:ascii="Times New Roman" w:hAnsi="Times New Roman" w:cs="Times New Roman"/>
          <w:i/>
          <w:color w:val="000000" w:themeColor="text1"/>
          <w:sz w:val="24"/>
          <w:szCs w:val="24"/>
          <w:lang w:val="es-ES"/>
        </w:rPr>
        <w:t>El expansionismo sionista exige una limpieza étnica en el caso de Gaza. Esa política fue desafiada por un operativo espectacular, que demolió la imagen de Israel como potencia invulnerable. La derechización de ese país desestabiliza la contraofensiva imperial estadounidense. Hamas ejerce su legítimo derecho a la resistencia, frente a un Estado terrorista que actúa como agresor</w:t>
      </w:r>
      <w:r w:rsidRPr="009A0951">
        <w:rPr>
          <w:rFonts w:ascii="Times New Roman" w:hAnsi="Times New Roman" w:cs="Times New Roman"/>
          <w:color w:val="000000" w:themeColor="text1"/>
          <w:sz w:val="24"/>
          <w:szCs w:val="24"/>
          <w:lang w:val="es-ES"/>
        </w:rPr>
        <w:t xml:space="preserve">". </w:t>
      </w:r>
    </w:p>
    <w:p w14:paraId="50D9779D" w14:textId="77777777" w:rsidR="008473CF" w:rsidRPr="009A0951" w:rsidRDefault="008473CF" w:rsidP="008473CF">
      <w:pPr>
        <w:pStyle w:val="Prrafodelista"/>
        <w:numPr>
          <w:ilvl w:val="0"/>
          <w:numId w:val="1"/>
        </w:numPr>
        <w:spacing w:line="276" w:lineRule="auto"/>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 xml:space="preserve">Más recientemente, Atilio Boròn en </w:t>
      </w:r>
      <w:r w:rsidRPr="009A0951">
        <w:rPr>
          <w:rFonts w:ascii="Times New Roman" w:hAnsi="Times New Roman" w:cs="Times New Roman"/>
          <w:i/>
          <w:color w:val="000000" w:themeColor="text1"/>
          <w:sz w:val="24"/>
          <w:szCs w:val="24"/>
          <w:lang w:val="es-ES"/>
        </w:rPr>
        <w:t xml:space="preserve">Gaza, Israel y la política del genocidio, </w:t>
      </w:r>
      <w:r w:rsidRPr="009A0951">
        <w:rPr>
          <w:rFonts w:ascii="Times New Roman" w:hAnsi="Times New Roman" w:cs="Times New Roman"/>
          <w:color w:val="000000" w:themeColor="text1"/>
          <w:sz w:val="24"/>
          <w:szCs w:val="24"/>
          <w:lang w:val="es-ES"/>
        </w:rPr>
        <w:t xml:space="preserve">señala que la política de genocidio contra los palestinos/as proviene de la mente guerrera de Ben Gurion. Boròn citando a Noam Chomsky en su texto publicado en 1983 y reeditado y actualizado en 1999: Fateful Triangle. </w:t>
      </w:r>
      <w:r w:rsidRPr="009A0951">
        <w:rPr>
          <w:rFonts w:ascii="Times New Roman" w:hAnsi="Times New Roman" w:cs="Times New Roman"/>
          <w:color w:val="000000" w:themeColor="text1"/>
          <w:sz w:val="24"/>
          <w:szCs w:val="24"/>
        </w:rPr>
        <w:t xml:space="preserve">The United States, Israel and the Palestinians (Londres: Pluto Press, 1999) Prefacio de Edward Said. </w:t>
      </w:r>
      <w:r w:rsidRPr="009A0951">
        <w:rPr>
          <w:rFonts w:ascii="Times New Roman" w:hAnsi="Times New Roman" w:cs="Times New Roman"/>
          <w:color w:val="000000" w:themeColor="text1"/>
          <w:sz w:val="24"/>
          <w:szCs w:val="24"/>
          <w:lang w:val="es-ES"/>
        </w:rPr>
        <w:t xml:space="preserve">Este pasaje se encuentra en la pg. 324 de la edición disponible en internet: </w:t>
      </w:r>
      <w:hyperlink r:id="rId5" w:history="1">
        <w:r w:rsidRPr="009A0951">
          <w:rPr>
            <w:rStyle w:val="Hipervnculo"/>
            <w:rFonts w:ascii="Times New Roman" w:hAnsi="Times New Roman" w:cs="Times New Roman"/>
            <w:color w:val="000000" w:themeColor="text1"/>
            <w:sz w:val="24"/>
            <w:szCs w:val="24"/>
            <w:lang w:val="es-ES"/>
          </w:rPr>
          <w:t>https://dn790006.ca.archive.org/0/items/NoamChomskyFatefulTrian</w:t>
        </w:r>
      </w:hyperlink>
      <w:r w:rsidRPr="009A0951">
        <w:rPr>
          <w:rFonts w:ascii="Times New Roman" w:hAnsi="Times New Roman" w:cs="Times New Roman"/>
          <w:color w:val="000000" w:themeColor="text1"/>
          <w:sz w:val="24"/>
          <w:szCs w:val="24"/>
          <w:lang w:val="es-ES"/>
        </w:rPr>
        <w:t xml:space="preserve">, indica: “La doctrina militar de atacar a civiles indefensos (como lo que hoy ocurre en Gaza) procede de David Ben Gurion, que era bastante explícito al respecto, aunque no en público, por supuesto". </w:t>
      </w:r>
    </w:p>
    <w:p w14:paraId="41CEAB4F" w14:textId="77777777" w:rsidR="008473CF" w:rsidRPr="009A0951" w:rsidRDefault="008473CF" w:rsidP="008473CF">
      <w:pPr>
        <w:pStyle w:val="Prrafodelista"/>
        <w:spacing w:line="276" w:lineRule="auto"/>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Ben Gurion, "en una entrada del 1 de enero de 1948 en su Diario de la Guerra de Independencia, escribe: No hay duda de si una reacción es necesaria o no. La cuestión es solo el momento y el lugar. Volar una casa no es suficiente. Lo que se necesita son reacciones crueles y enérgicas. Necesitamos precisión en tiempo, lugar y víctimas. Si conocemos a la familia (debemos) golpear sin piedad, mujeres y niños incluidos. De lo contrario, la reacción es ineficaz. En el lugar de la acción no es necesario distinguir entre culpables e inocentes. Donde no hubo ataque, no debemos golpear".</w:t>
      </w:r>
    </w:p>
    <w:p w14:paraId="308ED768" w14:textId="77777777" w:rsidR="008473CF" w:rsidRPr="009A0951" w:rsidRDefault="008473CF" w:rsidP="008473CF">
      <w:pPr>
        <w:pStyle w:val="Prrafodelista"/>
        <w:spacing w:line="276" w:lineRule="auto"/>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En síntesis, señala Boròn, "la tragedia que estamos viendo hoy en Gaza nada tiene de novedosa: “volar” casas, asesinar a familiares de supuestos o reales militantes de Hamás, no tener la menor compasión por niños, mujeres y ancianos, era lo que recomendaba sin remordimiento alguno el fundador del Estado israelí".</w:t>
      </w:r>
    </w:p>
    <w:p w14:paraId="72EA8539" w14:textId="77777777" w:rsidR="008473CF" w:rsidRPr="009A0951" w:rsidRDefault="008473CF" w:rsidP="008473CF">
      <w:pPr>
        <w:spacing w:line="276" w:lineRule="auto"/>
        <w:jc w:val="both"/>
        <w:rPr>
          <w:rFonts w:ascii="Times New Roman" w:hAnsi="Times New Roman" w:cs="Times New Roman"/>
          <w:b/>
          <w:color w:val="000000" w:themeColor="text1"/>
          <w:sz w:val="24"/>
          <w:szCs w:val="24"/>
          <w:u w:val="single"/>
          <w:lang w:val="es-ES"/>
        </w:rPr>
      </w:pPr>
      <w:r w:rsidRPr="009A0951">
        <w:rPr>
          <w:rFonts w:ascii="Times New Roman" w:hAnsi="Times New Roman" w:cs="Times New Roman"/>
          <w:b/>
          <w:color w:val="000000" w:themeColor="text1"/>
          <w:sz w:val="24"/>
          <w:szCs w:val="24"/>
          <w:u w:val="single"/>
          <w:lang w:val="es-ES"/>
        </w:rPr>
        <w:t>Apuntes histórico-biblico-teologicos</w:t>
      </w:r>
    </w:p>
    <w:p w14:paraId="2A05D0BF" w14:textId="77777777" w:rsidR="008473CF" w:rsidRPr="009A0951" w:rsidRDefault="008473CF" w:rsidP="008473CF">
      <w:pPr>
        <w:pStyle w:val="Prrafodelista"/>
        <w:numPr>
          <w:ilvl w:val="0"/>
          <w:numId w:val="2"/>
        </w:numPr>
        <w:spacing w:line="276" w:lineRule="auto"/>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 xml:space="preserve">Recordemos que inicialmente el pueblo de Israel, no surgió a la existencia como Nación por medio de una guerra, sino que hubo una especie de "eleccion-bendicion" por parte de Yavè (narrada en el libro de Génesis, época de los patriarcas), luego fue la liberación del Exodo, con el pacto y el paso por el desierto, narrados en los libros de Exodo, Levítico, Números, Deuteronomio. En estos escenarios, hubo algunos guerreros y batallas, pero no fueron tan importantes. La guerra vino después, cuando Israel debió ocupar la "tierra prometida". </w:t>
      </w:r>
    </w:p>
    <w:p w14:paraId="3C25FEBD" w14:textId="77777777" w:rsidR="008473CF" w:rsidRPr="009A0951" w:rsidRDefault="008473CF" w:rsidP="008473CF">
      <w:pPr>
        <w:spacing w:line="276" w:lineRule="auto"/>
        <w:ind w:left="720"/>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Recordemos, que Moisés y otros personajes, eran en el pueblo: legisladores, profetas y caudillos. Luego Moisés da la autoridad a Josué como jefe militar, para conquistar la tierra prometida. Surgiendo así, el aparato militar en Israel.</w:t>
      </w:r>
    </w:p>
    <w:p w14:paraId="18AA59DA" w14:textId="77777777" w:rsidR="008473CF" w:rsidRPr="009A0951" w:rsidRDefault="008473CF" w:rsidP="008473CF">
      <w:pPr>
        <w:spacing w:line="276" w:lineRule="auto"/>
        <w:ind w:left="720"/>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 xml:space="preserve">Así, el texto bíblico del Antiguo Testamento, narra la existencia de tres grandes caudillos militares de Israel, dentro del imaginario religioso militar: Josué, David y Judas Macabeo. </w:t>
      </w:r>
    </w:p>
    <w:p w14:paraId="5A45B4B8" w14:textId="77777777" w:rsidR="008473CF" w:rsidRPr="009A0951" w:rsidRDefault="008473CF" w:rsidP="008473CF">
      <w:pPr>
        <w:spacing w:line="276" w:lineRule="auto"/>
        <w:ind w:left="720"/>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 xml:space="preserve">Centrémonos en Josué, según Josué. 1:1-10, Josué es enviado a la guerra y su manual era la Ley dictada por Yave a Moisés. Es enviado como soldado, guerrero de una Ley que lo protege, que lo hace triunfar sobre sus enemigos y cuyo general y lugarteniente Josué es elevado a esa categoría. El libro de Josué entonces, es un manual utópico de la conquista religiosa de la tierra, un libro del pasado que resume, lo que fue la conquista israelita de Palestina. </w:t>
      </w:r>
    </w:p>
    <w:p w14:paraId="3F32DD59" w14:textId="77777777" w:rsidR="008473CF" w:rsidRPr="009A0951" w:rsidRDefault="008473CF" w:rsidP="008473CF">
      <w:pPr>
        <w:spacing w:line="276" w:lineRule="auto"/>
        <w:ind w:left="720"/>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 xml:space="preserve">Josué aparece así, en el principio de la historia militar israelita, como ministro religioso de una guerra santa. Él es el primero y en algún sentido el más grande de todos los soldados de esta galería de figuras militares del Antiguo Testamento. Obedeciendo y cumpliendo su Ley, ganó la primera guerra. </w:t>
      </w:r>
    </w:p>
    <w:p w14:paraId="1D626564" w14:textId="77777777" w:rsidR="008473CF" w:rsidRPr="009A0951" w:rsidRDefault="008473CF" w:rsidP="008473CF">
      <w:pPr>
        <w:pStyle w:val="Prrafodelista"/>
        <w:numPr>
          <w:ilvl w:val="0"/>
          <w:numId w:val="2"/>
        </w:numPr>
        <w:spacing w:line="276" w:lineRule="auto"/>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 xml:space="preserve">Ahora, en El Talmud, que es el libro que contiene la tradición oral, doctrinas, ceremonias y preceptos de la religión judía, que incluye la Mishnà y la Gemara, y que contienen la explicación de la Torá (los cinco libros de Moisés) de los rabinos de los años 100 A.C. hasta 500 A.C, y específicamente la Mishnà explica que "había dos tipos de guerra (la guerra obligatoria y la guerra voluntaria) La guerra obligatoria </w:t>
      </w:r>
      <w:r w:rsidRPr="009A0951">
        <w:rPr>
          <w:rFonts w:ascii="Times New Roman" w:hAnsi="Times New Roman" w:cs="Times New Roman"/>
          <w:color w:val="000000" w:themeColor="text1"/>
          <w:sz w:val="24"/>
          <w:szCs w:val="24"/>
          <w:lang w:val="es-ES"/>
        </w:rPr>
        <w:lastRenderedPageBreak/>
        <w:t xml:space="preserve">fue dirigida contra las naciones que habitaban Canaán (los Hetheos, los Amorrheos, los Cananeos, los Pherezeos, los Heveos y los Jebuseos) La guerra obligatoria también incluía los Amalecitos o a un enemigo que había atacado Israel. Con respecto a una guerra voluntaria, el rey podía avanzar solamente después de una decisión de un tribunal de 71 miembros. Esta corte se llamaba el Gran Sanhedrin. Fue el consejo supremo y el tribunal de los judíos que se desarrolló del consejo municipal de Jerusalén Tenía jurisdicción sobre asuntos religiosos tanto como los casos civiles y criminales".  </w:t>
      </w:r>
    </w:p>
    <w:p w14:paraId="62D880CC" w14:textId="77777777" w:rsidR="008473CF" w:rsidRPr="009A0951" w:rsidRDefault="008473CF" w:rsidP="008473CF">
      <w:pPr>
        <w:spacing w:line="276" w:lineRule="auto"/>
        <w:ind w:left="720"/>
        <w:jc w:val="both"/>
        <w:rPr>
          <w:rFonts w:ascii="Times New Roman" w:hAnsi="Times New Roman" w:cs="Times New Roman"/>
          <w:color w:val="000000" w:themeColor="text1"/>
          <w:sz w:val="24"/>
          <w:szCs w:val="24"/>
          <w:lang w:val="es-ES"/>
        </w:rPr>
      </w:pPr>
      <w:r w:rsidRPr="009A0951">
        <w:rPr>
          <w:rFonts w:ascii="Times New Roman" w:hAnsi="Times New Roman" w:cs="Times New Roman"/>
          <w:color w:val="000000" w:themeColor="text1"/>
          <w:sz w:val="24"/>
          <w:szCs w:val="24"/>
          <w:lang w:val="es-ES"/>
        </w:rPr>
        <w:t xml:space="preserve">Con relación a la estrategia militar incluía los ataques de sorpresa, las emboscadas, la concentración de fuerza, los ataques de noche, y había tres métodos para conquistar una ciudad fortificada: un medio directo (se penetró la muralla por romperla, por treparla o por excavar un túnel por debajo); el asedio; un medio indirecto (por la artimaña). </w:t>
      </w:r>
      <w:r w:rsidRPr="009A0951">
        <w:rPr>
          <w:rFonts w:ascii="Times New Roman" w:hAnsi="Times New Roman" w:cs="Times New Roman"/>
          <w:i/>
          <w:color w:val="000000" w:themeColor="text1"/>
          <w:sz w:val="24"/>
          <w:szCs w:val="24"/>
          <w:lang w:val="es-ES"/>
        </w:rPr>
        <w:t>La ley de la guerra: una comparación bíblica</w:t>
      </w:r>
      <w:r w:rsidRPr="009A0951">
        <w:rPr>
          <w:rFonts w:ascii="Times New Roman" w:hAnsi="Times New Roman" w:cs="Times New Roman"/>
          <w:color w:val="000000" w:themeColor="text1"/>
          <w:sz w:val="24"/>
          <w:szCs w:val="24"/>
          <w:lang w:val="es-ES"/>
        </w:rPr>
        <w:t xml:space="preserve"> de Diane S. Segal. </w:t>
      </w:r>
    </w:p>
    <w:p w14:paraId="26D1F94A" w14:textId="77777777" w:rsidR="008473CF" w:rsidRPr="009A0951" w:rsidRDefault="00A21BD1" w:rsidP="008473CF">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Estas notas</w:t>
      </w:r>
      <w:r w:rsidR="008473CF" w:rsidRPr="009A0951">
        <w:rPr>
          <w:rFonts w:ascii="Times New Roman" w:hAnsi="Times New Roman" w:cs="Times New Roman"/>
          <w:color w:val="000000" w:themeColor="text1"/>
          <w:sz w:val="24"/>
          <w:szCs w:val="24"/>
          <w:lang w:val="es-ES"/>
        </w:rPr>
        <w:t>, bre</w:t>
      </w:r>
      <w:r>
        <w:rPr>
          <w:rFonts w:ascii="Times New Roman" w:hAnsi="Times New Roman" w:cs="Times New Roman"/>
          <w:color w:val="000000" w:themeColor="text1"/>
          <w:sz w:val="24"/>
          <w:szCs w:val="24"/>
          <w:lang w:val="es-ES"/>
        </w:rPr>
        <w:t>vemente y apretadamente indicada</w:t>
      </w:r>
      <w:r w:rsidR="008473CF" w:rsidRPr="009A0951">
        <w:rPr>
          <w:rFonts w:ascii="Times New Roman" w:hAnsi="Times New Roman" w:cs="Times New Roman"/>
          <w:color w:val="000000" w:themeColor="text1"/>
          <w:sz w:val="24"/>
          <w:szCs w:val="24"/>
          <w:lang w:val="es-ES"/>
        </w:rPr>
        <w:t xml:space="preserve">s, pretenden ir hacia una respuesta de los cuestionamientos arriba escritos. Parece haber una explicación histórica y religiosa sobre el actuar israelí contra los palestinos/as en Gaza. Por supuesto, hay otros aspectos que dan razón de este vergonzoso proceder. </w:t>
      </w:r>
    </w:p>
    <w:p w14:paraId="605543ED"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Sobre un mapa se pueden trazar todas las líneas</w:t>
      </w:r>
    </w:p>
    <w:p w14:paraId="421BD634"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Horizontales, rectas, diagonales</w:t>
      </w:r>
    </w:p>
    <w:p w14:paraId="40F57370"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Desde el meridiano de Greenwich hasta el golfo de México</w:t>
      </w:r>
    </w:p>
    <w:p w14:paraId="235A74C5"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Que más o menos</w:t>
      </w:r>
    </w:p>
    <w:p w14:paraId="603E5E50"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Pertenece a nuestra idiosincrasia</w:t>
      </w:r>
    </w:p>
    <w:p w14:paraId="53B51E78"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También hay mapas grandes, grandes, grandes</w:t>
      </w:r>
    </w:p>
    <w:p w14:paraId="665EC1A6"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En la imaginación</w:t>
      </w:r>
    </w:p>
    <w:p w14:paraId="5C37F843"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E infinitos globos terráqueos</w:t>
      </w:r>
    </w:p>
    <w:p w14:paraId="6A3BFEF3"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Marta</w:t>
      </w:r>
    </w:p>
    <w:p w14:paraId="1AB09D9A"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Pero hoy sospecho que sobre un mapa pequeñísimo</w:t>
      </w:r>
    </w:p>
    <w:p w14:paraId="049AD0F3"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Mínimo</w:t>
      </w:r>
    </w:p>
    <w:p w14:paraId="424EB000"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Dibujado en papel de libreta escolar</w:t>
      </w:r>
    </w:p>
    <w:p w14:paraId="5FC2D2E7" w14:textId="77777777" w:rsidR="008473CF" w:rsidRPr="009A0951" w:rsidRDefault="008473CF" w:rsidP="008473CF">
      <w:pPr>
        <w:spacing w:after="0" w:line="276" w:lineRule="auto"/>
        <w:jc w:val="right"/>
        <w:rPr>
          <w:rFonts w:ascii="Times New Roman" w:hAnsi="Times New Roman" w:cs="Times New Roman"/>
          <w:i/>
          <w:color w:val="000000" w:themeColor="text1"/>
          <w:sz w:val="24"/>
          <w:szCs w:val="24"/>
          <w:lang w:val="es-ES"/>
        </w:rPr>
      </w:pPr>
      <w:r w:rsidRPr="009A0951">
        <w:rPr>
          <w:rFonts w:ascii="Times New Roman" w:hAnsi="Times New Roman" w:cs="Times New Roman"/>
          <w:i/>
          <w:color w:val="000000" w:themeColor="text1"/>
          <w:sz w:val="24"/>
          <w:szCs w:val="24"/>
          <w:lang w:val="es-ES"/>
        </w:rPr>
        <w:t>Puede caber toda la historia</w:t>
      </w:r>
    </w:p>
    <w:p w14:paraId="5021DF21" w14:textId="77777777" w:rsidR="008473CF" w:rsidRPr="009A0951" w:rsidRDefault="008473CF" w:rsidP="008473CF">
      <w:pPr>
        <w:spacing w:after="0" w:line="276" w:lineRule="auto"/>
        <w:jc w:val="right"/>
        <w:rPr>
          <w:rFonts w:ascii="Times New Roman" w:hAnsi="Times New Roman" w:cs="Times New Roman"/>
          <w:color w:val="000000" w:themeColor="text1"/>
          <w:sz w:val="24"/>
          <w:szCs w:val="24"/>
          <w:lang w:val="es-ES"/>
        </w:rPr>
      </w:pPr>
      <w:r w:rsidRPr="009A0951">
        <w:rPr>
          <w:rFonts w:ascii="Times New Roman" w:hAnsi="Times New Roman" w:cs="Times New Roman"/>
          <w:i/>
          <w:color w:val="000000" w:themeColor="text1"/>
          <w:sz w:val="24"/>
          <w:szCs w:val="24"/>
          <w:lang w:val="es-ES"/>
        </w:rPr>
        <w:t>Toda.</w:t>
      </w:r>
      <w:r w:rsidRPr="009A0951">
        <w:rPr>
          <w:rFonts w:ascii="Times New Roman" w:hAnsi="Times New Roman" w:cs="Times New Roman"/>
          <w:color w:val="000000" w:themeColor="text1"/>
          <w:sz w:val="24"/>
          <w:szCs w:val="24"/>
          <w:lang w:val="es-ES"/>
        </w:rPr>
        <w:t xml:space="preserve"> </w:t>
      </w:r>
    </w:p>
    <w:p w14:paraId="3E79CE74" w14:textId="77777777" w:rsidR="00CD031D" w:rsidRPr="009A0951" w:rsidRDefault="008473CF" w:rsidP="006B1BA1">
      <w:pPr>
        <w:spacing w:line="276" w:lineRule="auto"/>
        <w:jc w:val="both"/>
        <w:rPr>
          <w:rFonts w:ascii="Times New Roman" w:hAnsi="Times New Roman" w:cs="Times New Roman"/>
          <w:sz w:val="24"/>
          <w:szCs w:val="24"/>
          <w:lang w:val="es-ES"/>
        </w:rPr>
      </w:pPr>
      <w:r w:rsidRPr="009A0951">
        <w:rPr>
          <w:rFonts w:ascii="Times New Roman" w:hAnsi="Times New Roman" w:cs="Times New Roman"/>
          <w:color w:val="000000" w:themeColor="text1"/>
          <w:sz w:val="20"/>
          <w:szCs w:val="20"/>
          <w:lang w:val="es-ES"/>
        </w:rPr>
        <w:t>Compartimos aquí “</w:t>
      </w:r>
      <w:r w:rsidRPr="009A0951">
        <w:rPr>
          <w:rFonts w:ascii="Times New Roman" w:hAnsi="Times New Roman" w:cs="Times New Roman"/>
          <w:i/>
          <w:color w:val="000000" w:themeColor="text1"/>
          <w:sz w:val="20"/>
          <w:szCs w:val="20"/>
          <w:lang w:val="es-ES"/>
        </w:rPr>
        <w:t>Réquiem para la mano izquierda</w:t>
      </w:r>
      <w:r w:rsidRPr="009A0951">
        <w:rPr>
          <w:rFonts w:ascii="Times New Roman" w:hAnsi="Times New Roman" w:cs="Times New Roman"/>
          <w:color w:val="000000" w:themeColor="text1"/>
          <w:sz w:val="20"/>
          <w:szCs w:val="20"/>
          <w:lang w:val="es-ES"/>
        </w:rPr>
        <w:t xml:space="preserve">” de Nancy Morejón, en diálogo con la humanidad de la poesía de Darwish y con los ritmos de la música cubana Marta Valdés (a quien está dedicado este poema). </w:t>
      </w:r>
    </w:p>
    <w:sectPr w:rsidR="00CD031D" w:rsidRPr="009A0951"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C564F"/>
    <w:multiLevelType w:val="hybridMultilevel"/>
    <w:tmpl w:val="193A1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691B2C"/>
    <w:multiLevelType w:val="hybridMultilevel"/>
    <w:tmpl w:val="D6307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9130735">
    <w:abstractNumId w:val="0"/>
  </w:num>
  <w:num w:numId="2" w16cid:durableId="1192958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3CF"/>
    <w:rsid w:val="000D6C46"/>
    <w:rsid w:val="004B0B72"/>
    <w:rsid w:val="006B1BA1"/>
    <w:rsid w:val="0077156C"/>
    <w:rsid w:val="008473CF"/>
    <w:rsid w:val="009172A6"/>
    <w:rsid w:val="009635A1"/>
    <w:rsid w:val="009A0951"/>
    <w:rsid w:val="00A21BD1"/>
    <w:rsid w:val="00A62B6C"/>
    <w:rsid w:val="00B54046"/>
    <w:rsid w:val="00C11B0B"/>
    <w:rsid w:val="00CD031D"/>
    <w:rsid w:val="00CF3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663E0"/>
  <w15:chartTrackingRefBased/>
  <w15:docId w15:val="{16538829-DB2A-4571-9642-F359B8C1F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3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473CF"/>
    <w:rPr>
      <w:color w:val="0563C1" w:themeColor="hyperlink"/>
      <w:u w:val="single"/>
    </w:rPr>
  </w:style>
  <w:style w:type="paragraph" w:styleId="Prrafodelista">
    <w:name w:val="List Paragraph"/>
    <w:basedOn w:val="Normal"/>
    <w:uiPriority w:val="34"/>
    <w:qFormat/>
    <w:rsid w:val="00847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n790006.ca.archive.org/0/items/NoamChomskyFatefulTrian"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1746</Words>
  <Characters>9603</Characters>
  <Application>Microsoft Office Word</Application>
  <DocSecurity>0</DocSecurity>
  <Lines>80</Lines>
  <Paragraphs>22</Paragraphs>
  <ScaleCrop>false</ScaleCrop>
  <Company/>
  <LinksUpToDate>false</LinksUpToDate>
  <CharactersWithSpaces>11327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2023-11-24T13:50:00Z</dcterms:created>
  <dcterms:modified xsi:type="dcterms:W3CDTF">2023-11-24T13:50:00Z</dcterms:modified>
</cp:coreProperties>
</file>