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F51E4" w14:textId="73C76BFA" w:rsidR="006267F1" w:rsidRPr="006267F1" w:rsidRDefault="006267F1" w:rsidP="006267F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267F1">
        <w:rPr>
          <w:rFonts w:ascii="Arial" w:hAnsi="Arial" w:cs="Arial"/>
          <w:b/>
          <w:bCs/>
          <w:sz w:val="24"/>
          <w:szCs w:val="24"/>
        </w:rPr>
        <w:t>1978-2023</w:t>
      </w:r>
    </w:p>
    <w:p w14:paraId="44865B58" w14:textId="5F03FCA5" w:rsidR="006267F1" w:rsidRDefault="006267F1" w:rsidP="006267F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267F1">
        <w:rPr>
          <w:rFonts w:ascii="Arial" w:hAnsi="Arial" w:cs="Arial"/>
          <w:b/>
          <w:bCs/>
          <w:sz w:val="24"/>
          <w:szCs w:val="24"/>
        </w:rPr>
        <w:t>45 AÑOS DE LA MASACRE DE PANZOS</w:t>
      </w:r>
    </w:p>
    <w:p w14:paraId="37001CEF" w14:textId="1A62D23F" w:rsidR="00F6063F" w:rsidRDefault="00F6063F" w:rsidP="006267F1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C28710F" w14:textId="6CFCE3FE" w:rsidR="00F6063F" w:rsidRPr="00F6063F" w:rsidRDefault="00F6063F" w:rsidP="00F6063F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Kajkoj Máximo Ba Tiul</w:t>
      </w:r>
      <w:r>
        <w:rPr>
          <w:rStyle w:val="Refdenotaalpie"/>
          <w:rFonts w:ascii="Arial" w:hAnsi="Arial" w:cs="Arial"/>
          <w:b/>
          <w:bCs/>
          <w:sz w:val="24"/>
          <w:szCs w:val="24"/>
        </w:rPr>
        <w:footnoteReference w:id="1"/>
      </w:r>
    </w:p>
    <w:p w14:paraId="27F6685B" w14:textId="77777777" w:rsidR="00F6063F" w:rsidRDefault="00F6063F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14:paraId="012EB140" w14:textId="1DA725D3" w:rsidR="00821A21" w:rsidRPr="00F6063F" w:rsidRDefault="006267F1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821A21">
        <w:rPr>
          <w:rFonts w:ascii="Arial" w:hAnsi="Arial" w:cs="Arial"/>
          <w:b w:val="0"/>
          <w:bCs w:val="0"/>
          <w:sz w:val="24"/>
          <w:szCs w:val="24"/>
        </w:rPr>
        <w:t xml:space="preserve">La Masacre de Panzós </w:t>
      </w:r>
      <w:r w:rsidR="00821A21">
        <w:rPr>
          <w:rFonts w:ascii="Arial" w:hAnsi="Arial" w:cs="Arial"/>
          <w:b w:val="0"/>
          <w:bCs w:val="0"/>
          <w:sz w:val="24"/>
          <w:szCs w:val="24"/>
        </w:rPr>
        <w:t xml:space="preserve">de </w:t>
      </w:r>
      <w:r w:rsidRPr="00821A21">
        <w:rPr>
          <w:rFonts w:ascii="Arial" w:hAnsi="Arial" w:cs="Arial"/>
          <w:b w:val="0"/>
          <w:bCs w:val="0"/>
          <w:sz w:val="24"/>
          <w:szCs w:val="24"/>
        </w:rPr>
        <w:t xml:space="preserve">hace 45 años, desnudó la relación que había y sigue habiendo entre el Estado guatemalteco y los pueblos indígenas.  </w:t>
      </w:r>
      <w:r w:rsidR="00F6063F">
        <w:rPr>
          <w:rFonts w:ascii="Arial" w:hAnsi="Arial" w:cs="Arial"/>
          <w:b w:val="0"/>
          <w:bCs w:val="0"/>
          <w:sz w:val="24"/>
          <w:szCs w:val="24"/>
        </w:rPr>
        <w:t xml:space="preserve">La </w:t>
      </w:r>
      <w:r w:rsidRPr="00821A21">
        <w:rPr>
          <w:rFonts w:ascii="Arial" w:hAnsi="Arial" w:cs="Arial"/>
          <w:b w:val="0"/>
          <w:bCs w:val="0"/>
          <w:sz w:val="24"/>
          <w:szCs w:val="24"/>
        </w:rPr>
        <w:t xml:space="preserve">masacre </w:t>
      </w:r>
      <w:r w:rsidR="00821A21" w:rsidRPr="00821A21">
        <w:rPr>
          <w:rFonts w:ascii="Arial" w:hAnsi="Arial" w:cs="Arial"/>
          <w:b w:val="0"/>
          <w:bCs w:val="0"/>
          <w:sz w:val="24"/>
          <w:szCs w:val="24"/>
        </w:rPr>
        <w:t xml:space="preserve">no solo </w:t>
      </w:r>
      <w:r w:rsidRPr="00821A21">
        <w:rPr>
          <w:rFonts w:ascii="Arial" w:hAnsi="Arial" w:cs="Arial"/>
          <w:b w:val="0"/>
          <w:bCs w:val="0"/>
          <w:sz w:val="24"/>
          <w:szCs w:val="24"/>
        </w:rPr>
        <w:t xml:space="preserve">retrata  la acción violenta </w:t>
      </w:r>
      <w:r w:rsidR="00821A21" w:rsidRPr="00821A21">
        <w:rPr>
          <w:rFonts w:ascii="Arial" w:hAnsi="Arial" w:cs="Arial"/>
          <w:b w:val="0"/>
          <w:bCs w:val="0"/>
          <w:sz w:val="24"/>
          <w:szCs w:val="24"/>
        </w:rPr>
        <w:t xml:space="preserve"> y </w:t>
      </w:r>
      <w:r w:rsidRPr="00821A21">
        <w:rPr>
          <w:rFonts w:ascii="Arial" w:hAnsi="Arial" w:cs="Arial"/>
          <w:b w:val="0"/>
          <w:bCs w:val="0"/>
          <w:sz w:val="24"/>
          <w:szCs w:val="24"/>
        </w:rPr>
        <w:t xml:space="preserve">desproporcionada </w:t>
      </w:r>
      <w:r w:rsidR="00821A21" w:rsidRPr="00821A21">
        <w:rPr>
          <w:rFonts w:ascii="Arial" w:hAnsi="Arial" w:cs="Arial"/>
          <w:b w:val="0"/>
          <w:bCs w:val="0"/>
          <w:sz w:val="24"/>
          <w:szCs w:val="24"/>
        </w:rPr>
        <w:t>del Estado en contra de los pueblos indígenas, en este caso la población Q’eqchi’,</w:t>
      </w:r>
      <w:r w:rsidR="00F6063F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821A21" w:rsidRPr="00821A21">
        <w:rPr>
          <w:rFonts w:ascii="Arial" w:hAnsi="Arial" w:cs="Arial"/>
          <w:b w:val="0"/>
          <w:bCs w:val="0"/>
          <w:sz w:val="24"/>
          <w:szCs w:val="24"/>
        </w:rPr>
        <w:t xml:space="preserve">sino </w:t>
      </w:r>
      <w:r w:rsidR="00F6063F" w:rsidRPr="00821A21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que, nos lleva a comprender el </w:t>
      </w:r>
      <w:r w:rsidR="00F6063F">
        <w:rPr>
          <w:rFonts w:ascii="Arial" w:hAnsi="Arial" w:cs="Arial"/>
          <w:b w:val="0"/>
          <w:bCs w:val="0"/>
          <w:color w:val="0F1111"/>
          <w:sz w:val="24"/>
          <w:szCs w:val="24"/>
        </w:rPr>
        <w:t>“</w:t>
      </w:r>
      <w:r w:rsidR="00F6063F" w:rsidRPr="00821A21">
        <w:rPr>
          <w:rFonts w:ascii="Arial" w:hAnsi="Arial" w:cs="Arial"/>
          <w:b w:val="0"/>
          <w:bCs w:val="0"/>
          <w:color w:val="0F1111"/>
          <w:sz w:val="24"/>
          <w:szCs w:val="24"/>
        </w:rPr>
        <w:t>nexo ancestral de la población Q’eqchi’ con la tierra, y cómo, desde la colonia, la relación entre el poder y la población indígena ha tenido un componente fundamental de violencia directa y despojo agrario”</w:t>
      </w:r>
      <w:r w:rsidR="00F6063F">
        <w:rPr>
          <w:rStyle w:val="Refdenotaalpie"/>
          <w:rFonts w:ascii="Arial" w:hAnsi="Arial" w:cs="Arial"/>
          <w:b w:val="0"/>
          <w:bCs w:val="0"/>
          <w:color w:val="0F1111"/>
          <w:sz w:val="24"/>
          <w:szCs w:val="24"/>
        </w:rPr>
        <w:footnoteReference w:id="2"/>
      </w:r>
      <w:r w:rsidR="00F6063F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, </w:t>
      </w:r>
      <w:r w:rsidR="00F6063F">
        <w:rPr>
          <w:rFonts w:ascii="Arial" w:hAnsi="Arial" w:cs="Arial"/>
          <w:b w:val="0"/>
          <w:bCs w:val="0"/>
          <w:sz w:val="24"/>
          <w:szCs w:val="24"/>
        </w:rPr>
        <w:t>como</w:t>
      </w:r>
      <w:r w:rsidR="00821A21" w:rsidRPr="00821A21">
        <w:rPr>
          <w:rFonts w:ascii="Arial" w:hAnsi="Arial" w:cs="Arial"/>
          <w:b w:val="0"/>
          <w:bCs w:val="0"/>
          <w:sz w:val="24"/>
          <w:szCs w:val="24"/>
        </w:rPr>
        <w:t xml:space="preserve"> nos lo describe Sergio Tischler, en el Prólogo del libro, “La Masacre de Panzós: Etnicidad, Tierra y </w:t>
      </w:r>
      <w:r w:rsidR="00821A21" w:rsidRPr="00821A21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violencia en Guatemala”, </w:t>
      </w:r>
    </w:p>
    <w:p w14:paraId="6A1591FA" w14:textId="4A07E68E" w:rsidR="00821A21" w:rsidRPr="00B92619" w:rsidRDefault="00821A21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</w:p>
    <w:p w14:paraId="2C24B9FE" w14:textId="1A41C353" w:rsidR="00821A21" w:rsidRDefault="00821A21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</w:pPr>
      <w:r w:rsidRPr="00B92619">
        <w:rPr>
          <w:rFonts w:ascii="Arial" w:hAnsi="Arial" w:cs="Arial"/>
          <w:b w:val="0"/>
          <w:bCs w:val="0"/>
          <w:color w:val="0F1111"/>
          <w:sz w:val="24"/>
          <w:szCs w:val="24"/>
        </w:rPr>
        <w:t>En este sentido, la participación de miembros del Ejército</w:t>
      </w:r>
      <w:r w:rsidR="00B92619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, como: </w:t>
      </w:r>
      <w:r w:rsidR="00B92619" w:rsidRPr="00B92619"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  <w:t>Arturo</w:t>
      </w:r>
      <w:r w:rsidR="00B92619" w:rsidRPr="00B92619">
        <w:rPr>
          <w:rFonts w:ascii="Arial" w:hAnsi="Arial" w:cs="Arial"/>
          <w:b w:val="0"/>
          <w:bCs w:val="0"/>
          <w:sz w:val="24"/>
          <w:szCs w:val="24"/>
        </w:rPr>
        <w:t xml:space="preserve"> Guillermo De la Cruz Gelpcke</w:t>
      </w:r>
      <w:r w:rsidR="00B92619">
        <w:rPr>
          <w:rFonts w:ascii="Arial" w:hAnsi="Arial" w:cs="Arial"/>
          <w:b w:val="0"/>
          <w:bCs w:val="0"/>
          <w:sz w:val="24"/>
          <w:szCs w:val="24"/>
        </w:rPr>
        <w:t xml:space="preserve"> (Comandante de la Zona Militar de </w:t>
      </w:r>
      <w:r w:rsidR="00D176FC">
        <w:rPr>
          <w:rFonts w:ascii="Arial" w:hAnsi="Arial" w:cs="Arial"/>
          <w:b w:val="0"/>
          <w:bCs w:val="0"/>
          <w:sz w:val="24"/>
          <w:szCs w:val="24"/>
        </w:rPr>
        <w:t>Cobán</w:t>
      </w:r>
      <w:r w:rsidR="00B92619">
        <w:rPr>
          <w:rFonts w:ascii="Arial" w:hAnsi="Arial" w:cs="Arial"/>
          <w:b w:val="0"/>
          <w:bCs w:val="0"/>
          <w:sz w:val="24"/>
          <w:szCs w:val="24"/>
        </w:rPr>
        <w:t>)</w:t>
      </w:r>
      <w:r w:rsidR="00B92619" w:rsidRPr="00B92619">
        <w:rPr>
          <w:rFonts w:ascii="Arial" w:hAnsi="Arial" w:cs="Arial"/>
          <w:b w:val="0"/>
          <w:bCs w:val="0"/>
          <w:sz w:val="24"/>
          <w:szCs w:val="24"/>
        </w:rPr>
        <w:t xml:space="preserve">, </w:t>
      </w:r>
      <w:r w:rsidR="00B92619" w:rsidRPr="00B92619"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  <w:t>Otto</w:t>
      </w:r>
      <w:r w:rsidR="00B92619" w:rsidRPr="00B92619">
        <w:rPr>
          <w:rFonts w:ascii="Arial" w:hAnsi="Arial" w:cs="Arial"/>
          <w:b w:val="0"/>
          <w:bCs w:val="0"/>
          <w:sz w:val="24"/>
          <w:szCs w:val="24"/>
        </w:rPr>
        <w:t xml:space="preserve"> Guillermo Spiegeler Noriega</w:t>
      </w:r>
      <w:r w:rsidR="00B92619">
        <w:rPr>
          <w:rFonts w:ascii="Arial" w:hAnsi="Arial" w:cs="Arial"/>
          <w:b w:val="0"/>
          <w:bCs w:val="0"/>
          <w:sz w:val="24"/>
          <w:szCs w:val="24"/>
        </w:rPr>
        <w:t xml:space="preserve"> (Ministro de la Defensa); Valerio Cienfuegos (comandante de la tropa); de </w:t>
      </w:r>
      <w:r w:rsidRPr="00B92619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descendientes de terratenientes alemanes como la familia </w:t>
      </w:r>
      <w:r w:rsidRPr="00B92619"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  <w:t>Overdick García, Flavio Monzón</w:t>
      </w:r>
      <w:r w:rsidR="00B92619"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  <w:t xml:space="preserve"> y de otros personajes, que cedieron sus casas para que se apostaran quienes iban a disparar en contra de los y las indígenas, que eran dirigidos por Adela Maquin, conocida como “Mamá Maquin”</w:t>
      </w:r>
      <w:r w:rsidR="00F6063F"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  <w:t xml:space="preserve">, es la prueba fundamental, para comprender cómo el Estado y los grupos de poder, ven a los indígenas como enemigos del proyecto de destrucción capitalista en el país. </w:t>
      </w:r>
    </w:p>
    <w:p w14:paraId="3022796A" w14:textId="35989EFE" w:rsidR="000536A2" w:rsidRDefault="000536A2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</w:pPr>
    </w:p>
    <w:p w14:paraId="3B1834B0" w14:textId="39D3FAE5" w:rsidR="000536A2" w:rsidRDefault="000536A2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sz w:val="24"/>
          <w:szCs w:val="24"/>
        </w:rPr>
      </w:pPr>
      <w:r>
        <w:rPr>
          <w:rFonts w:ascii="Arial" w:hAnsi="Arial" w:cs="Arial"/>
          <w:b w:val="0"/>
          <w:bCs w:val="0"/>
          <w:color w:val="202122"/>
          <w:sz w:val="24"/>
          <w:szCs w:val="24"/>
          <w:shd w:val="clear" w:color="auto" w:fill="FFFFFF"/>
        </w:rPr>
        <w:t xml:space="preserve">Estos hechos violentos del Estado en contra de población indígena, es la ilustración real, de cómo el Estado colonial-oligárquico-burgués y ahora narcotraficante, actúa en contra de una población que ha sido sometida a servidumbre, colonato y exclusión, desde la invasión española hasta nuestros días.  </w:t>
      </w:r>
    </w:p>
    <w:p w14:paraId="7E774B20" w14:textId="144D002E" w:rsidR="00B92619" w:rsidRDefault="00B92619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</w:p>
    <w:p w14:paraId="690CA825" w14:textId="3ECF6374" w:rsidR="000536A2" w:rsidRDefault="000536A2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  <w:r>
        <w:rPr>
          <w:rFonts w:ascii="Arial" w:hAnsi="Arial" w:cs="Arial"/>
          <w:b w:val="0"/>
          <w:bCs w:val="0"/>
          <w:color w:val="0F1111"/>
          <w:sz w:val="24"/>
          <w:szCs w:val="24"/>
        </w:rPr>
        <w:t>La masacre de Panzós; también ilustra el “miedo” de la burguesía-terrateniente de Guatemala, ante la “posibilidad de un levantamiento indígena”</w:t>
      </w:r>
      <w:r>
        <w:rPr>
          <w:rStyle w:val="Refdenotaalpie"/>
          <w:rFonts w:ascii="Arial" w:hAnsi="Arial" w:cs="Arial"/>
          <w:b w:val="0"/>
          <w:bCs w:val="0"/>
          <w:color w:val="0F1111"/>
          <w:sz w:val="24"/>
          <w:szCs w:val="24"/>
        </w:rPr>
        <w:footnoteReference w:id="3"/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t>, miedo que sigue presente hoy, sobre todo, cuando se experimenta, a pesar de los niveles de colonización en muchos sectores indígenas y no indígena, de una fuerte resistencia de comunidades y territorios</w:t>
      </w:r>
      <w:r w:rsidR="003A4BB4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 </w:t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en contra del capitalismo, del desarrollo y del extractivismo neoliberal. </w:t>
      </w:r>
    </w:p>
    <w:p w14:paraId="09E7F712" w14:textId="22FE2224" w:rsidR="003A4BB4" w:rsidRDefault="003A4BB4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</w:p>
    <w:p w14:paraId="0A708630" w14:textId="2711A60E" w:rsidR="003A4BB4" w:rsidRDefault="003A4BB4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  <w:r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Después de 45 años que sucedió la masacre Panzós, no solo tenemos prohibido olvidar y </w:t>
      </w:r>
      <w:r w:rsidR="00F6063F">
        <w:rPr>
          <w:rFonts w:ascii="Arial" w:hAnsi="Arial" w:cs="Arial"/>
          <w:b w:val="0"/>
          <w:bCs w:val="0"/>
          <w:color w:val="0F1111"/>
          <w:sz w:val="24"/>
          <w:szCs w:val="24"/>
        </w:rPr>
        <w:t>no</w:t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 solo debemos conmemorar o rememorar el hecho, sino de tomar acciones posibles, para seguir el camino que trazaron las víctimas de este genocidio, para instaurar nuevas relaciones sociales y políticas, que nos lleven a </w:t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lastRenderedPageBreak/>
        <w:t>construir un país con justicia social</w:t>
      </w:r>
      <w:r w:rsidR="00F6063F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, </w:t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donde se respeten los derechos sobre todo de las mayorías empobrecidas del país. </w:t>
      </w:r>
    </w:p>
    <w:p w14:paraId="21A453DC" w14:textId="3831EA13" w:rsidR="003A4BB4" w:rsidRDefault="003A4BB4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</w:p>
    <w:p w14:paraId="6DEDBBDB" w14:textId="6FDDEC38" w:rsidR="003A4BB4" w:rsidRDefault="003A4BB4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  <w:r>
        <w:rPr>
          <w:rFonts w:ascii="Arial" w:hAnsi="Arial" w:cs="Arial"/>
          <w:b w:val="0"/>
          <w:bCs w:val="0"/>
          <w:color w:val="0F1111"/>
          <w:sz w:val="24"/>
          <w:szCs w:val="24"/>
        </w:rPr>
        <w:t>La masacre de Panzós y las subsiguientes que llevaron a cabo los mismos criminales en la región y e</w:t>
      </w:r>
      <w:r w:rsidR="00F6063F">
        <w:rPr>
          <w:rFonts w:ascii="Arial" w:hAnsi="Arial" w:cs="Arial"/>
          <w:b w:val="0"/>
          <w:bCs w:val="0"/>
          <w:color w:val="0F1111"/>
          <w:sz w:val="24"/>
          <w:szCs w:val="24"/>
        </w:rPr>
        <w:t>n</w:t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 todo el país, nos exigir a no olvidar que los opresores, represores, criminales y terroristas de antes, siguen siendo los mismo</w:t>
      </w:r>
      <w:r w:rsidR="00F6063F">
        <w:rPr>
          <w:rFonts w:ascii="Arial" w:hAnsi="Arial" w:cs="Arial"/>
          <w:b w:val="0"/>
          <w:bCs w:val="0"/>
          <w:color w:val="0F1111"/>
          <w:sz w:val="24"/>
          <w:szCs w:val="24"/>
        </w:rPr>
        <w:t>s de hoy</w:t>
      </w:r>
      <w:r>
        <w:rPr>
          <w:rFonts w:ascii="Arial" w:hAnsi="Arial" w:cs="Arial"/>
          <w:b w:val="0"/>
          <w:bCs w:val="0"/>
          <w:color w:val="0F1111"/>
          <w:sz w:val="24"/>
          <w:szCs w:val="24"/>
        </w:rPr>
        <w:t>, sobre todo, cuando siguen pensando que los pueblos originarios, somos comunidades manipuladas e ignorantes, que no sabemos lo que queremos</w:t>
      </w:r>
      <w:r>
        <w:rPr>
          <w:rStyle w:val="Refdenotaalpie"/>
          <w:rFonts w:ascii="Arial" w:hAnsi="Arial" w:cs="Arial"/>
          <w:b w:val="0"/>
          <w:bCs w:val="0"/>
          <w:color w:val="0F1111"/>
          <w:sz w:val="24"/>
          <w:szCs w:val="24"/>
        </w:rPr>
        <w:footnoteReference w:id="4"/>
      </w:r>
      <w:r w:rsidR="00140641">
        <w:rPr>
          <w:rFonts w:ascii="Arial" w:hAnsi="Arial" w:cs="Arial"/>
          <w:b w:val="0"/>
          <w:bCs w:val="0"/>
          <w:color w:val="0F1111"/>
          <w:sz w:val="24"/>
          <w:szCs w:val="24"/>
        </w:rPr>
        <w:t xml:space="preserve"> y que el Estado criminal, debe ser el instrumento para someter a los pueblos al servicio de las élites depredadores guatemaltecas. </w:t>
      </w:r>
    </w:p>
    <w:p w14:paraId="2FBC007A" w14:textId="5A6B23F5" w:rsidR="00F6063F" w:rsidRDefault="00F6063F" w:rsidP="00821A21">
      <w:pPr>
        <w:pStyle w:val="Ttulo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bCs w:val="0"/>
          <w:color w:val="0F1111"/>
          <w:sz w:val="24"/>
          <w:szCs w:val="24"/>
        </w:rPr>
      </w:pPr>
    </w:p>
    <w:p w14:paraId="5B4F4D76" w14:textId="1C1F038D" w:rsidR="00F6063F" w:rsidRPr="00F6063F" w:rsidRDefault="00F6063F" w:rsidP="00F6063F">
      <w:pPr>
        <w:pStyle w:val="Ttulo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i/>
          <w:iCs/>
          <w:color w:val="0F1111"/>
          <w:sz w:val="24"/>
          <w:szCs w:val="24"/>
        </w:rPr>
      </w:pPr>
      <w:r w:rsidRPr="00F6063F">
        <w:rPr>
          <w:rFonts w:ascii="Arial" w:hAnsi="Arial" w:cs="Arial"/>
          <w:i/>
          <w:iCs/>
          <w:color w:val="0F1111"/>
          <w:sz w:val="24"/>
          <w:szCs w:val="24"/>
        </w:rPr>
        <w:t>RENDIRNOS JAMAS, RESISTENCIA Y REBELDIA SI</w:t>
      </w:r>
    </w:p>
    <w:p w14:paraId="34733CCE" w14:textId="13C282A5" w:rsidR="00F6063F" w:rsidRPr="00F6063F" w:rsidRDefault="00F6063F" w:rsidP="00F6063F">
      <w:pPr>
        <w:pStyle w:val="Ttulo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i/>
          <w:iCs/>
          <w:color w:val="0F1111"/>
          <w:sz w:val="24"/>
          <w:szCs w:val="24"/>
        </w:rPr>
      </w:pPr>
      <w:r w:rsidRPr="00F6063F">
        <w:rPr>
          <w:rFonts w:ascii="Arial" w:hAnsi="Arial" w:cs="Arial"/>
          <w:i/>
          <w:iCs/>
          <w:color w:val="0F1111"/>
          <w:sz w:val="24"/>
          <w:szCs w:val="24"/>
        </w:rPr>
        <w:t>VICTIMAS DE LA MASACRE DE PANZOS Y ADELA MAQUIN</w:t>
      </w:r>
    </w:p>
    <w:p w14:paraId="281ABB33" w14:textId="39D16C23" w:rsidR="00F6063F" w:rsidRPr="00F6063F" w:rsidRDefault="00F6063F" w:rsidP="00F6063F">
      <w:pPr>
        <w:pStyle w:val="Ttulo1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i/>
          <w:iCs/>
          <w:color w:val="0F1111"/>
          <w:sz w:val="24"/>
          <w:szCs w:val="24"/>
        </w:rPr>
      </w:pPr>
      <w:r w:rsidRPr="00F6063F">
        <w:rPr>
          <w:rFonts w:ascii="Arial" w:hAnsi="Arial" w:cs="Arial"/>
          <w:i/>
          <w:iCs/>
          <w:color w:val="0F1111"/>
          <w:sz w:val="24"/>
          <w:szCs w:val="24"/>
        </w:rPr>
        <w:t>VIVEN EN NUESTRA LUCHA</w:t>
      </w:r>
    </w:p>
    <w:sectPr w:rsidR="00F6063F" w:rsidRPr="00F6063F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90C15" w14:textId="77777777" w:rsidR="006B70F4" w:rsidRDefault="006B70F4" w:rsidP="00821A21">
      <w:pPr>
        <w:spacing w:after="0" w:line="240" w:lineRule="auto"/>
      </w:pPr>
      <w:r>
        <w:separator/>
      </w:r>
    </w:p>
  </w:endnote>
  <w:endnote w:type="continuationSeparator" w:id="0">
    <w:p w14:paraId="369F379D" w14:textId="77777777" w:rsidR="006B70F4" w:rsidRDefault="006B70F4" w:rsidP="00821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F5C5" w14:textId="628D6CDC" w:rsidR="00F6063F" w:rsidRDefault="00F6063F" w:rsidP="00F6063F">
    <w:pPr>
      <w:pStyle w:val="Piedepgina"/>
      <w:jc w:val="center"/>
    </w:pPr>
    <w:r>
      <w:t>San Cristóbal Verapaz, 28 de mayo de 2023, chiwax2030@yahoo.com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7CBA2" w14:textId="77777777" w:rsidR="006B70F4" w:rsidRDefault="006B70F4" w:rsidP="00821A21">
      <w:pPr>
        <w:spacing w:after="0" w:line="240" w:lineRule="auto"/>
      </w:pPr>
      <w:r>
        <w:separator/>
      </w:r>
    </w:p>
  </w:footnote>
  <w:footnote w:type="continuationSeparator" w:id="0">
    <w:p w14:paraId="34DE91CF" w14:textId="77777777" w:rsidR="006B70F4" w:rsidRDefault="006B70F4" w:rsidP="00821A21">
      <w:pPr>
        <w:spacing w:after="0" w:line="240" w:lineRule="auto"/>
      </w:pPr>
      <w:r>
        <w:continuationSeparator/>
      </w:r>
    </w:p>
  </w:footnote>
  <w:footnote w:id="1">
    <w:p w14:paraId="3CC384A1" w14:textId="13926A44" w:rsidR="00F6063F" w:rsidRDefault="00F6063F">
      <w:pPr>
        <w:pStyle w:val="Textonotapie"/>
      </w:pPr>
      <w:r>
        <w:rPr>
          <w:rStyle w:val="Refdenotaalpie"/>
        </w:rPr>
        <w:footnoteRef/>
      </w:r>
      <w:r>
        <w:t xml:space="preserve"> Maya Poqomchi, antropólogo, filósofo, teólogo, investigador.</w:t>
      </w:r>
    </w:p>
  </w:footnote>
  <w:footnote w:id="2">
    <w:p w14:paraId="1CA4C9C4" w14:textId="77777777" w:rsidR="00F6063F" w:rsidRPr="00821A21" w:rsidRDefault="00F6063F" w:rsidP="00F6063F">
      <w:pPr>
        <w:pStyle w:val="Textonotapie"/>
        <w:rPr>
          <w:rFonts w:cstheme="minorHAnsi"/>
        </w:rPr>
      </w:pPr>
      <w:r>
        <w:rPr>
          <w:rStyle w:val="Refdenotaalpie"/>
        </w:rPr>
        <w:footnoteRef/>
      </w:r>
      <w:r>
        <w:t xml:space="preserve"> </w:t>
      </w:r>
      <w:r w:rsidRPr="00821A21">
        <w:rPr>
          <w:rFonts w:cstheme="minorHAnsi"/>
        </w:rPr>
        <w:t xml:space="preserve">Tischler Visquera, Sergio, Prólogo del libro, “La Masacre de Panzós: Etnicidad, Tierra y </w:t>
      </w:r>
      <w:r w:rsidRPr="00821A21">
        <w:rPr>
          <w:rFonts w:cstheme="minorHAnsi"/>
          <w:color w:val="0F1111"/>
        </w:rPr>
        <w:t xml:space="preserve">violencia en Guatemala”, de Victoria Sanford, F&amp;G Editores, Guatemala, 2019. </w:t>
      </w:r>
    </w:p>
  </w:footnote>
  <w:footnote w:id="3">
    <w:p w14:paraId="5C0D7529" w14:textId="5B384D4E" w:rsidR="000536A2" w:rsidRDefault="000536A2">
      <w:pPr>
        <w:pStyle w:val="Textonotapie"/>
      </w:pPr>
      <w:r>
        <w:rPr>
          <w:rStyle w:val="Refdenotaalpie"/>
        </w:rPr>
        <w:footnoteRef/>
      </w:r>
      <w:r>
        <w:t xml:space="preserve"> Ibidem</w:t>
      </w:r>
    </w:p>
  </w:footnote>
  <w:footnote w:id="4">
    <w:p w14:paraId="74CDE25C" w14:textId="0454CD03" w:rsidR="003A4BB4" w:rsidRDefault="003A4BB4" w:rsidP="00140641">
      <w:pPr>
        <w:pStyle w:val="Textonotapie"/>
        <w:jc w:val="both"/>
      </w:pPr>
      <w:r>
        <w:rPr>
          <w:rStyle w:val="Refdenotaalpie"/>
        </w:rPr>
        <w:footnoteRef/>
      </w:r>
      <w:r>
        <w:t xml:space="preserve"> Ríos Sosa, Zury Maité, </w:t>
      </w:r>
      <w:r w:rsidR="00140641">
        <w:t xml:space="preserve">Tesis: </w:t>
      </w:r>
      <w:r>
        <w:t xml:space="preserve">Análisis Geopolítico del Surgimiento de la Insurgencia en Guatemala.  Particularizado en el caso de </w:t>
      </w:r>
      <w:r w:rsidR="00140641">
        <w:t>Totonicapán</w:t>
      </w:r>
      <w:r>
        <w:t xml:space="preserve">, Instituto de Estudios Políticos y Relaciones Internacionales, Universidad Francisco </w:t>
      </w:r>
      <w:r w:rsidR="00140641">
        <w:t>Marroquín</w:t>
      </w:r>
      <w:r>
        <w:t>, Guatemala, 1998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5B78E" w14:textId="3DF9BAE8" w:rsidR="00F6063F" w:rsidRDefault="00F6063F">
    <w:pPr>
      <w:pStyle w:val="Encabezado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30842495" wp14:editId="587C3AD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ángulo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ítulo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64D221C7" w14:textId="2A61F684" w:rsidR="00F6063F" w:rsidRDefault="00F6063F">
                              <w:pPr>
                                <w:pStyle w:val="Encabezado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CENTRO DE REFLESIONES NIM POQOM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30842495" id="Rectángulo 197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" o:allowoverlap="f" fillcolor="#4472c4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ítulo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64D221C7" w14:textId="2A61F684" w:rsidR="00F6063F" w:rsidRDefault="00F6063F">
                        <w:pPr>
                          <w:pStyle w:val="Encabezado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CENTRO DE REFLESIONES NIM POQOM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7F1"/>
    <w:rsid w:val="000536A2"/>
    <w:rsid w:val="00140641"/>
    <w:rsid w:val="002C1D84"/>
    <w:rsid w:val="003A4BB4"/>
    <w:rsid w:val="00470AAF"/>
    <w:rsid w:val="006267F1"/>
    <w:rsid w:val="006B70F4"/>
    <w:rsid w:val="00821A21"/>
    <w:rsid w:val="00B92619"/>
    <w:rsid w:val="00BD1D93"/>
    <w:rsid w:val="00D176FC"/>
    <w:rsid w:val="00F6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4D26BD"/>
  <w15:chartTrackingRefBased/>
  <w15:docId w15:val="{6A1737E6-FC4D-4938-A904-0551B913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21A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21A21"/>
    <w:rPr>
      <w:rFonts w:ascii="Times New Roman" w:eastAsia="Times New Roman" w:hAnsi="Times New Roman" w:cs="Times New Roman"/>
      <w:b/>
      <w:bCs/>
      <w:kern w:val="36"/>
      <w:sz w:val="48"/>
      <w:szCs w:val="48"/>
      <w:lang w:eastAsia="es-GT"/>
    </w:rPr>
  </w:style>
  <w:style w:type="character" w:customStyle="1" w:styleId="a-size-extra-large">
    <w:name w:val="a-size-extra-large"/>
    <w:basedOn w:val="Fuentedeprrafopredeter"/>
    <w:rsid w:val="00821A21"/>
  </w:style>
  <w:style w:type="paragraph" w:styleId="Textonotapie">
    <w:name w:val="footnote text"/>
    <w:basedOn w:val="Normal"/>
    <w:link w:val="TextonotapieCar"/>
    <w:uiPriority w:val="99"/>
    <w:semiHidden/>
    <w:unhideWhenUsed/>
    <w:rsid w:val="00821A2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21A2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21A21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F606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6063F"/>
  </w:style>
  <w:style w:type="paragraph" w:styleId="Piedepgina">
    <w:name w:val="footer"/>
    <w:basedOn w:val="Normal"/>
    <w:link w:val="PiedepginaCar"/>
    <w:uiPriority w:val="99"/>
    <w:unhideWhenUsed/>
    <w:rsid w:val="00F606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606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9C903-761A-4093-A43A-48D7B3198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CENTRO DE REFLESIONES NIM POQOM</dc:title>
  <dc:subject/>
  <dc:creator>chiwax2030@yahoo.com</dc:creator>
  <cp:keywords/>
  <dc:description/>
  <cp:lastModifiedBy>Rosario Hermano</cp:lastModifiedBy>
  <cp:revision>2</cp:revision>
  <dcterms:created xsi:type="dcterms:W3CDTF">2023-05-29T13:50:00Z</dcterms:created>
  <dcterms:modified xsi:type="dcterms:W3CDTF">2023-05-29T13:50:00Z</dcterms:modified>
</cp:coreProperties>
</file>