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CFD50" w14:textId="77777777" w:rsidR="00F60F84" w:rsidRPr="00FC30DC" w:rsidRDefault="00F60F84" w:rsidP="00FC30DC">
      <w:pPr>
        <w:spacing w:line="240" w:lineRule="auto"/>
        <w:jc w:val="center"/>
        <w:rPr>
          <w:rFonts w:ascii="Times New Roman" w:hAnsi="Times New Roman" w:cs="Times New Roman"/>
          <w:b/>
          <w:bCs/>
          <w:sz w:val="40"/>
          <w:szCs w:val="40"/>
        </w:rPr>
      </w:pPr>
      <w:r w:rsidRPr="00FC30DC">
        <w:rPr>
          <w:rFonts w:ascii="Times New Roman" w:hAnsi="Times New Roman" w:cs="Times New Roman"/>
          <w:b/>
          <w:bCs/>
          <w:sz w:val="40"/>
          <w:szCs w:val="40"/>
        </w:rPr>
        <w:t>El Armagedón Energético de Europa desde Berlín y Bruselas, no desde Moscú</w:t>
      </w:r>
    </w:p>
    <w:p w14:paraId="4D7EE8F6" w14:textId="77777777" w:rsidR="00F60F84" w:rsidRDefault="00F60F84" w:rsidP="00F60F84">
      <w:pPr>
        <w:spacing w:line="240" w:lineRule="auto"/>
        <w:jc w:val="both"/>
        <w:rPr>
          <w:rFonts w:ascii="Times New Roman" w:hAnsi="Times New Roman" w:cs="Times New Roman"/>
          <w:sz w:val="24"/>
          <w:szCs w:val="24"/>
        </w:rPr>
      </w:pPr>
      <w:r w:rsidRPr="00FC30DC">
        <w:rPr>
          <w:rFonts w:ascii="Times New Roman" w:hAnsi="Times New Roman" w:cs="Times New Roman"/>
          <w:b/>
          <w:bCs/>
          <w:sz w:val="24"/>
          <w:szCs w:val="24"/>
        </w:rPr>
        <w:t xml:space="preserve">F. William </w:t>
      </w:r>
      <w:proofErr w:type="spellStart"/>
      <w:r w:rsidRPr="00FC30DC">
        <w:rPr>
          <w:rFonts w:ascii="Times New Roman" w:hAnsi="Times New Roman" w:cs="Times New Roman"/>
          <w:b/>
          <w:bCs/>
          <w:sz w:val="24"/>
          <w:szCs w:val="24"/>
        </w:rPr>
        <w:t>Engdahl</w:t>
      </w:r>
      <w:proofErr w:type="spellEnd"/>
      <w:r w:rsidRPr="00FC30DC">
        <w:rPr>
          <w:rFonts w:ascii="Times New Roman" w:hAnsi="Times New Roman" w:cs="Times New Roman"/>
          <w:b/>
          <w:bCs/>
          <w:sz w:val="24"/>
          <w:szCs w:val="24"/>
        </w:rPr>
        <w:t xml:space="preserve">, Global </w:t>
      </w:r>
      <w:proofErr w:type="spellStart"/>
      <w:r w:rsidRPr="00FC30DC">
        <w:rPr>
          <w:rFonts w:ascii="Times New Roman" w:hAnsi="Times New Roman" w:cs="Times New Roman"/>
          <w:b/>
          <w:bCs/>
          <w:sz w:val="24"/>
          <w:szCs w:val="24"/>
        </w:rPr>
        <w:t>Research</w:t>
      </w:r>
      <w:proofErr w:type="spellEnd"/>
      <w:r w:rsidRPr="00084C0C">
        <w:rPr>
          <w:rFonts w:ascii="Times New Roman" w:hAnsi="Times New Roman" w:cs="Times New Roman"/>
          <w:sz w:val="24"/>
          <w:szCs w:val="24"/>
        </w:rPr>
        <w:t>, 21 de septiembre de 2022</w:t>
      </w:r>
    </w:p>
    <w:p w14:paraId="0A362034" w14:textId="77777777" w:rsidR="00FC30DC" w:rsidRDefault="00FC30DC" w:rsidP="00F60F84">
      <w:pPr>
        <w:spacing w:line="240" w:lineRule="auto"/>
        <w:jc w:val="both"/>
        <w:rPr>
          <w:rFonts w:ascii="Times New Roman" w:hAnsi="Times New Roman" w:cs="Times New Roman"/>
          <w:sz w:val="24"/>
          <w:szCs w:val="24"/>
        </w:rPr>
      </w:pPr>
    </w:p>
    <w:p w14:paraId="18BC0BCC" w14:textId="6D05951B"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El 22 de agosto, el precio de mercado negociado en bolsa para el gas natural en el centro de gas alemán THE (Trading </w:t>
      </w:r>
      <w:proofErr w:type="gramStart"/>
      <w:r w:rsidRPr="00084C0C">
        <w:rPr>
          <w:rFonts w:ascii="Times New Roman" w:hAnsi="Times New Roman" w:cs="Times New Roman"/>
          <w:sz w:val="24"/>
          <w:szCs w:val="24"/>
        </w:rPr>
        <w:t>Hub</w:t>
      </w:r>
      <w:proofErr w:type="gramEnd"/>
      <w:r w:rsidRPr="00084C0C">
        <w:rPr>
          <w:rFonts w:ascii="Times New Roman" w:hAnsi="Times New Roman" w:cs="Times New Roman"/>
          <w:sz w:val="24"/>
          <w:szCs w:val="24"/>
        </w:rPr>
        <w:t xml:space="preserve"> </w:t>
      </w:r>
      <w:proofErr w:type="spellStart"/>
      <w:r w:rsidRPr="00084C0C">
        <w:rPr>
          <w:rFonts w:ascii="Times New Roman" w:hAnsi="Times New Roman" w:cs="Times New Roman"/>
          <w:sz w:val="24"/>
          <w:szCs w:val="24"/>
        </w:rPr>
        <w:t>Europe</w:t>
      </w:r>
      <w:proofErr w:type="spellEnd"/>
      <w:r w:rsidRPr="00084C0C">
        <w:rPr>
          <w:rFonts w:ascii="Times New Roman" w:hAnsi="Times New Roman" w:cs="Times New Roman"/>
          <w:sz w:val="24"/>
          <w:szCs w:val="24"/>
        </w:rPr>
        <w:t xml:space="preserve">) se cotizaba más del 1000% más alto que hace un año. El régimen de </w:t>
      </w:r>
      <w:proofErr w:type="spellStart"/>
      <w:r w:rsidRPr="00084C0C">
        <w:rPr>
          <w:rFonts w:ascii="Times New Roman" w:hAnsi="Times New Roman" w:cs="Times New Roman"/>
          <w:sz w:val="24"/>
          <w:szCs w:val="24"/>
        </w:rPr>
        <w:t>Scholz</w:t>
      </w:r>
      <w:proofErr w:type="spellEnd"/>
      <w:r w:rsidRPr="00084C0C">
        <w:rPr>
          <w:rFonts w:ascii="Times New Roman" w:hAnsi="Times New Roman" w:cs="Times New Roman"/>
          <w:sz w:val="24"/>
          <w:szCs w:val="24"/>
        </w:rPr>
        <w:t xml:space="preserve"> les dice a la mayoría de los ciudadanos que la razón es la guerra de Putin y Rusia en Ucrania. La verdad es todo lo contrario. Los políticos de la UE y los principales intereses financieros están utilizando a Rusia para cubrir lo que es una crisis energética </w:t>
      </w:r>
      <w:proofErr w:type="spellStart"/>
      <w:r w:rsidRPr="00533CF2">
        <w:rPr>
          <w:rFonts w:ascii="Times New Roman" w:hAnsi="Times New Roman" w:cs="Times New Roman"/>
          <w:i/>
          <w:iCs/>
          <w:sz w:val="24"/>
          <w:szCs w:val="24"/>
        </w:rPr>
        <w:t>Made</w:t>
      </w:r>
      <w:proofErr w:type="spellEnd"/>
      <w:r w:rsidRPr="00533CF2">
        <w:rPr>
          <w:rFonts w:ascii="Times New Roman" w:hAnsi="Times New Roman" w:cs="Times New Roman"/>
          <w:i/>
          <w:iCs/>
          <w:sz w:val="24"/>
          <w:szCs w:val="24"/>
        </w:rPr>
        <w:t xml:space="preserve"> in </w:t>
      </w:r>
      <w:proofErr w:type="spellStart"/>
      <w:r w:rsidRPr="00533CF2">
        <w:rPr>
          <w:rFonts w:ascii="Times New Roman" w:hAnsi="Times New Roman" w:cs="Times New Roman"/>
          <w:i/>
          <w:iCs/>
          <w:sz w:val="24"/>
          <w:szCs w:val="24"/>
        </w:rPr>
        <w:t>Germany</w:t>
      </w:r>
      <w:proofErr w:type="spellEnd"/>
      <w:r w:rsidRPr="00533CF2">
        <w:rPr>
          <w:rFonts w:ascii="Times New Roman" w:hAnsi="Times New Roman" w:cs="Times New Roman"/>
          <w:i/>
          <w:iCs/>
          <w:sz w:val="24"/>
          <w:szCs w:val="24"/>
        </w:rPr>
        <w:t xml:space="preserve"> </w:t>
      </w:r>
      <w:r w:rsidRPr="00084C0C">
        <w:rPr>
          <w:rFonts w:ascii="Times New Roman" w:hAnsi="Times New Roman" w:cs="Times New Roman"/>
          <w:sz w:val="24"/>
          <w:szCs w:val="24"/>
        </w:rPr>
        <w:t>y Bruselas. Las consecuencias no son accidentales.</w:t>
      </w:r>
    </w:p>
    <w:p w14:paraId="011D5034"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No es porque políticos como </w:t>
      </w:r>
      <w:proofErr w:type="spellStart"/>
      <w:r w:rsidRPr="00084C0C">
        <w:rPr>
          <w:rFonts w:ascii="Times New Roman" w:hAnsi="Times New Roman" w:cs="Times New Roman"/>
          <w:sz w:val="24"/>
          <w:szCs w:val="24"/>
        </w:rPr>
        <w:t>Scholz</w:t>
      </w:r>
      <w:proofErr w:type="spellEnd"/>
      <w:r w:rsidRPr="00084C0C">
        <w:rPr>
          <w:rFonts w:ascii="Times New Roman" w:hAnsi="Times New Roman" w:cs="Times New Roman"/>
          <w:sz w:val="24"/>
          <w:szCs w:val="24"/>
        </w:rPr>
        <w:t xml:space="preserve"> o el ministro alemán de Economía Verde, Robert </w:t>
      </w:r>
      <w:proofErr w:type="spellStart"/>
      <w:r w:rsidRPr="00084C0C">
        <w:rPr>
          <w:rFonts w:ascii="Times New Roman" w:hAnsi="Times New Roman" w:cs="Times New Roman"/>
          <w:sz w:val="24"/>
          <w:szCs w:val="24"/>
        </w:rPr>
        <w:t>Habeck</w:t>
      </w:r>
      <w:proofErr w:type="spellEnd"/>
      <w:r w:rsidRPr="00084C0C">
        <w:rPr>
          <w:rFonts w:ascii="Times New Roman" w:hAnsi="Times New Roman" w:cs="Times New Roman"/>
          <w:sz w:val="24"/>
          <w:szCs w:val="24"/>
        </w:rPr>
        <w:t xml:space="preserve">, ni el vicepresidente de Energía Verde de la Comisión Europea, Frans </w:t>
      </w:r>
      <w:proofErr w:type="spellStart"/>
      <w:r w:rsidRPr="00084C0C">
        <w:rPr>
          <w:rFonts w:ascii="Times New Roman" w:hAnsi="Times New Roman" w:cs="Times New Roman"/>
          <w:sz w:val="24"/>
          <w:szCs w:val="24"/>
        </w:rPr>
        <w:t>Timmermans</w:t>
      </w:r>
      <w:proofErr w:type="spellEnd"/>
      <w:r w:rsidRPr="00084C0C">
        <w:rPr>
          <w:rFonts w:ascii="Times New Roman" w:hAnsi="Times New Roman" w:cs="Times New Roman"/>
          <w:sz w:val="24"/>
          <w:szCs w:val="24"/>
        </w:rPr>
        <w:t>, sean estúpidos o despistados. Corrupto</w:t>
      </w:r>
      <w:r>
        <w:rPr>
          <w:rFonts w:ascii="Times New Roman" w:hAnsi="Times New Roman" w:cs="Times New Roman"/>
          <w:sz w:val="24"/>
          <w:szCs w:val="24"/>
        </w:rPr>
        <w:t>s</w:t>
      </w:r>
      <w:r w:rsidRPr="00084C0C">
        <w:rPr>
          <w:rFonts w:ascii="Times New Roman" w:hAnsi="Times New Roman" w:cs="Times New Roman"/>
          <w:sz w:val="24"/>
          <w:szCs w:val="24"/>
        </w:rPr>
        <w:t xml:space="preserve"> y deshonesto</w:t>
      </w:r>
      <w:r>
        <w:rPr>
          <w:rFonts w:ascii="Times New Roman" w:hAnsi="Times New Roman" w:cs="Times New Roman"/>
          <w:sz w:val="24"/>
          <w:szCs w:val="24"/>
        </w:rPr>
        <w:t>s</w:t>
      </w:r>
      <w:r w:rsidRPr="00084C0C">
        <w:rPr>
          <w:rFonts w:ascii="Times New Roman" w:hAnsi="Times New Roman" w:cs="Times New Roman"/>
          <w:sz w:val="24"/>
          <w:szCs w:val="24"/>
        </w:rPr>
        <w:t xml:space="preserve">, tal vez sí. Saben exactamente lo que están haciendo. Están leyendo un guión. Todo forma parte del plan de la UE para desindustrializar una de las concentraciones industriales más eficientes energéticamente del planeta. Esta es la </w:t>
      </w:r>
      <w:r w:rsidRPr="00533CF2">
        <w:rPr>
          <w:rFonts w:ascii="Times New Roman" w:hAnsi="Times New Roman" w:cs="Times New Roman"/>
          <w:i/>
          <w:iCs/>
          <w:sz w:val="24"/>
          <w:szCs w:val="24"/>
        </w:rPr>
        <w:t>Agenda Verde 2030</w:t>
      </w:r>
      <w:r w:rsidRPr="00084C0C">
        <w:rPr>
          <w:rFonts w:ascii="Times New Roman" w:hAnsi="Times New Roman" w:cs="Times New Roman"/>
          <w:sz w:val="24"/>
          <w:szCs w:val="24"/>
        </w:rPr>
        <w:t xml:space="preserve"> de la ONU, también conocida como el </w:t>
      </w:r>
      <w:r w:rsidRPr="00533CF2">
        <w:rPr>
          <w:rFonts w:ascii="Times New Roman" w:hAnsi="Times New Roman" w:cs="Times New Roman"/>
          <w:i/>
          <w:iCs/>
          <w:sz w:val="24"/>
          <w:szCs w:val="24"/>
        </w:rPr>
        <w:t>Gran Reinicio</w:t>
      </w:r>
      <w:r w:rsidRPr="00084C0C">
        <w:rPr>
          <w:rFonts w:ascii="Times New Roman" w:hAnsi="Times New Roman" w:cs="Times New Roman"/>
          <w:sz w:val="24"/>
          <w:szCs w:val="24"/>
        </w:rPr>
        <w:t xml:space="preserve"> de Klaus Schwab.</w:t>
      </w:r>
    </w:p>
    <w:p w14:paraId="5C9A8C1E" w14:textId="77777777" w:rsidR="00F60F84" w:rsidRPr="00084C0C" w:rsidRDefault="00F60F84" w:rsidP="00F60F84">
      <w:pPr>
        <w:spacing w:line="240" w:lineRule="auto"/>
        <w:jc w:val="both"/>
        <w:rPr>
          <w:rFonts w:ascii="Times New Roman" w:hAnsi="Times New Roman" w:cs="Times New Roman"/>
          <w:b/>
          <w:bCs/>
          <w:sz w:val="24"/>
          <w:szCs w:val="24"/>
        </w:rPr>
      </w:pPr>
      <w:r w:rsidRPr="00084C0C">
        <w:rPr>
          <w:rFonts w:ascii="Times New Roman" w:hAnsi="Times New Roman" w:cs="Times New Roman"/>
          <w:b/>
          <w:bCs/>
          <w:sz w:val="24"/>
          <w:szCs w:val="24"/>
        </w:rPr>
        <w:t>Desregulación del mercado del gas de la UE</w:t>
      </w:r>
    </w:p>
    <w:p w14:paraId="2FFE41B4" w14:textId="7265EFDE"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Lo que la Comisión de la UE y los ministros del gobierno en Alemania y en toda la UE están ocultando cuidadosamente es la transformación que han creado en la forma en que se determina el precio del gas natural hoy en día. Durante casi dos décadas la Comisión de la UE, respaldada por los megabancos como JP </w:t>
      </w:r>
      <w:proofErr w:type="spellStart"/>
      <w:r w:rsidRPr="00084C0C">
        <w:rPr>
          <w:rFonts w:ascii="Times New Roman" w:hAnsi="Times New Roman" w:cs="Times New Roman"/>
          <w:sz w:val="24"/>
          <w:szCs w:val="24"/>
        </w:rPr>
        <w:t>MorganChase</w:t>
      </w:r>
      <w:proofErr w:type="spellEnd"/>
      <w:r w:rsidRPr="00084C0C">
        <w:rPr>
          <w:rFonts w:ascii="Times New Roman" w:hAnsi="Times New Roman" w:cs="Times New Roman"/>
          <w:sz w:val="24"/>
          <w:szCs w:val="24"/>
        </w:rPr>
        <w:t xml:space="preserve"> o los grandes fondos de cobertura especulativos, comenzó a sentar las bases de lo que hoy es una desregulación completa del mercado del gas natural. Se promovió como la "liberalización" del mercado de gas natural de la Unión Europea. Lo que ahora permite es que el comercio de mercado libre </w:t>
      </w:r>
      <w:r w:rsidR="00D1195E" w:rsidRPr="00084C0C">
        <w:rPr>
          <w:rFonts w:ascii="Times New Roman" w:hAnsi="Times New Roman" w:cs="Times New Roman"/>
          <w:sz w:val="24"/>
          <w:szCs w:val="24"/>
        </w:rPr>
        <w:t>no regulado</w:t>
      </w:r>
      <w:r w:rsidR="00D1195E">
        <w:rPr>
          <w:rFonts w:ascii="Times New Roman" w:hAnsi="Times New Roman" w:cs="Times New Roman"/>
          <w:sz w:val="24"/>
          <w:szCs w:val="24"/>
        </w:rPr>
        <w:t>,</w:t>
      </w:r>
      <w:r w:rsidR="00D1195E" w:rsidRPr="00084C0C">
        <w:rPr>
          <w:rFonts w:ascii="Times New Roman" w:hAnsi="Times New Roman" w:cs="Times New Roman"/>
          <w:sz w:val="24"/>
          <w:szCs w:val="24"/>
        </w:rPr>
        <w:t xml:space="preserve"> </w:t>
      </w:r>
      <w:r w:rsidRPr="00084C0C">
        <w:rPr>
          <w:rFonts w:ascii="Times New Roman" w:hAnsi="Times New Roman" w:cs="Times New Roman"/>
          <w:sz w:val="24"/>
          <w:szCs w:val="24"/>
        </w:rPr>
        <w:t>en tiempo real</w:t>
      </w:r>
      <w:r w:rsidR="00D1195E">
        <w:rPr>
          <w:rFonts w:ascii="Times New Roman" w:hAnsi="Times New Roman" w:cs="Times New Roman"/>
          <w:sz w:val="24"/>
          <w:szCs w:val="24"/>
        </w:rPr>
        <w:t>,</w:t>
      </w:r>
      <w:r w:rsidRPr="00084C0C">
        <w:rPr>
          <w:rFonts w:ascii="Times New Roman" w:hAnsi="Times New Roman" w:cs="Times New Roman"/>
          <w:sz w:val="24"/>
          <w:szCs w:val="24"/>
        </w:rPr>
        <w:t xml:space="preserve"> fije precios en lugar de </w:t>
      </w:r>
      <w:r w:rsidR="00D1195E">
        <w:rPr>
          <w:rFonts w:ascii="Times New Roman" w:hAnsi="Times New Roman" w:cs="Times New Roman"/>
          <w:sz w:val="24"/>
          <w:szCs w:val="24"/>
        </w:rPr>
        <w:t xml:space="preserve">que lo hagan los </w:t>
      </w:r>
      <w:r w:rsidRPr="00084C0C">
        <w:rPr>
          <w:rFonts w:ascii="Times New Roman" w:hAnsi="Times New Roman" w:cs="Times New Roman"/>
          <w:sz w:val="24"/>
          <w:szCs w:val="24"/>
        </w:rPr>
        <w:t>contratos a largo plazo.</w:t>
      </w:r>
    </w:p>
    <w:p w14:paraId="482B5D6C" w14:textId="6C07F0E1"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A partir de 2010, la UE comenzó a impulsar un cambio radical en las normas para fijar el precio del gas natural. Antes de ese momento, la mayoría de los precios del gas se establecían </w:t>
      </w:r>
      <w:r w:rsidR="00D1195E">
        <w:rPr>
          <w:rFonts w:ascii="Times New Roman" w:hAnsi="Times New Roman" w:cs="Times New Roman"/>
          <w:sz w:val="24"/>
          <w:szCs w:val="24"/>
        </w:rPr>
        <w:t>por</w:t>
      </w:r>
      <w:r w:rsidRPr="00084C0C">
        <w:rPr>
          <w:rFonts w:ascii="Times New Roman" w:hAnsi="Times New Roman" w:cs="Times New Roman"/>
          <w:sz w:val="24"/>
          <w:szCs w:val="24"/>
        </w:rPr>
        <w:t xml:space="preserve"> contratos fijos a largo plazo para la entrega de </w:t>
      </w:r>
      <w:r w:rsidR="00D1195E">
        <w:rPr>
          <w:rFonts w:ascii="Times New Roman" w:hAnsi="Times New Roman" w:cs="Times New Roman"/>
          <w:sz w:val="24"/>
          <w:szCs w:val="24"/>
        </w:rPr>
        <w:t xml:space="preserve">gas, por </w:t>
      </w:r>
      <w:r w:rsidRPr="00084C0C">
        <w:rPr>
          <w:rFonts w:ascii="Times New Roman" w:hAnsi="Times New Roman" w:cs="Times New Roman"/>
          <w:sz w:val="24"/>
          <w:szCs w:val="24"/>
        </w:rPr>
        <w:t xml:space="preserve">gasoductos. El mayor proveedor, la rusa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proporcionó gas a la UE, especialmente a Alemania, en contratos a largo plazo vinculados al precio del petróleo. Hasta los últimos años, casi ningún gas era importado por los buques de GNL. Con un cambio en las leyes de los Estados Unidos para permitir la exportación de GNL de la enorme producción de gas de esquisto en 2016, los productores de gas de los Estados Unidos comenzaron una importante expansión de la construcción de terminales de exportación de GNL. Las terminales tardan un promedio de 3 a 5 años en construirse. Al mismo tiempo, Polonia, Holanda y otros países de la UE comenzaron a construir terminales de importación de GNL para recibir el GNL del extranjero.</w:t>
      </w:r>
    </w:p>
    <w:p w14:paraId="42ABD991" w14:textId="29403468"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Emergiendo de la Segunda Guerra Mundial como l</w:t>
      </w:r>
      <w:r>
        <w:rPr>
          <w:rFonts w:ascii="Times New Roman" w:hAnsi="Times New Roman" w:cs="Times New Roman"/>
          <w:sz w:val="24"/>
          <w:szCs w:val="24"/>
        </w:rPr>
        <w:t>os</w:t>
      </w:r>
      <w:r w:rsidRPr="00084C0C">
        <w:rPr>
          <w:rFonts w:ascii="Times New Roman" w:hAnsi="Times New Roman" w:cs="Times New Roman"/>
          <w:sz w:val="24"/>
          <w:szCs w:val="24"/>
        </w:rPr>
        <w:t xml:space="preserve"> principal</w:t>
      </w:r>
      <w:r>
        <w:rPr>
          <w:rFonts w:ascii="Times New Roman" w:hAnsi="Times New Roman" w:cs="Times New Roman"/>
          <w:sz w:val="24"/>
          <w:szCs w:val="24"/>
        </w:rPr>
        <w:t>es</w:t>
      </w:r>
      <w:r w:rsidRPr="00084C0C">
        <w:rPr>
          <w:rFonts w:ascii="Times New Roman" w:hAnsi="Times New Roman" w:cs="Times New Roman"/>
          <w:sz w:val="24"/>
          <w:szCs w:val="24"/>
        </w:rPr>
        <w:t xml:space="preserve"> proveedor</w:t>
      </w:r>
      <w:r>
        <w:rPr>
          <w:rFonts w:ascii="Times New Roman" w:hAnsi="Times New Roman" w:cs="Times New Roman"/>
          <w:sz w:val="24"/>
          <w:szCs w:val="24"/>
        </w:rPr>
        <w:t>es</w:t>
      </w:r>
      <w:r w:rsidRPr="00084C0C">
        <w:rPr>
          <w:rFonts w:ascii="Times New Roman" w:hAnsi="Times New Roman" w:cs="Times New Roman"/>
          <w:sz w:val="24"/>
          <w:szCs w:val="24"/>
        </w:rPr>
        <w:t xml:space="preserve"> mundial</w:t>
      </w:r>
      <w:r>
        <w:rPr>
          <w:rFonts w:ascii="Times New Roman" w:hAnsi="Times New Roman" w:cs="Times New Roman"/>
          <w:sz w:val="24"/>
          <w:szCs w:val="24"/>
        </w:rPr>
        <w:t>es</w:t>
      </w:r>
      <w:r w:rsidRPr="00084C0C">
        <w:rPr>
          <w:rFonts w:ascii="Times New Roman" w:hAnsi="Times New Roman" w:cs="Times New Roman"/>
          <w:sz w:val="24"/>
          <w:szCs w:val="24"/>
        </w:rPr>
        <w:t xml:space="preserve"> de petróleo, los gigantes petroleros angloamericanos, entonces llamados </w:t>
      </w:r>
      <w:r>
        <w:rPr>
          <w:rFonts w:ascii="Times New Roman" w:hAnsi="Times New Roman" w:cs="Times New Roman"/>
          <w:sz w:val="24"/>
          <w:szCs w:val="24"/>
        </w:rPr>
        <w:t>“</w:t>
      </w:r>
      <w:r w:rsidRPr="00084C0C">
        <w:rPr>
          <w:rFonts w:ascii="Times New Roman" w:hAnsi="Times New Roman" w:cs="Times New Roman"/>
          <w:sz w:val="24"/>
          <w:szCs w:val="24"/>
        </w:rPr>
        <w:t>las Siete Hermanas</w:t>
      </w:r>
      <w:r>
        <w:rPr>
          <w:rFonts w:ascii="Times New Roman" w:hAnsi="Times New Roman" w:cs="Times New Roman"/>
          <w:sz w:val="24"/>
          <w:szCs w:val="24"/>
        </w:rPr>
        <w:t>”</w:t>
      </w:r>
      <w:r w:rsidRPr="00084C0C">
        <w:rPr>
          <w:rFonts w:ascii="Times New Roman" w:hAnsi="Times New Roman" w:cs="Times New Roman"/>
          <w:sz w:val="24"/>
          <w:szCs w:val="24"/>
        </w:rPr>
        <w:t>, crearon un monopolio mundial del precio del petróleo. Como señaló Henry Kissinger durante las crisis petroleras de la década de 1970, "</w:t>
      </w:r>
      <w:r w:rsidR="00D1195E">
        <w:rPr>
          <w:rFonts w:ascii="Times New Roman" w:hAnsi="Times New Roman" w:cs="Times New Roman"/>
          <w:sz w:val="24"/>
          <w:szCs w:val="24"/>
        </w:rPr>
        <w:t>c</w:t>
      </w:r>
      <w:r w:rsidRPr="00084C0C">
        <w:rPr>
          <w:rFonts w:ascii="Times New Roman" w:hAnsi="Times New Roman" w:cs="Times New Roman"/>
          <w:sz w:val="24"/>
          <w:szCs w:val="24"/>
        </w:rPr>
        <w:t xml:space="preserve">ontrola el petróleo y controlas naciones enteras". </w:t>
      </w:r>
      <w:r w:rsidRPr="00084C0C">
        <w:rPr>
          <w:rFonts w:ascii="Times New Roman" w:hAnsi="Times New Roman" w:cs="Times New Roman"/>
          <w:sz w:val="24"/>
          <w:szCs w:val="24"/>
        </w:rPr>
        <w:lastRenderedPageBreak/>
        <w:t>Desde la década de 1980, los bancos de Wall Street, liderados por Goldman Sachs, crearon un nuevo mercado en el "petróleo de papel", o futuros y derivados de futuros barriles de petróleo. Creó un enorme casino de ganancias especulativas que estaba controlado por un puñado de bancos gigantes en Nueva York y la City de Londres.</w:t>
      </w:r>
    </w:p>
    <w:p w14:paraId="55C667A4" w14:textId="58C9B3C0"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Esos mismos poderosos intereses financieros han estado trabajando durante años para crear un mercado globalizado similar de "gas de papel" en futuros que podrían controlar. La Comisión de la UE y su agenda del Pacto Verde para "descarbonizar" la economía para 2050, eliminando el petróleo, el gas y los combustibles de carbón, proporcionaron la trampa ideal que ha llevado al aumento explosivo de los precios del gas de la UE desde 2021. Para crear ese control del mercado "único", la UE fue presionada por los intereses globalistas para imponer cambios draconianos y de facto ilegales en las reglas de </w:t>
      </w:r>
      <w:r w:rsidR="00F8773E">
        <w:rPr>
          <w:rFonts w:ascii="Times New Roman" w:hAnsi="Times New Roman" w:cs="Times New Roman"/>
          <w:sz w:val="24"/>
          <w:szCs w:val="24"/>
        </w:rPr>
        <w:t xml:space="preserve">operaciones de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para obligar al propietario ruso de varias redes de gasoductos de distribución de gas en la UE a abrirlas al gas de la competencia.</w:t>
      </w:r>
    </w:p>
    <w:p w14:paraId="3782E1DC"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Los grandes bancos y los intereses energéticos que controlan la política de la UE en Bruselas habían creado un nuevo sistema de precios independiente paralelo a los precios estables a largo plazo del gas por gasoducto ruso que no controlaban.</w:t>
      </w:r>
    </w:p>
    <w:p w14:paraId="331F8240" w14:textId="73B82961"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Para 2019, la serie de directivas burocráticas de energía de la Comisión de la UE de Bruselas permitió que el comercio del mercado de gas totalmente desregulado estableciera de facto los precios del gas natural en la UE, a pesar del hecho de que Rusia seguía siendo, con mucho, la mayor fuente de importación de gas. Se habían establecido una serie de "centros" comerciales virtuales para negociar contratos de futuros de gas en varios países de la UE. En 2020, el TTF (</w:t>
      </w:r>
      <w:proofErr w:type="spellStart"/>
      <w:r w:rsidRPr="00463D2F">
        <w:rPr>
          <w:rFonts w:ascii="Times New Roman" w:hAnsi="Times New Roman" w:cs="Times New Roman"/>
          <w:i/>
          <w:iCs/>
          <w:sz w:val="24"/>
          <w:szCs w:val="24"/>
        </w:rPr>
        <w:t>Title</w:t>
      </w:r>
      <w:proofErr w:type="spellEnd"/>
      <w:r w:rsidRPr="00463D2F">
        <w:rPr>
          <w:rFonts w:ascii="Times New Roman" w:hAnsi="Times New Roman" w:cs="Times New Roman"/>
          <w:i/>
          <w:iCs/>
          <w:sz w:val="24"/>
          <w:szCs w:val="24"/>
        </w:rPr>
        <w:t xml:space="preserve"> Transfer </w:t>
      </w:r>
      <w:proofErr w:type="spellStart"/>
      <w:r w:rsidRPr="00463D2F">
        <w:rPr>
          <w:rFonts w:ascii="Times New Roman" w:hAnsi="Times New Roman" w:cs="Times New Roman"/>
          <w:i/>
          <w:iCs/>
          <w:sz w:val="24"/>
          <w:szCs w:val="24"/>
        </w:rPr>
        <w:t>Facility</w:t>
      </w:r>
      <w:proofErr w:type="spellEnd"/>
      <w:r w:rsidRPr="00084C0C">
        <w:rPr>
          <w:rFonts w:ascii="Times New Roman" w:hAnsi="Times New Roman" w:cs="Times New Roman"/>
          <w:sz w:val="24"/>
          <w:szCs w:val="24"/>
        </w:rPr>
        <w:t xml:space="preserve">) holandés era el centro comercial dominante para el gas de la UE, el llamado punto de referencia del gas de la UE. En particular, TTF es una plataforma virtual de operaciones en contratos de gas de futuros entre bancos y otros inversores financieros, </w:t>
      </w:r>
      <w:r w:rsidRPr="00F8773E">
        <w:rPr>
          <w:rFonts w:ascii="Times New Roman" w:hAnsi="Times New Roman" w:cs="Times New Roman"/>
          <w:i/>
          <w:iCs/>
          <w:sz w:val="24"/>
          <w:szCs w:val="24"/>
        </w:rPr>
        <w:t>"</w:t>
      </w:r>
      <w:proofErr w:type="spellStart"/>
      <w:r w:rsidR="00F8773E" w:rsidRPr="00F8773E">
        <w:rPr>
          <w:rFonts w:ascii="Times New Roman" w:hAnsi="Times New Roman" w:cs="Times New Roman"/>
          <w:i/>
          <w:iCs/>
          <w:sz w:val="24"/>
          <w:szCs w:val="24"/>
        </w:rPr>
        <w:t>o</w:t>
      </w:r>
      <w:r w:rsidRPr="00F8773E">
        <w:rPr>
          <w:rFonts w:ascii="Times New Roman" w:hAnsi="Times New Roman" w:cs="Times New Roman"/>
          <w:i/>
          <w:iCs/>
          <w:sz w:val="24"/>
          <w:szCs w:val="24"/>
        </w:rPr>
        <w:t>ver-</w:t>
      </w:r>
      <w:r w:rsidR="00F8773E">
        <w:rPr>
          <w:rFonts w:ascii="Times New Roman" w:hAnsi="Times New Roman" w:cs="Times New Roman"/>
          <w:i/>
          <w:iCs/>
          <w:sz w:val="24"/>
          <w:szCs w:val="24"/>
        </w:rPr>
        <w:t>t</w:t>
      </w:r>
      <w:r w:rsidRPr="00F8773E">
        <w:rPr>
          <w:rFonts w:ascii="Times New Roman" w:hAnsi="Times New Roman" w:cs="Times New Roman"/>
          <w:i/>
          <w:iCs/>
          <w:sz w:val="24"/>
          <w:szCs w:val="24"/>
        </w:rPr>
        <w:t>he-</w:t>
      </w:r>
      <w:r w:rsidR="00F8773E">
        <w:rPr>
          <w:rFonts w:ascii="Times New Roman" w:hAnsi="Times New Roman" w:cs="Times New Roman"/>
          <w:i/>
          <w:iCs/>
          <w:sz w:val="24"/>
          <w:szCs w:val="24"/>
        </w:rPr>
        <w:t>c</w:t>
      </w:r>
      <w:r w:rsidRPr="00F8773E">
        <w:rPr>
          <w:rFonts w:ascii="Times New Roman" w:hAnsi="Times New Roman" w:cs="Times New Roman"/>
          <w:i/>
          <w:iCs/>
          <w:sz w:val="24"/>
          <w:szCs w:val="24"/>
        </w:rPr>
        <w:t>ounter</w:t>
      </w:r>
      <w:proofErr w:type="spellEnd"/>
      <w:r w:rsidRPr="00084C0C">
        <w:rPr>
          <w:rFonts w:ascii="Times New Roman" w:hAnsi="Times New Roman" w:cs="Times New Roman"/>
          <w:sz w:val="24"/>
          <w:szCs w:val="24"/>
        </w:rPr>
        <w:t>". Eso significa que de facto no está regulad</w:t>
      </w:r>
      <w:r w:rsidR="00F8773E">
        <w:rPr>
          <w:rFonts w:ascii="Times New Roman" w:hAnsi="Times New Roman" w:cs="Times New Roman"/>
          <w:sz w:val="24"/>
          <w:szCs w:val="24"/>
        </w:rPr>
        <w:t>a</w:t>
      </w:r>
      <w:r w:rsidRPr="00084C0C">
        <w:rPr>
          <w:rFonts w:ascii="Times New Roman" w:hAnsi="Times New Roman" w:cs="Times New Roman"/>
          <w:sz w:val="24"/>
          <w:szCs w:val="24"/>
        </w:rPr>
        <w:t xml:space="preserve">, </w:t>
      </w:r>
      <w:r w:rsidR="00F8773E">
        <w:rPr>
          <w:rFonts w:ascii="Times New Roman" w:hAnsi="Times New Roman" w:cs="Times New Roman"/>
          <w:sz w:val="24"/>
          <w:szCs w:val="24"/>
        </w:rPr>
        <w:t xml:space="preserve">opera </w:t>
      </w:r>
      <w:r w:rsidRPr="00084C0C">
        <w:rPr>
          <w:rFonts w:ascii="Times New Roman" w:hAnsi="Times New Roman" w:cs="Times New Roman"/>
          <w:sz w:val="24"/>
          <w:szCs w:val="24"/>
        </w:rPr>
        <w:t>fuera de cualquier intercambio regulado. Esto es fundamental para entender el juego que se está ejecutando en la UE hoy en día.</w:t>
      </w:r>
    </w:p>
    <w:p w14:paraId="5AD4961C" w14:textId="7B186572"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En 2021, solo el 20% de todas las importaciones de gas natural a la UE fueron gas GNL, cuyos precios fueron determinados en gran medida por las operaciones de futuros en el centro TTF, el punto de referencia de gas de facto de la UE, propiedad del Gobierno holandés, el mismo gobierno que destruye sus granjas por una reclamación fraudulenta de contaminación por nitrógeno. La mayor parte de las importaciones de gas europeo provino de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de Rusia, que suministró más del 40% de las importaciones de la UE en 2021. Ese gas era a través de contratos de gasoductos a largo plazo</w:t>
      </w:r>
      <w:r w:rsidR="00F8773E">
        <w:rPr>
          <w:rFonts w:ascii="Times New Roman" w:hAnsi="Times New Roman" w:cs="Times New Roman"/>
          <w:sz w:val="24"/>
          <w:szCs w:val="24"/>
        </w:rPr>
        <w:t>,</w:t>
      </w:r>
      <w:r w:rsidRPr="00084C0C">
        <w:rPr>
          <w:rFonts w:ascii="Times New Roman" w:hAnsi="Times New Roman" w:cs="Times New Roman"/>
          <w:sz w:val="24"/>
          <w:szCs w:val="24"/>
        </w:rPr>
        <w:t xml:space="preserve"> cuyo precio era mucho más bajo que el precio de especulación TTF de hoy. En 2021, los estados de la UE pagaron una multa estimada en alrededor de $ 30 mil millones más por el gas natural que si se hubieran quedado con los precios de indexación del petróleo de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A los bancos les encantó. </w:t>
      </w:r>
      <w:r w:rsidR="00111AD1">
        <w:rPr>
          <w:rFonts w:ascii="Times New Roman" w:hAnsi="Times New Roman" w:cs="Times New Roman"/>
          <w:sz w:val="24"/>
          <w:szCs w:val="24"/>
        </w:rPr>
        <w:t>A l</w:t>
      </w:r>
      <w:r w:rsidRPr="00084C0C">
        <w:rPr>
          <w:rFonts w:ascii="Times New Roman" w:hAnsi="Times New Roman" w:cs="Times New Roman"/>
          <w:sz w:val="24"/>
          <w:szCs w:val="24"/>
        </w:rPr>
        <w:t>a industria y los consumidores estadounidenses no. Solo destruyendo el mercado de gas ruso en la UE podrían los intereses financieros y los defensores del Pacto Verde crear su control del mercado de GNL.</w:t>
      </w:r>
    </w:p>
    <w:p w14:paraId="288F873E" w14:textId="77777777" w:rsidR="00F60F84" w:rsidRPr="00463D2F" w:rsidRDefault="00F60F84" w:rsidP="00F60F84">
      <w:pPr>
        <w:spacing w:line="240" w:lineRule="auto"/>
        <w:jc w:val="both"/>
        <w:rPr>
          <w:rFonts w:ascii="Times New Roman" w:hAnsi="Times New Roman" w:cs="Times New Roman"/>
          <w:b/>
          <w:bCs/>
          <w:sz w:val="24"/>
          <w:szCs w:val="24"/>
        </w:rPr>
      </w:pPr>
      <w:r w:rsidRPr="00463D2F">
        <w:rPr>
          <w:rFonts w:ascii="Times New Roman" w:hAnsi="Times New Roman" w:cs="Times New Roman"/>
          <w:b/>
          <w:bCs/>
          <w:sz w:val="24"/>
          <w:szCs w:val="24"/>
        </w:rPr>
        <w:t>Cierre del gasoducto de la UE</w:t>
      </w:r>
    </w:p>
    <w:p w14:paraId="25440B8C" w14:textId="5D99AB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Con el pleno respaldo de la UE al nuevo mercado mayorista de gas, Bruselas, Alemania y la OTAN comenzaron sistemáticamente a cerrar sistemáticamente el gasoducto estable y a largo plazo </w:t>
      </w:r>
      <w:r w:rsidR="00111AD1">
        <w:rPr>
          <w:rFonts w:ascii="Times New Roman" w:hAnsi="Times New Roman" w:cs="Times New Roman"/>
          <w:sz w:val="24"/>
          <w:szCs w:val="24"/>
        </w:rPr>
        <w:t>de</w:t>
      </w:r>
      <w:r w:rsidRPr="00084C0C">
        <w:rPr>
          <w:rFonts w:ascii="Times New Roman" w:hAnsi="Times New Roman" w:cs="Times New Roman"/>
          <w:sz w:val="24"/>
          <w:szCs w:val="24"/>
        </w:rPr>
        <w:t xml:space="preserve"> la UE.</w:t>
      </w:r>
    </w:p>
    <w:p w14:paraId="3E7BD246"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Después de que rompiera relaciones diplomáticas con Marruecos en agosto de 2021 por territorios en disputa, Argelia anunció que el gasoducto Magreb-Europa (MGE), que se lanzó en 1996, dejaría de operar el 31 de octubre de 2021, cuando expiró el acuerdo pertinente.</w:t>
      </w:r>
    </w:p>
    <w:p w14:paraId="2F3EAE28"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En septiembre de 2021,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completó su multimillonario gasoducto submarino Nord </w:t>
      </w:r>
      <w:proofErr w:type="spellStart"/>
      <w:r w:rsidRPr="00084C0C">
        <w:rPr>
          <w:rFonts w:ascii="Times New Roman" w:hAnsi="Times New Roman" w:cs="Times New Roman"/>
          <w:sz w:val="24"/>
          <w:szCs w:val="24"/>
        </w:rPr>
        <w:t>Stream</w:t>
      </w:r>
      <w:proofErr w:type="spellEnd"/>
      <w:r w:rsidRPr="00084C0C">
        <w:rPr>
          <w:rFonts w:ascii="Times New Roman" w:hAnsi="Times New Roman" w:cs="Times New Roman"/>
          <w:sz w:val="24"/>
          <w:szCs w:val="24"/>
        </w:rPr>
        <w:t xml:space="preserve"> 2 desde Rusia a través del Mar Báltico hasta el norte de Alemania. Duplicaría la capacidad de Nord </w:t>
      </w:r>
      <w:proofErr w:type="spellStart"/>
      <w:r w:rsidRPr="00084C0C">
        <w:rPr>
          <w:rFonts w:ascii="Times New Roman" w:hAnsi="Times New Roman" w:cs="Times New Roman"/>
          <w:sz w:val="24"/>
          <w:szCs w:val="24"/>
        </w:rPr>
        <w:t>Stream</w:t>
      </w:r>
      <w:proofErr w:type="spellEnd"/>
      <w:r w:rsidRPr="00084C0C">
        <w:rPr>
          <w:rFonts w:ascii="Times New Roman" w:hAnsi="Times New Roman" w:cs="Times New Roman"/>
          <w:sz w:val="24"/>
          <w:szCs w:val="24"/>
        </w:rPr>
        <w:t xml:space="preserve"> 1 a 110 mil millones de metros cúbicos anuales, lo que permitiría a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ser independiente de la interferencia con las entregas de gas a través de su gasoducto </w:t>
      </w:r>
      <w:proofErr w:type="spellStart"/>
      <w:r w:rsidRPr="00084C0C">
        <w:rPr>
          <w:rFonts w:ascii="Times New Roman" w:hAnsi="Times New Roman" w:cs="Times New Roman"/>
          <w:sz w:val="24"/>
          <w:szCs w:val="24"/>
        </w:rPr>
        <w:t>Soyuz</w:t>
      </w:r>
      <w:proofErr w:type="spellEnd"/>
      <w:r w:rsidRPr="00084C0C">
        <w:rPr>
          <w:rFonts w:ascii="Times New Roman" w:hAnsi="Times New Roman" w:cs="Times New Roman"/>
          <w:sz w:val="24"/>
          <w:szCs w:val="24"/>
        </w:rPr>
        <w:t xml:space="preserve"> que pasa por Ucrania. La Comisión de la UE, respaldada por la Administración </w:t>
      </w:r>
      <w:proofErr w:type="spellStart"/>
      <w:r w:rsidRPr="00084C0C">
        <w:rPr>
          <w:rFonts w:ascii="Times New Roman" w:hAnsi="Times New Roman" w:cs="Times New Roman"/>
          <w:sz w:val="24"/>
          <w:szCs w:val="24"/>
        </w:rPr>
        <w:t>Biden</w:t>
      </w:r>
      <w:proofErr w:type="spellEnd"/>
      <w:r w:rsidRPr="00084C0C">
        <w:rPr>
          <w:rFonts w:ascii="Times New Roman" w:hAnsi="Times New Roman" w:cs="Times New Roman"/>
          <w:sz w:val="24"/>
          <w:szCs w:val="24"/>
        </w:rPr>
        <w:t xml:space="preserve">, bloqueó la apertura del oleoducto con sabotaje burocrático, y finalmente el canciller alemán </w:t>
      </w:r>
      <w:proofErr w:type="spellStart"/>
      <w:r w:rsidRPr="00084C0C">
        <w:rPr>
          <w:rFonts w:ascii="Times New Roman" w:hAnsi="Times New Roman" w:cs="Times New Roman"/>
          <w:sz w:val="24"/>
          <w:szCs w:val="24"/>
        </w:rPr>
        <w:t>Scholz</w:t>
      </w:r>
      <w:proofErr w:type="spellEnd"/>
      <w:r w:rsidRPr="00084C0C">
        <w:rPr>
          <w:rFonts w:ascii="Times New Roman" w:hAnsi="Times New Roman" w:cs="Times New Roman"/>
          <w:sz w:val="24"/>
          <w:szCs w:val="24"/>
        </w:rPr>
        <w:t xml:space="preserve"> impuso una sanción al oleoducto el 22 de febrero por el reconocimiento ruso de la República Popular de Donetsk y la República Popular de </w:t>
      </w:r>
      <w:proofErr w:type="spellStart"/>
      <w:r w:rsidRPr="00084C0C">
        <w:rPr>
          <w:rFonts w:ascii="Times New Roman" w:hAnsi="Times New Roman" w:cs="Times New Roman"/>
          <w:sz w:val="24"/>
          <w:szCs w:val="24"/>
        </w:rPr>
        <w:t>Lugansk</w:t>
      </w:r>
      <w:proofErr w:type="spellEnd"/>
      <w:r w:rsidRPr="00084C0C">
        <w:rPr>
          <w:rFonts w:ascii="Times New Roman" w:hAnsi="Times New Roman" w:cs="Times New Roman"/>
          <w:sz w:val="24"/>
          <w:szCs w:val="24"/>
        </w:rPr>
        <w:t xml:space="preserve">. Con la creciente crisis del gas desde entonces, el gobierno alemán se ha negado a abrir Nord </w:t>
      </w:r>
      <w:proofErr w:type="spellStart"/>
      <w:r w:rsidRPr="00084C0C">
        <w:rPr>
          <w:rFonts w:ascii="Times New Roman" w:hAnsi="Times New Roman" w:cs="Times New Roman"/>
          <w:sz w:val="24"/>
          <w:szCs w:val="24"/>
        </w:rPr>
        <w:t>Stream</w:t>
      </w:r>
      <w:proofErr w:type="spellEnd"/>
      <w:r w:rsidRPr="00084C0C">
        <w:rPr>
          <w:rFonts w:ascii="Times New Roman" w:hAnsi="Times New Roman" w:cs="Times New Roman"/>
          <w:sz w:val="24"/>
          <w:szCs w:val="24"/>
        </w:rPr>
        <w:t xml:space="preserve"> 2 a pesar de que está terminado.</w:t>
      </w:r>
    </w:p>
    <w:p w14:paraId="12AC0F7F" w14:textId="08ADDEDF"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Luego, el 12 de mayo de 2022, aunque las entregas de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al gasoducto </w:t>
      </w:r>
      <w:proofErr w:type="spellStart"/>
      <w:r w:rsidRPr="00084C0C">
        <w:rPr>
          <w:rFonts w:ascii="Times New Roman" w:hAnsi="Times New Roman" w:cs="Times New Roman"/>
          <w:sz w:val="24"/>
          <w:szCs w:val="24"/>
        </w:rPr>
        <w:t>Soyuz</w:t>
      </w:r>
      <w:proofErr w:type="spellEnd"/>
      <w:r w:rsidRPr="00084C0C">
        <w:rPr>
          <w:rFonts w:ascii="Times New Roman" w:hAnsi="Times New Roman" w:cs="Times New Roman"/>
          <w:sz w:val="24"/>
          <w:szCs w:val="24"/>
        </w:rPr>
        <w:t xml:space="preserve"> a través de Ucrania fueron ininterrumpidas durante casi tres meses de conflicto, a pesar de las operaciones militares de Rusia en Ucrania, el régimen </w:t>
      </w:r>
      <w:proofErr w:type="spellStart"/>
      <w:r w:rsidRPr="00084C0C">
        <w:rPr>
          <w:rFonts w:ascii="Times New Roman" w:hAnsi="Times New Roman" w:cs="Times New Roman"/>
          <w:sz w:val="24"/>
          <w:szCs w:val="24"/>
        </w:rPr>
        <w:t>Zelenskyy</w:t>
      </w:r>
      <w:proofErr w:type="spellEnd"/>
      <w:r w:rsidRPr="00084C0C">
        <w:rPr>
          <w:rFonts w:ascii="Times New Roman" w:hAnsi="Times New Roman" w:cs="Times New Roman"/>
          <w:sz w:val="24"/>
          <w:szCs w:val="24"/>
        </w:rPr>
        <w:t xml:space="preserve"> controlado por la OTAN en Kiev cerró un importante gasoducto ruso a través de </w:t>
      </w:r>
      <w:proofErr w:type="spellStart"/>
      <w:r w:rsidRPr="00084C0C">
        <w:rPr>
          <w:rFonts w:ascii="Times New Roman" w:hAnsi="Times New Roman" w:cs="Times New Roman"/>
          <w:sz w:val="24"/>
          <w:szCs w:val="24"/>
        </w:rPr>
        <w:t>Lugansk</w:t>
      </w:r>
      <w:proofErr w:type="spellEnd"/>
      <w:r w:rsidRPr="00084C0C">
        <w:rPr>
          <w:rFonts w:ascii="Times New Roman" w:hAnsi="Times New Roman" w:cs="Times New Roman"/>
          <w:sz w:val="24"/>
          <w:szCs w:val="24"/>
        </w:rPr>
        <w:t>, que estaba consumiendo gas ruso tanto a su Ucrania como a los estados de la UE</w:t>
      </w:r>
      <w:r w:rsidR="00111AD1">
        <w:rPr>
          <w:rFonts w:ascii="Times New Roman" w:hAnsi="Times New Roman" w:cs="Times New Roman"/>
          <w:sz w:val="24"/>
          <w:szCs w:val="24"/>
        </w:rPr>
        <w:t>,</w:t>
      </w:r>
      <w:r w:rsidRPr="00084C0C">
        <w:rPr>
          <w:rFonts w:ascii="Times New Roman" w:hAnsi="Times New Roman" w:cs="Times New Roman"/>
          <w:sz w:val="24"/>
          <w:szCs w:val="24"/>
        </w:rPr>
        <w:t xml:space="preserve"> declarando que permanecería cerrado hasta que Kiev obtenga el control total de su sistema de oleoductos que atraviesa las dos repúblicas de </w:t>
      </w:r>
      <w:proofErr w:type="spellStart"/>
      <w:r w:rsidRPr="00084C0C">
        <w:rPr>
          <w:rFonts w:ascii="Times New Roman" w:hAnsi="Times New Roman" w:cs="Times New Roman"/>
          <w:sz w:val="24"/>
          <w:szCs w:val="24"/>
        </w:rPr>
        <w:t>Donbass</w:t>
      </w:r>
      <w:proofErr w:type="spellEnd"/>
      <w:r w:rsidRPr="00084C0C">
        <w:rPr>
          <w:rFonts w:ascii="Times New Roman" w:hAnsi="Times New Roman" w:cs="Times New Roman"/>
          <w:sz w:val="24"/>
          <w:szCs w:val="24"/>
        </w:rPr>
        <w:t xml:space="preserve">. Esa sección de la línea </w:t>
      </w:r>
      <w:proofErr w:type="spellStart"/>
      <w:r w:rsidRPr="00084C0C">
        <w:rPr>
          <w:rFonts w:ascii="Times New Roman" w:hAnsi="Times New Roman" w:cs="Times New Roman"/>
          <w:sz w:val="24"/>
          <w:szCs w:val="24"/>
        </w:rPr>
        <w:t>Soyuz</w:t>
      </w:r>
      <w:proofErr w:type="spellEnd"/>
      <w:r w:rsidRPr="00084C0C">
        <w:rPr>
          <w:rFonts w:ascii="Times New Roman" w:hAnsi="Times New Roman" w:cs="Times New Roman"/>
          <w:sz w:val="24"/>
          <w:szCs w:val="24"/>
        </w:rPr>
        <w:t xml:space="preserve"> de Ucrania cortó un tercio del gas a través de </w:t>
      </w:r>
      <w:proofErr w:type="spellStart"/>
      <w:r w:rsidRPr="00084C0C">
        <w:rPr>
          <w:rFonts w:ascii="Times New Roman" w:hAnsi="Times New Roman" w:cs="Times New Roman"/>
          <w:sz w:val="24"/>
          <w:szCs w:val="24"/>
        </w:rPr>
        <w:t>Soyuz</w:t>
      </w:r>
      <w:proofErr w:type="spellEnd"/>
      <w:r w:rsidRPr="00084C0C">
        <w:rPr>
          <w:rFonts w:ascii="Times New Roman" w:hAnsi="Times New Roman" w:cs="Times New Roman"/>
          <w:sz w:val="24"/>
          <w:szCs w:val="24"/>
        </w:rPr>
        <w:t xml:space="preserve"> a la UE. Ciertamente no ayudó a la economía de la UE en un momento en que Kiev estaba pidiendo más armas de esos mismos países de la OTAN. </w:t>
      </w:r>
      <w:proofErr w:type="spellStart"/>
      <w:r w:rsidRPr="00084C0C">
        <w:rPr>
          <w:rFonts w:ascii="Times New Roman" w:hAnsi="Times New Roman" w:cs="Times New Roman"/>
          <w:sz w:val="24"/>
          <w:szCs w:val="24"/>
        </w:rPr>
        <w:t>Soyuz</w:t>
      </w:r>
      <w:proofErr w:type="spellEnd"/>
      <w:r w:rsidRPr="00084C0C">
        <w:rPr>
          <w:rFonts w:ascii="Times New Roman" w:hAnsi="Times New Roman" w:cs="Times New Roman"/>
          <w:sz w:val="24"/>
          <w:szCs w:val="24"/>
        </w:rPr>
        <w:t xml:space="preserve"> se inauguró en 1980 bajo la Unión Soviética trayendo gas del campo de gas de </w:t>
      </w:r>
      <w:proofErr w:type="spellStart"/>
      <w:r w:rsidRPr="00084C0C">
        <w:rPr>
          <w:rFonts w:ascii="Times New Roman" w:hAnsi="Times New Roman" w:cs="Times New Roman"/>
          <w:sz w:val="24"/>
          <w:szCs w:val="24"/>
        </w:rPr>
        <w:t>Orenburg</w:t>
      </w:r>
      <w:proofErr w:type="spellEnd"/>
      <w:r w:rsidRPr="00084C0C">
        <w:rPr>
          <w:rFonts w:ascii="Times New Roman" w:hAnsi="Times New Roman" w:cs="Times New Roman"/>
          <w:sz w:val="24"/>
          <w:szCs w:val="24"/>
        </w:rPr>
        <w:t>.</w:t>
      </w:r>
    </w:p>
    <w:p w14:paraId="6DDB423E"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Luego vino el gasoducto ruso Jamal a través de Bielorrusia y a través de Polonia a Alemania. En diciembre de 2021, dos meses antes del conflicto de Ucrania, el gobierno polaco cerró la parte polaca del gasoducto que cortaba el suministro de gas de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a precios bajos a Alemania y Polonia. En cambio, las compañías de gas polacas compraron gas ruso en el almacenamiento de compañías de gas alemanas, a través de la sección polaco-alemana del gasoducto Jamal a un precio más alto en un flujo inverso. Las compañías de gas alemanas obtuvieron su gas ruso a través de un contrato a largo plazo por un precio de contrato muy bajo y lo revendieron a Polonia con una gran ganancia. Esta locura fue deliberadamente minimizada por el Ministro de Economía Verde </w:t>
      </w:r>
      <w:proofErr w:type="spellStart"/>
      <w:r w:rsidRPr="00084C0C">
        <w:rPr>
          <w:rFonts w:ascii="Times New Roman" w:hAnsi="Times New Roman" w:cs="Times New Roman"/>
          <w:sz w:val="24"/>
          <w:szCs w:val="24"/>
        </w:rPr>
        <w:t>Habeck</w:t>
      </w:r>
      <w:proofErr w:type="spellEnd"/>
      <w:r w:rsidRPr="00084C0C">
        <w:rPr>
          <w:rFonts w:ascii="Times New Roman" w:hAnsi="Times New Roman" w:cs="Times New Roman"/>
          <w:sz w:val="24"/>
          <w:szCs w:val="24"/>
        </w:rPr>
        <w:t xml:space="preserve"> y el Canciller </w:t>
      </w:r>
      <w:proofErr w:type="spellStart"/>
      <w:r w:rsidRPr="00084C0C">
        <w:rPr>
          <w:rFonts w:ascii="Times New Roman" w:hAnsi="Times New Roman" w:cs="Times New Roman"/>
          <w:sz w:val="24"/>
          <w:szCs w:val="24"/>
        </w:rPr>
        <w:t>Scholz</w:t>
      </w:r>
      <w:proofErr w:type="spellEnd"/>
      <w:r w:rsidRPr="00084C0C">
        <w:rPr>
          <w:rFonts w:ascii="Times New Roman" w:hAnsi="Times New Roman" w:cs="Times New Roman"/>
          <w:sz w:val="24"/>
          <w:szCs w:val="24"/>
        </w:rPr>
        <w:t xml:space="preserve"> y los medios de comunicación alemanes, a pesar de que forzó los precios del gas alemán aún más altos y empeoró la crisis del gas alemán. El gobierno polaco se negó a renovar su contrato de gas con Rusia, y en su lugar compra gas en el mercado libre a precios mucho más altos. Como resultado, no fluye más gas ruso a Alemania a través de Jamal.</w:t>
      </w:r>
    </w:p>
    <w:p w14:paraId="0F892CD4"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Finalmente, la entrega de gas a través de la tubería submarina Nord </w:t>
      </w:r>
      <w:proofErr w:type="spellStart"/>
      <w:r w:rsidRPr="00084C0C">
        <w:rPr>
          <w:rFonts w:ascii="Times New Roman" w:hAnsi="Times New Roman" w:cs="Times New Roman"/>
          <w:sz w:val="24"/>
          <w:szCs w:val="24"/>
        </w:rPr>
        <w:t>Stream</w:t>
      </w:r>
      <w:proofErr w:type="spellEnd"/>
      <w:r w:rsidRPr="00084C0C">
        <w:rPr>
          <w:rFonts w:ascii="Times New Roman" w:hAnsi="Times New Roman" w:cs="Times New Roman"/>
          <w:sz w:val="24"/>
          <w:szCs w:val="24"/>
        </w:rPr>
        <w:t xml:space="preserve"> 1 se ha interrumpido debido a la reparación necesaria de una turbina de gas fabricada por Siemens. La turbina fue enviada a una instalación especial de Siemens en Canadá, donde el régimen antirruso de Trudeau la retuvo durante meses antes de finalmente liberarla a petición del gobierno alemán. Sin embargo, se negaron deliberadamente a otorgar la entrega a su propietario ruso, sino a Siemens Alemania, donde se encuentra, ya que los gobiernos alemán y canadiense se niegan a otorgar una exención de sanciones legalmente vinculante para la transferencia a Rusia. De este modo, el gas de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a través de Nord </w:t>
      </w:r>
      <w:proofErr w:type="spellStart"/>
      <w:r w:rsidRPr="00084C0C">
        <w:rPr>
          <w:rFonts w:ascii="Times New Roman" w:hAnsi="Times New Roman" w:cs="Times New Roman"/>
          <w:sz w:val="24"/>
          <w:szCs w:val="24"/>
        </w:rPr>
        <w:t>Stream</w:t>
      </w:r>
      <w:proofErr w:type="spellEnd"/>
      <w:r w:rsidRPr="00084C0C">
        <w:rPr>
          <w:rFonts w:ascii="Times New Roman" w:hAnsi="Times New Roman" w:cs="Times New Roman"/>
          <w:sz w:val="24"/>
          <w:szCs w:val="24"/>
        </w:rPr>
        <w:t xml:space="preserve"> 1 también se reduce drásticamente al 20% de lo normal.</w:t>
      </w:r>
    </w:p>
    <w:p w14:paraId="1C896E80"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En enero de 2020, </w:t>
      </w:r>
      <w:proofErr w:type="spellStart"/>
      <w:r w:rsidRPr="00084C0C">
        <w:rPr>
          <w:rFonts w:ascii="Times New Roman" w:hAnsi="Times New Roman" w:cs="Times New Roman"/>
          <w:sz w:val="24"/>
          <w:szCs w:val="24"/>
        </w:rPr>
        <w:t>Gazprom</w:t>
      </w:r>
      <w:proofErr w:type="spellEnd"/>
      <w:r w:rsidRPr="00084C0C">
        <w:rPr>
          <w:rFonts w:ascii="Times New Roman" w:hAnsi="Times New Roman" w:cs="Times New Roman"/>
          <w:sz w:val="24"/>
          <w:szCs w:val="24"/>
        </w:rPr>
        <w:t xml:space="preserve"> comenzó a enviar gas desde su gasoducto </w:t>
      </w:r>
      <w:proofErr w:type="spellStart"/>
      <w:r w:rsidRPr="00084C0C">
        <w:rPr>
          <w:rFonts w:ascii="Times New Roman" w:hAnsi="Times New Roman" w:cs="Times New Roman"/>
          <w:sz w:val="24"/>
          <w:szCs w:val="24"/>
        </w:rPr>
        <w:t>TurkStream</w:t>
      </w:r>
      <w:proofErr w:type="spellEnd"/>
      <w:r w:rsidRPr="00084C0C">
        <w:rPr>
          <w:rFonts w:ascii="Times New Roman" w:hAnsi="Times New Roman" w:cs="Times New Roman"/>
          <w:sz w:val="24"/>
          <w:szCs w:val="24"/>
        </w:rPr>
        <w:t xml:space="preserve"> a través de Turquía y luego a Bulgaria y Hungría. En marzo de 2022, Bulgaria unilateralmente, con el respaldo de la OTAN, cortó sus suministros de gas de </w:t>
      </w:r>
      <w:proofErr w:type="spellStart"/>
      <w:r w:rsidRPr="00084C0C">
        <w:rPr>
          <w:rFonts w:ascii="Times New Roman" w:hAnsi="Times New Roman" w:cs="Times New Roman"/>
          <w:sz w:val="24"/>
          <w:szCs w:val="24"/>
        </w:rPr>
        <w:t>TurkStream</w:t>
      </w:r>
      <w:proofErr w:type="spellEnd"/>
      <w:r w:rsidRPr="00084C0C">
        <w:rPr>
          <w:rFonts w:ascii="Times New Roman" w:hAnsi="Times New Roman" w:cs="Times New Roman"/>
          <w:sz w:val="24"/>
          <w:szCs w:val="24"/>
        </w:rPr>
        <w:t xml:space="preserve">. El húngaro </w:t>
      </w:r>
      <w:proofErr w:type="spellStart"/>
      <w:r w:rsidRPr="00084C0C">
        <w:rPr>
          <w:rFonts w:ascii="Times New Roman" w:hAnsi="Times New Roman" w:cs="Times New Roman"/>
          <w:sz w:val="24"/>
          <w:szCs w:val="24"/>
        </w:rPr>
        <w:t>Viktor</w:t>
      </w:r>
      <w:proofErr w:type="spellEnd"/>
      <w:r w:rsidRPr="00084C0C">
        <w:rPr>
          <w:rFonts w:ascii="Times New Roman" w:hAnsi="Times New Roman" w:cs="Times New Roman"/>
          <w:sz w:val="24"/>
          <w:szCs w:val="24"/>
        </w:rPr>
        <w:t xml:space="preserve"> </w:t>
      </w:r>
      <w:proofErr w:type="spellStart"/>
      <w:r w:rsidRPr="00084C0C">
        <w:rPr>
          <w:rFonts w:ascii="Times New Roman" w:hAnsi="Times New Roman" w:cs="Times New Roman"/>
          <w:sz w:val="24"/>
          <w:szCs w:val="24"/>
        </w:rPr>
        <w:t>Orban</w:t>
      </w:r>
      <w:proofErr w:type="spellEnd"/>
      <w:r w:rsidRPr="00084C0C">
        <w:rPr>
          <w:rFonts w:ascii="Times New Roman" w:hAnsi="Times New Roman" w:cs="Times New Roman"/>
          <w:sz w:val="24"/>
          <w:szCs w:val="24"/>
        </w:rPr>
        <w:t xml:space="preserve">, por el contrario, aseguró la continuación con Rusia del gas </w:t>
      </w:r>
      <w:proofErr w:type="spellStart"/>
      <w:r w:rsidRPr="00084C0C">
        <w:rPr>
          <w:rFonts w:ascii="Times New Roman" w:hAnsi="Times New Roman" w:cs="Times New Roman"/>
          <w:sz w:val="24"/>
          <w:szCs w:val="24"/>
        </w:rPr>
        <w:t>TurkStream</w:t>
      </w:r>
      <w:proofErr w:type="spellEnd"/>
      <w:r w:rsidRPr="00084C0C">
        <w:rPr>
          <w:rFonts w:ascii="Times New Roman" w:hAnsi="Times New Roman" w:cs="Times New Roman"/>
          <w:sz w:val="24"/>
          <w:szCs w:val="24"/>
        </w:rPr>
        <w:t>. Como resultado, hoy Hungría no tiene crisis energética e importa gas de gasoducto ruso a precios fijos muy bajos.</w:t>
      </w:r>
    </w:p>
    <w:p w14:paraId="5F60E1CA"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Al sancionar o cerrar sistemáticamente las entregas de gas de gasoductos a largo plazo y de bajo costo a la UE, los especuladores de gas a través del TTP holandés han podido utilizar cada contratiempo o choque energético en el mundo, ya sea una sequía récord en China o el conflicto en Ucrania, para imponer restricciones a la exportación en los Estados Unidos, para ofrecer los precios mayoristas del gas de la UE a través de todos los límites. A mediados de agosto, el precio de los futuros en TTP era un 1.000% más alto que hace un año y subía diariamente.</w:t>
      </w:r>
    </w:p>
    <w:p w14:paraId="22C2F28D" w14:textId="77777777" w:rsidR="00F60F84" w:rsidRPr="00463D2F" w:rsidRDefault="00F60F84" w:rsidP="00F60F84">
      <w:pPr>
        <w:spacing w:line="240" w:lineRule="auto"/>
        <w:jc w:val="both"/>
        <w:rPr>
          <w:rFonts w:ascii="Times New Roman" w:hAnsi="Times New Roman" w:cs="Times New Roman"/>
          <w:b/>
          <w:bCs/>
          <w:sz w:val="24"/>
          <w:szCs w:val="24"/>
        </w:rPr>
      </w:pPr>
      <w:r w:rsidRPr="00463D2F">
        <w:rPr>
          <w:rFonts w:ascii="Times New Roman" w:hAnsi="Times New Roman" w:cs="Times New Roman"/>
          <w:b/>
          <w:bCs/>
          <w:sz w:val="24"/>
          <w:szCs w:val="24"/>
        </w:rPr>
        <w:t>Locura de precio más alto alemán</w:t>
      </w:r>
    </w:p>
    <w:p w14:paraId="2BDFE1D7"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El sabotaje deliberado del precio de la energía y la electricidad se vuelve aún más absurdo. El 28 de agosto, el ministro de Finanzas alemán, Christian Lindner, el único miembro del gabinete del Partido Liberal (FDP), reveló que bajo los términos opacos de las complejas medidas de reforma del mercado eléctrico de la UE, los productores de electricidad a partir de energía solar o eólica reciben automáticamente el mismo precio por su electricidad "renovable" que venden a las compañías eléctricas para la red como el costo más alto, es decir, ¡gas natural!</w:t>
      </w:r>
    </w:p>
    <w:p w14:paraId="46E7CE0C" w14:textId="77777777" w:rsidR="00F60F84" w:rsidRPr="00084C0C" w:rsidRDefault="00F60F84" w:rsidP="00F60F84">
      <w:pPr>
        <w:spacing w:line="240" w:lineRule="auto"/>
        <w:jc w:val="both"/>
        <w:rPr>
          <w:rFonts w:ascii="Times New Roman" w:hAnsi="Times New Roman" w:cs="Times New Roman"/>
          <w:sz w:val="24"/>
          <w:szCs w:val="24"/>
        </w:rPr>
      </w:pPr>
      <w:r w:rsidRPr="00084C0C">
        <w:rPr>
          <w:rFonts w:ascii="Times New Roman" w:hAnsi="Times New Roman" w:cs="Times New Roman"/>
          <w:sz w:val="24"/>
          <w:szCs w:val="24"/>
        </w:rPr>
        <w:t xml:space="preserve">Lindner pidió un cambio "urgente" en la ley energética alemana para desacoplar diferentes mercados. El fanático ministro de Economía Verde, Robert </w:t>
      </w:r>
      <w:proofErr w:type="spellStart"/>
      <w:r w:rsidRPr="00084C0C">
        <w:rPr>
          <w:rFonts w:ascii="Times New Roman" w:hAnsi="Times New Roman" w:cs="Times New Roman"/>
          <w:sz w:val="24"/>
          <w:szCs w:val="24"/>
        </w:rPr>
        <w:t>Habeck</w:t>
      </w:r>
      <w:proofErr w:type="spellEnd"/>
      <w:r w:rsidRPr="00084C0C">
        <w:rPr>
          <w:rFonts w:ascii="Times New Roman" w:hAnsi="Times New Roman" w:cs="Times New Roman"/>
          <w:sz w:val="24"/>
          <w:szCs w:val="24"/>
        </w:rPr>
        <w:t>, respondió de inmediato que "estamos trabajando duro para encontrar un nuevo modelo de mercado", pero advirtió que el gobierno debe ser consciente de no intervenir demasiado: "Necesitamos mercados que funcionen y, al mismo tiempo, debemos establecer las reglas correctas para que no se abuse de las posiciones en el mercado".</w:t>
      </w:r>
    </w:p>
    <w:p w14:paraId="45D86D23" w14:textId="71FFD776" w:rsidR="00F60F84" w:rsidRDefault="00F60F84" w:rsidP="00F60F84">
      <w:pPr>
        <w:spacing w:line="240" w:lineRule="auto"/>
        <w:jc w:val="both"/>
        <w:rPr>
          <w:rFonts w:ascii="Times New Roman" w:hAnsi="Times New Roman" w:cs="Times New Roman"/>
          <w:sz w:val="24"/>
          <w:szCs w:val="24"/>
        </w:rPr>
      </w:pPr>
      <w:proofErr w:type="spellStart"/>
      <w:r w:rsidRPr="00084C0C">
        <w:rPr>
          <w:rFonts w:ascii="Times New Roman" w:hAnsi="Times New Roman" w:cs="Times New Roman"/>
          <w:sz w:val="24"/>
          <w:szCs w:val="24"/>
        </w:rPr>
        <w:t>Habeck</w:t>
      </w:r>
      <w:proofErr w:type="spellEnd"/>
      <w:r w:rsidRPr="00084C0C">
        <w:rPr>
          <w:rFonts w:ascii="Times New Roman" w:hAnsi="Times New Roman" w:cs="Times New Roman"/>
          <w:sz w:val="24"/>
          <w:szCs w:val="24"/>
        </w:rPr>
        <w:t xml:space="preserve">, de hecho, está haciendo todo lo posible para construir la Agenda Verde y eliminar el gas, el petróleo y la energía nuclear, las únicas fuentes de energía fiables en la actualidad. Se niega a considerar la reapertura de tres plantas nucleares cerradas hace un año o a reconsiderar el cierre de las tres restantes en diciembre. Mientras declaraba en una entrevista con Bloomberg que "no abordaré esta cuestión ideológicamente", en el siguiente suspiro declaró: "La energía nuclear no es la solución, es el problema". </w:t>
      </w:r>
      <w:proofErr w:type="spellStart"/>
      <w:r w:rsidRPr="00084C0C">
        <w:rPr>
          <w:rFonts w:ascii="Times New Roman" w:hAnsi="Times New Roman" w:cs="Times New Roman"/>
          <w:sz w:val="24"/>
          <w:szCs w:val="24"/>
        </w:rPr>
        <w:t>Habeck</w:t>
      </w:r>
      <w:proofErr w:type="spellEnd"/>
      <w:r w:rsidRPr="00084C0C">
        <w:rPr>
          <w:rFonts w:ascii="Times New Roman" w:hAnsi="Times New Roman" w:cs="Times New Roman"/>
          <w:sz w:val="24"/>
          <w:szCs w:val="24"/>
        </w:rPr>
        <w:t xml:space="preserve">, así como la presidenta de la Comisión Europea, </w:t>
      </w:r>
      <w:r w:rsidR="00D63FB9" w:rsidRPr="00084C0C">
        <w:rPr>
          <w:rFonts w:ascii="Times New Roman" w:hAnsi="Times New Roman" w:cs="Times New Roman"/>
          <w:sz w:val="24"/>
          <w:szCs w:val="24"/>
        </w:rPr>
        <w:t>Úrsula</w:t>
      </w:r>
      <w:r w:rsidRPr="00084C0C">
        <w:rPr>
          <w:rFonts w:ascii="Times New Roman" w:hAnsi="Times New Roman" w:cs="Times New Roman"/>
          <w:sz w:val="24"/>
          <w:szCs w:val="24"/>
        </w:rPr>
        <w:t xml:space="preserve"> </w:t>
      </w:r>
      <w:proofErr w:type="spellStart"/>
      <w:r w:rsidRPr="00084C0C">
        <w:rPr>
          <w:rFonts w:ascii="Times New Roman" w:hAnsi="Times New Roman" w:cs="Times New Roman"/>
          <w:sz w:val="24"/>
          <w:szCs w:val="24"/>
        </w:rPr>
        <w:t>von</w:t>
      </w:r>
      <w:proofErr w:type="spellEnd"/>
      <w:r w:rsidRPr="00084C0C">
        <w:rPr>
          <w:rFonts w:ascii="Times New Roman" w:hAnsi="Times New Roman" w:cs="Times New Roman"/>
          <w:sz w:val="24"/>
          <w:szCs w:val="24"/>
        </w:rPr>
        <w:t xml:space="preserve"> </w:t>
      </w:r>
      <w:proofErr w:type="spellStart"/>
      <w:r w:rsidRPr="00084C0C">
        <w:rPr>
          <w:rFonts w:ascii="Times New Roman" w:hAnsi="Times New Roman" w:cs="Times New Roman"/>
          <w:sz w:val="24"/>
          <w:szCs w:val="24"/>
        </w:rPr>
        <w:t>der</w:t>
      </w:r>
      <w:proofErr w:type="spellEnd"/>
      <w:r w:rsidRPr="00084C0C">
        <w:rPr>
          <w:rFonts w:ascii="Times New Roman" w:hAnsi="Times New Roman" w:cs="Times New Roman"/>
          <w:sz w:val="24"/>
          <w:szCs w:val="24"/>
        </w:rPr>
        <w:t xml:space="preserve"> </w:t>
      </w:r>
      <w:proofErr w:type="spellStart"/>
      <w:r w:rsidRPr="00084C0C">
        <w:rPr>
          <w:rFonts w:ascii="Times New Roman" w:hAnsi="Times New Roman" w:cs="Times New Roman"/>
          <w:sz w:val="24"/>
          <w:szCs w:val="24"/>
        </w:rPr>
        <w:t>Leyen</w:t>
      </w:r>
      <w:proofErr w:type="spellEnd"/>
      <w:r w:rsidRPr="00084C0C">
        <w:rPr>
          <w:rFonts w:ascii="Times New Roman" w:hAnsi="Times New Roman" w:cs="Times New Roman"/>
          <w:sz w:val="24"/>
          <w:szCs w:val="24"/>
        </w:rPr>
        <w:t>, han declarado repetidamente que más inversión en energía eólica y solar poco confiables es la respuesta a una crisis de precios del gas que sus políticas han creado deliberadamente. En todos los aspectos, la crisis energética suicida en curso en Europa ha sido "</w:t>
      </w:r>
      <w:proofErr w:type="spellStart"/>
      <w:r w:rsidRPr="00084C0C">
        <w:rPr>
          <w:rFonts w:ascii="Times New Roman" w:hAnsi="Times New Roman" w:cs="Times New Roman"/>
          <w:sz w:val="24"/>
          <w:szCs w:val="24"/>
        </w:rPr>
        <w:t>Made</w:t>
      </w:r>
      <w:proofErr w:type="spellEnd"/>
      <w:r w:rsidRPr="00084C0C">
        <w:rPr>
          <w:rFonts w:ascii="Times New Roman" w:hAnsi="Times New Roman" w:cs="Times New Roman"/>
          <w:sz w:val="24"/>
          <w:szCs w:val="24"/>
        </w:rPr>
        <w:t xml:space="preserve"> in </w:t>
      </w:r>
      <w:proofErr w:type="spellStart"/>
      <w:r w:rsidRPr="00084C0C">
        <w:rPr>
          <w:rFonts w:ascii="Times New Roman" w:hAnsi="Times New Roman" w:cs="Times New Roman"/>
          <w:sz w:val="24"/>
          <w:szCs w:val="24"/>
        </w:rPr>
        <w:t>Germany</w:t>
      </w:r>
      <w:proofErr w:type="spellEnd"/>
      <w:r w:rsidRPr="00084C0C">
        <w:rPr>
          <w:rFonts w:ascii="Times New Roman" w:hAnsi="Times New Roman" w:cs="Times New Roman"/>
          <w:sz w:val="24"/>
          <w:szCs w:val="24"/>
        </w:rPr>
        <w:t>", no en Rusia.</w:t>
      </w:r>
    </w:p>
    <w:p w14:paraId="6C808885"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F84"/>
    <w:rsid w:val="00111AD1"/>
    <w:rsid w:val="003B5A23"/>
    <w:rsid w:val="00463D2F"/>
    <w:rsid w:val="00533CF2"/>
    <w:rsid w:val="00966885"/>
    <w:rsid w:val="00CA31B5"/>
    <w:rsid w:val="00D1195E"/>
    <w:rsid w:val="00D62982"/>
    <w:rsid w:val="00D63FB9"/>
    <w:rsid w:val="00F60F84"/>
    <w:rsid w:val="00F8773E"/>
    <w:rsid w:val="00FC30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5BFDF"/>
  <w15:chartTrackingRefBased/>
  <w15:docId w15:val="{6EC6E982-D4DA-40A1-BEC7-8ED9E641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F8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2107</Words>
  <Characters>11593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2022-09-30T13:25:00Z</dcterms:created>
  <dcterms:modified xsi:type="dcterms:W3CDTF">2022-09-30T13:25:00Z</dcterms:modified>
</cp:coreProperties>
</file>