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C1FFCE" w14:textId="77777777" w:rsidR="003A75CD" w:rsidRPr="003A75CD" w:rsidRDefault="003A75CD" w:rsidP="003A75CD">
      <w:pPr>
        <w:pStyle w:val="Ttulo1"/>
        <w:spacing w:before="0" w:after="45" w:line="288" w:lineRule="atLeast"/>
        <w:rPr>
          <w:rFonts w:ascii="Georgia" w:eastAsia="Times New Roman" w:hAnsi="Georgia" w:cs="Times New Roman"/>
          <w:color w:val="333333"/>
          <w:kern w:val="36"/>
          <w:sz w:val="41"/>
          <w:szCs w:val="41"/>
          <w:lang w:val="es-UY" w:eastAsia="es-UY"/>
        </w:rPr>
      </w:pPr>
      <w:r>
        <w:rPr>
          <w:rFonts w:ascii="Georgia" w:hAnsi="Georgia"/>
          <w:color w:val="444444"/>
          <w:sz w:val="21"/>
          <w:szCs w:val="21"/>
        </w:rPr>
        <w:br/>
      </w:r>
      <w:r w:rsidRPr="003A75CD">
        <w:rPr>
          <w:rFonts w:ascii="Georgia" w:eastAsia="Times New Roman" w:hAnsi="Georgia" w:cs="Times New Roman"/>
          <w:color w:val="333333"/>
          <w:kern w:val="36"/>
          <w:sz w:val="41"/>
          <w:szCs w:val="41"/>
          <w:lang w:val="es-UY" w:eastAsia="es-UY"/>
        </w:rPr>
        <w:t>La mundanalidad, los "signos de los tiempos" y los errores modernos: aclaraciones del viaje a Canadá</w:t>
      </w:r>
    </w:p>
    <w:p w14:paraId="667F2A72" w14:textId="77777777" w:rsidR="003A75CD" w:rsidRPr="003A75CD" w:rsidRDefault="003A75CD" w:rsidP="003A75CD">
      <w:pPr>
        <w:spacing w:after="0" w:line="240" w:lineRule="auto"/>
        <w:rPr>
          <w:rFonts w:ascii="Georgia" w:eastAsia="Times New Roman" w:hAnsi="Georgia" w:cs="Times New Roman"/>
          <w:color w:val="444444"/>
          <w:sz w:val="24"/>
          <w:szCs w:val="24"/>
          <w:lang w:val="es-UY" w:eastAsia="es-UY"/>
        </w:rPr>
      </w:pPr>
      <w:r w:rsidRPr="003A75CD">
        <w:rPr>
          <w:rFonts w:ascii="Georgia" w:eastAsia="Times New Roman" w:hAnsi="Georgia" w:cs="Times New Roman"/>
          <w:color w:val="444444"/>
          <w:sz w:val="24"/>
          <w:szCs w:val="24"/>
          <w:lang w:val="es-UY" w:eastAsia="es-UY"/>
        </w:rPr>
        <w:t>por </w:t>
      </w:r>
      <w:hyperlink r:id="rId4" w:history="1">
        <w:r w:rsidRPr="003A75CD">
          <w:rPr>
            <w:rFonts w:ascii="Georgia" w:eastAsia="Times New Roman" w:hAnsi="Georgia" w:cs="Times New Roman"/>
            <w:color w:val="BB2530"/>
            <w:sz w:val="24"/>
            <w:szCs w:val="24"/>
            <w:u w:val="single"/>
            <w:lang w:val="es-UY" w:eastAsia="es-UY"/>
          </w:rPr>
          <w:t>Andrea Grillo</w:t>
        </w:r>
      </w:hyperlink>
    </w:p>
    <w:p w14:paraId="378C427D" w14:textId="77777777" w:rsidR="003A75CD" w:rsidRPr="003A75CD" w:rsidRDefault="003A75CD" w:rsidP="003A75CD">
      <w:pPr>
        <w:spacing w:after="0" w:line="240" w:lineRule="auto"/>
        <w:rPr>
          <w:rFonts w:ascii="Times New Roman" w:eastAsia="Times New Roman" w:hAnsi="Times New Roman" w:cs="Times New Roman"/>
          <w:sz w:val="24"/>
          <w:szCs w:val="24"/>
          <w:lang w:val="es-UY" w:eastAsia="es-UY"/>
        </w:rPr>
      </w:pPr>
    </w:p>
    <w:p w14:paraId="1ADF7E8B" w14:textId="77777777" w:rsidR="003A75CD" w:rsidRPr="003A75CD" w:rsidRDefault="003A75CD" w:rsidP="003A75CD">
      <w:pPr>
        <w:spacing w:line="406" w:lineRule="atLeast"/>
        <w:rPr>
          <w:rFonts w:ascii="Georgia" w:eastAsia="Times New Roman" w:hAnsi="Georgia" w:cs="Times New Roman"/>
          <w:i/>
          <w:iCs/>
          <w:color w:val="BBBBBB"/>
          <w:sz w:val="19"/>
          <w:szCs w:val="19"/>
          <w:lang w:val="es-UY" w:eastAsia="es-UY"/>
        </w:rPr>
      </w:pPr>
      <w:r w:rsidRPr="003A75CD">
        <w:rPr>
          <w:rFonts w:ascii="Georgia" w:eastAsia="Times New Roman" w:hAnsi="Georgia" w:cs="Times New Roman"/>
          <w:i/>
          <w:iCs/>
          <w:color w:val="BBBBBB"/>
          <w:sz w:val="19"/>
          <w:szCs w:val="19"/>
          <w:lang w:val="es-UY" w:eastAsia="es-UY"/>
        </w:rPr>
        <w:t>Publicado el 27 de julio de 2022 en el blog: </w:t>
      </w:r>
      <w:hyperlink r:id="rId5" w:history="1">
        <w:r w:rsidRPr="003A75CD">
          <w:rPr>
            <w:rFonts w:ascii="Georgia" w:eastAsia="Times New Roman" w:hAnsi="Georgia" w:cs="Times New Roman"/>
            <w:i/>
            <w:iCs/>
            <w:color w:val="999999"/>
            <w:sz w:val="19"/>
            <w:szCs w:val="19"/>
            <w:u w:val="single"/>
            <w:lang w:val="es-UY" w:eastAsia="es-UY"/>
          </w:rPr>
          <w:t>Come se non</w:t>
        </w:r>
      </w:hyperlink>
    </w:p>
    <w:p w14:paraId="0D880882" w14:textId="52773BFC" w:rsidR="003A75CD" w:rsidRPr="003A75CD" w:rsidRDefault="003A75CD" w:rsidP="003A75CD">
      <w:pPr>
        <w:spacing w:after="377" w:line="240" w:lineRule="auto"/>
        <w:jc w:val="both"/>
        <w:rPr>
          <w:rFonts w:ascii="Georgia" w:eastAsia="Times New Roman" w:hAnsi="Georgia" w:cs="Times New Roman"/>
          <w:color w:val="444444"/>
          <w:sz w:val="24"/>
          <w:szCs w:val="24"/>
          <w:lang w:val="es-UY" w:eastAsia="es-UY"/>
        </w:rPr>
      </w:pPr>
      <w:r w:rsidRPr="003A75CD">
        <w:rPr>
          <w:rFonts w:ascii="Georgia" w:eastAsia="Times New Roman" w:hAnsi="Georgia" w:cs="Times New Roman"/>
          <w:noProof/>
          <w:color w:val="BB2530"/>
          <w:sz w:val="24"/>
          <w:szCs w:val="24"/>
          <w:lang w:val="es-UY" w:eastAsia="es-UY"/>
        </w:rPr>
        <w:drawing>
          <wp:anchor distT="0" distB="0" distL="114300" distR="114300" simplePos="0" relativeHeight="251658240" behindDoc="1" locked="0" layoutInCell="1" allowOverlap="1" wp14:anchorId="41C2EAE8" wp14:editId="1B2E18B9">
            <wp:simplePos x="0" y="0"/>
            <wp:positionH relativeFrom="column">
              <wp:posOffset>-635</wp:posOffset>
            </wp:positionH>
            <wp:positionV relativeFrom="paragraph">
              <wp:posOffset>-1270</wp:posOffset>
            </wp:positionV>
            <wp:extent cx="2622550" cy="1739900"/>
            <wp:effectExtent l="0" t="0" r="6350" b="0"/>
            <wp:wrapTight wrapText="bothSides">
              <wp:wrapPolygon edited="0">
                <wp:start x="0" y="0"/>
                <wp:lineTo x="0" y="21285"/>
                <wp:lineTo x="21495" y="21285"/>
                <wp:lineTo x="21495" y="0"/>
                <wp:lineTo x="0" y="0"/>
              </wp:wrapPolygon>
            </wp:wrapTight>
            <wp:docPr id="1" name="Imagen 1" descr="papa canadá">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pa canadá">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22550" cy="1739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A75CD">
        <w:rPr>
          <w:rFonts w:ascii="Georgia" w:eastAsia="Times New Roman" w:hAnsi="Georgia" w:cs="Times New Roman"/>
          <w:color w:val="444444"/>
          <w:sz w:val="24"/>
          <w:szCs w:val="24"/>
          <w:lang w:val="es-UY" w:eastAsia="es-UY"/>
        </w:rPr>
        <w:t>El impacto del viaje papal a Canadá se mantiene en equilibrio entre la reivindicación de la "reconciliación" y el "diálogo entre culturas". Muchos clichés están pasando por una revisión urgente. Algunas reacciones, incluso muy críticas, se dividen entre "escándalo de fe" y "escándalo de cultura". Hay quienes "por fe" creen que todo está mal: disculparse y vestir ropa local. Vinculado a la tradición. pero no al cristiano, sino al de la sociedad cerrada, estos católicos "todos de una pieza" caen en un malentendido verdaderamente sensacional. Piensan que pueden defender la fe sin pensar, o pensando mal. En el "escándalo de las payasadas" habla de una falta de cultura que logra concebir a los "indios rojos" en el mejor de los casos como "máscaras de carnaval". Si no te cuesta entrar en la cultura indígena,</w:t>
      </w:r>
    </w:p>
    <w:p w14:paraId="36BB2AA2" w14:textId="77777777" w:rsidR="003A75CD" w:rsidRPr="003A75CD" w:rsidRDefault="003A75CD" w:rsidP="003A75CD">
      <w:pPr>
        <w:spacing w:after="377" w:line="240" w:lineRule="auto"/>
        <w:jc w:val="both"/>
        <w:rPr>
          <w:rFonts w:ascii="Georgia" w:eastAsia="Times New Roman" w:hAnsi="Georgia" w:cs="Times New Roman"/>
          <w:color w:val="444444"/>
          <w:sz w:val="24"/>
          <w:szCs w:val="24"/>
          <w:lang w:val="es-UY" w:eastAsia="es-UY"/>
        </w:rPr>
      </w:pPr>
      <w:r w:rsidRPr="003A75CD">
        <w:rPr>
          <w:rFonts w:ascii="Georgia" w:eastAsia="Times New Roman" w:hAnsi="Georgia" w:cs="Times New Roman"/>
          <w:color w:val="444444"/>
          <w:sz w:val="24"/>
          <w:szCs w:val="24"/>
          <w:lang w:val="es-UY" w:eastAsia="es-UY"/>
        </w:rPr>
        <w:t>En la historia de Canadá hay signos graves de una injusticia, de una negación de la identidad, que el Papa, en el discurso de Edmonton del 25 de julio, define en dos breves pasajes. En el primero describe lo sucedido:</w:t>
      </w:r>
    </w:p>
    <w:p w14:paraId="455F66A9" w14:textId="77777777" w:rsidR="003A75CD" w:rsidRPr="003A75CD" w:rsidRDefault="003A75CD" w:rsidP="003A75CD">
      <w:pPr>
        <w:spacing w:after="377" w:line="240" w:lineRule="auto"/>
        <w:jc w:val="both"/>
        <w:rPr>
          <w:rFonts w:ascii="Georgia" w:eastAsia="Times New Roman" w:hAnsi="Georgia" w:cs="Times New Roman"/>
          <w:color w:val="444444"/>
          <w:sz w:val="24"/>
          <w:szCs w:val="24"/>
          <w:lang w:val="es-UY" w:eastAsia="es-UY"/>
        </w:rPr>
      </w:pPr>
      <w:r w:rsidRPr="003A75CD">
        <w:rPr>
          <w:rFonts w:ascii="Georgia" w:eastAsia="Times New Roman" w:hAnsi="Georgia" w:cs="Times New Roman"/>
          <w:i/>
          <w:iCs/>
          <w:color w:val="444444"/>
          <w:sz w:val="24"/>
          <w:szCs w:val="24"/>
          <w:lang w:val="es-UY" w:eastAsia="es-UY"/>
        </w:rPr>
        <w:t>“Me duele pensar que los católicos contribuyeron a las políticas de asimilación y liberación que transmitían un sentimiento de inferioridad, despojando a las comunidades y personas de sus identidades culturales y espirituales, arrancando sus raíces y alimentando actitudes prejuiciosas y discriminatorias, y que esto ha sido incluso en nombre de una educación que se suponía cristiana. </w:t>
      </w:r>
      <w:r w:rsidRPr="003A75CD">
        <w:rPr>
          <w:rFonts w:ascii="Georgia" w:eastAsia="Times New Roman" w:hAnsi="Georgia" w:cs="Times New Roman"/>
          <w:color w:val="444444"/>
          <w:sz w:val="24"/>
          <w:szCs w:val="24"/>
          <w:lang w:val="es-UY" w:eastAsia="es-UY"/>
        </w:rPr>
        <w:t>"</w:t>
      </w:r>
    </w:p>
    <w:p w14:paraId="77F24B1E" w14:textId="77777777" w:rsidR="003A75CD" w:rsidRPr="003A75CD" w:rsidRDefault="003A75CD" w:rsidP="003A75CD">
      <w:pPr>
        <w:spacing w:after="377" w:line="240" w:lineRule="auto"/>
        <w:jc w:val="both"/>
        <w:rPr>
          <w:rFonts w:ascii="Georgia" w:eastAsia="Times New Roman" w:hAnsi="Georgia" w:cs="Times New Roman"/>
          <w:color w:val="444444"/>
          <w:sz w:val="24"/>
          <w:szCs w:val="24"/>
          <w:lang w:val="es-UY" w:eastAsia="es-UY"/>
        </w:rPr>
      </w:pPr>
      <w:r w:rsidRPr="003A75CD">
        <w:rPr>
          <w:rFonts w:ascii="Georgia" w:eastAsia="Times New Roman" w:hAnsi="Georgia" w:cs="Times New Roman"/>
          <w:color w:val="444444"/>
          <w:sz w:val="24"/>
          <w:szCs w:val="24"/>
          <w:lang w:val="es-UY" w:eastAsia="es-UY"/>
        </w:rPr>
        <w:t>Luego en la segunda lo interpreta:</w:t>
      </w:r>
    </w:p>
    <w:p w14:paraId="2538A30E" w14:textId="77777777" w:rsidR="003A75CD" w:rsidRPr="003A75CD" w:rsidRDefault="003A75CD" w:rsidP="003A75CD">
      <w:pPr>
        <w:spacing w:after="377" w:line="240" w:lineRule="auto"/>
        <w:jc w:val="both"/>
        <w:rPr>
          <w:rFonts w:ascii="Georgia" w:eastAsia="Times New Roman" w:hAnsi="Georgia" w:cs="Times New Roman"/>
          <w:color w:val="444444"/>
          <w:sz w:val="24"/>
          <w:szCs w:val="24"/>
          <w:lang w:val="es-UY" w:eastAsia="es-UY"/>
        </w:rPr>
      </w:pPr>
      <w:r w:rsidRPr="003A75CD">
        <w:rPr>
          <w:rFonts w:ascii="Georgia" w:eastAsia="Times New Roman" w:hAnsi="Georgia" w:cs="Times New Roman"/>
          <w:i/>
          <w:iCs/>
          <w:color w:val="444444"/>
          <w:sz w:val="24"/>
          <w:szCs w:val="24"/>
          <w:lang w:val="es-UY" w:eastAsia="es-UY"/>
        </w:rPr>
        <w:t>“Los creyentes se permitieron ser mundanos y, en lugar de promover la reconciliación, impusieron su propio modelo cultural. Esta actitud es difícil de morir, incluso desde un punto de vista religioso. De hecho, parecería más conveniente inculcar a Dios en las personas, que dejar que las personas se acerquen a Él. Pero nunca funciona, porque el Señor no actúa así: no fuerza, no sofoca y hace no oprimir; siempre, en cambio, ama, libera y libera. No se puede anunciar a Dios de manera contraria a Dios, pero ¡cuántas veces ha sucedido en la historia!”.</w:t>
      </w:r>
    </w:p>
    <w:p w14:paraId="08D40BF5" w14:textId="77777777" w:rsidR="003A75CD" w:rsidRPr="003A75CD" w:rsidRDefault="003A75CD" w:rsidP="003A75CD">
      <w:pPr>
        <w:spacing w:after="377" w:line="240" w:lineRule="auto"/>
        <w:jc w:val="both"/>
        <w:rPr>
          <w:rFonts w:ascii="Georgia" w:eastAsia="Times New Roman" w:hAnsi="Georgia" w:cs="Times New Roman"/>
          <w:color w:val="444444"/>
          <w:sz w:val="24"/>
          <w:szCs w:val="24"/>
          <w:lang w:val="es-UY" w:eastAsia="es-UY"/>
        </w:rPr>
      </w:pPr>
      <w:r w:rsidRPr="003A75CD">
        <w:rPr>
          <w:rFonts w:ascii="Georgia" w:eastAsia="Times New Roman" w:hAnsi="Georgia" w:cs="Times New Roman"/>
          <w:i/>
          <w:iCs/>
          <w:color w:val="444444"/>
          <w:sz w:val="24"/>
          <w:szCs w:val="24"/>
          <w:lang w:val="es-UY" w:eastAsia="es-UY"/>
        </w:rPr>
        <w:lastRenderedPageBreak/>
        <w:t>La mundanalidad espiritual y la inversión de la perspectiva</w:t>
      </w:r>
    </w:p>
    <w:p w14:paraId="49DB6E80" w14:textId="77777777" w:rsidR="003A75CD" w:rsidRPr="003A75CD" w:rsidRDefault="003A75CD" w:rsidP="003A75CD">
      <w:pPr>
        <w:spacing w:after="377" w:line="240" w:lineRule="auto"/>
        <w:jc w:val="both"/>
        <w:rPr>
          <w:rFonts w:ascii="Georgia" w:eastAsia="Times New Roman" w:hAnsi="Georgia" w:cs="Times New Roman"/>
          <w:color w:val="444444"/>
          <w:sz w:val="24"/>
          <w:szCs w:val="24"/>
          <w:lang w:val="es-UY" w:eastAsia="es-UY"/>
        </w:rPr>
      </w:pPr>
      <w:r w:rsidRPr="003A75CD">
        <w:rPr>
          <w:rFonts w:ascii="Georgia" w:eastAsia="Times New Roman" w:hAnsi="Georgia" w:cs="Times New Roman"/>
          <w:color w:val="444444"/>
          <w:sz w:val="24"/>
          <w:szCs w:val="24"/>
          <w:lang w:val="es-UY" w:eastAsia="es-UY"/>
        </w:rPr>
        <w:t>Para comprender los motivos del camino y de la petición de perdón, hay que ir a la raíz de la pregunta, que Francisco expresa con este concepto, que le es propio, y que sin embargo pasa por una palabra que puede fácilmente malinterpretarse. ¿Qué significa la expresión "los creyentes se han permitido ser mundanos"? Las prácticas católicas de injusticia resultaron de una "mundanalidad" que no significa ante todo una "entrega al mundo", como estaríamos tentados a pensar, sino un "endurecimiento en una cultura cerrada, incapaz de reconciliación". La mundanalidad espiritual no es escuchar nuevos signos, adaptarse a nuevas condiciones, ceder a nuevas evidencias, sino endurecer las propias convicciones y no escuchar las historias de vida de hombres y mujeres. esto nos sorprende, porque sitúa el "mea culpa" que pronunció Francisco en Canadá, dentro de un contexto mucho más amplio y complejo, sustrayéndolo a la lógica epidérmica de los buenos sentimientos. Si el hecho de no reconocer la "igual dignidad de todos los pueblos" fue fruto de una "mundanidad" que la Iglesia ha sufrido durante muchos siglos, ¿por qué no habría de serlo el no reconocer los derechos de los trabajadores ante sus patrones y los derechos de ¿Mujeres en el espacio público? Los tres signos de los tiempos, que Juan XXIII enumera en su última encíclica, son un terreno sumamente traicionero, en el que es fácil dar la vuelta a las cosas y pensar que la "mundanalidad" consiste en estar atento a los signos de los tiempos y que por tanto " no se vuelvan mundanos" exigen "permanecer cerrados". Pero la Iglesia que sale es la Iglesia que sale de la mundanalidad,</w:t>
      </w:r>
    </w:p>
    <w:p w14:paraId="022AFCB2" w14:textId="77777777" w:rsidR="003A75CD" w:rsidRPr="003A75CD" w:rsidRDefault="003A75CD" w:rsidP="003A75CD">
      <w:pPr>
        <w:spacing w:after="377" w:line="240" w:lineRule="auto"/>
        <w:jc w:val="both"/>
        <w:rPr>
          <w:rFonts w:ascii="Georgia" w:eastAsia="Times New Roman" w:hAnsi="Georgia" w:cs="Times New Roman"/>
          <w:color w:val="444444"/>
          <w:sz w:val="24"/>
          <w:szCs w:val="24"/>
          <w:lang w:val="es-UY" w:eastAsia="es-UY"/>
        </w:rPr>
      </w:pPr>
      <w:r w:rsidRPr="003A75CD">
        <w:rPr>
          <w:rFonts w:ascii="Georgia" w:eastAsia="Times New Roman" w:hAnsi="Georgia" w:cs="Times New Roman"/>
          <w:i/>
          <w:iCs/>
          <w:color w:val="444444"/>
          <w:sz w:val="24"/>
          <w:szCs w:val="24"/>
          <w:lang w:val="es-UY" w:eastAsia="es-UY"/>
        </w:rPr>
        <w:t>El papel de los "signos de los tiempos" y la tradición</w:t>
      </w:r>
    </w:p>
    <w:p w14:paraId="462CE41F" w14:textId="77777777" w:rsidR="003A75CD" w:rsidRPr="003A75CD" w:rsidRDefault="003A75CD" w:rsidP="003A75CD">
      <w:pPr>
        <w:spacing w:after="377" w:line="240" w:lineRule="auto"/>
        <w:jc w:val="both"/>
        <w:rPr>
          <w:rFonts w:ascii="Georgia" w:eastAsia="Times New Roman" w:hAnsi="Georgia" w:cs="Times New Roman"/>
          <w:color w:val="444444"/>
          <w:sz w:val="24"/>
          <w:szCs w:val="24"/>
          <w:lang w:val="es-UY" w:eastAsia="es-UY"/>
        </w:rPr>
      </w:pPr>
      <w:r w:rsidRPr="003A75CD">
        <w:rPr>
          <w:rFonts w:ascii="Georgia" w:eastAsia="Times New Roman" w:hAnsi="Georgia" w:cs="Times New Roman"/>
          <w:color w:val="444444"/>
          <w:sz w:val="24"/>
          <w:szCs w:val="24"/>
          <w:lang w:val="es-UY" w:eastAsia="es-UY"/>
        </w:rPr>
        <w:t>La expresión "signos de los tiempos" a su vez puede ser fácilmente malinterpretada. Para entenderlo realmente, en su formulación que se encuentra en  </w:t>
      </w:r>
      <w:proofErr w:type="spellStart"/>
      <w:r w:rsidRPr="003A75CD">
        <w:rPr>
          <w:rFonts w:ascii="Georgia" w:eastAsia="Times New Roman" w:hAnsi="Georgia" w:cs="Times New Roman"/>
          <w:i/>
          <w:iCs/>
          <w:color w:val="444444"/>
          <w:sz w:val="24"/>
          <w:szCs w:val="24"/>
          <w:lang w:val="es-UY" w:eastAsia="es-UY"/>
        </w:rPr>
        <w:t>Pacem</w:t>
      </w:r>
      <w:proofErr w:type="spellEnd"/>
      <w:r w:rsidRPr="003A75CD">
        <w:rPr>
          <w:rFonts w:ascii="Georgia" w:eastAsia="Times New Roman" w:hAnsi="Georgia" w:cs="Times New Roman"/>
          <w:i/>
          <w:iCs/>
          <w:color w:val="444444"/>
          <w:sz w:val="24"/>
          <w:szCs w:val="24"/>
          <w:lang w:val="es-UY" w:eastAsia="es-UY"/>
        </w:rPr>
        <w:t xml:space="preserve"> in </w:t>
      </w:r>
      <w:proofErr w:type="spellStart"/>
      <w:r w:rsidRPr="003A75CD">
        <w:rPr>
          <w:rFonts w:ascii="Georgia" w:eastAsia="Times New Roman" w:hAnsi="Georgia" w:cs="Times New Roman"/>
          <w:i/>
          <w:iCs/>
          <w:color w:val="444444"/>
          <w:sz w:val="24"/>
          <w:szCs w:val="24"/>
          <w:lang w:val="es-UY" w:eastAsia="es-UY"/>
        </w:rPr>
        <w:t>terris</w:t>
      </w:r>
      <w:proofErr w:type="spellEnd"/>
      <w:r w:rsidRPr="003A75CD">
        <w:rPr>
          <w:rFonts w:ascii="Georgia" w:eastAsia="Times New Roman" w:hAnsi="Georgia" w:cs="Times New Roman"/>
          <w:color w:val="444444"/>
          <w:sz w:val="24"/>
          <w:szCs w:val="24"/>
          <w:lang w:val="es-UY" w:eastAsia="es-UY"/>
        </w:rPr>
        <w:t xml:space="preserve">, podemos decir cómo se llamaron los signos de los tiempos hasta 1963: eso es nada menos que "errores modernos". Que todos los pueblos gocen de la misma dignidad, que el trabajo sea un lugar de derechos fundamentales y que las mujeres tengan autoridad en público son tres “lugares comunes” en la lucha de la </w:t>
      </w:r>
      <w:proofErr w:type="spellStart"/>
      <w:r w:rsidRPr="003A75CD">
        <w:rPr>
          <w:rFonts w:ascii="Georgia" w:eastAsia="Times New Roman" w:hAnsi="Georgia" w:cs="Times New Roman"/>
          <w:color w:val="444444"/>
          <w:sz w:val="24"/>
          <w:szCs w:val="24"/>
          <w:lang w:val="es-UY" w:eastAsia="es-UY"/>
        </w:rPr>
        <w:t>antimodernidad</w:t>
      </w:r>
      <w:proofErr w:type="spellEnd"/>
      <w:r w:rsidRPr="003A75CD">
        <w:rPr>
          <w:rFonts w:ascii="Georgia" w:eastAsia="Times New Roman" w:hAnsi="Georgia" w:cs="Times New Roman"/>
          <w:color w:val="444444"/>
          <w:sz w:val="24"/>
          <w:szCs w:val="24"/>
          <w:lang w:val="es-UY" w:eastAsia="es-UY"/>
        </w:rPr>
        <w:t xml:space="preserve"> contra la modernidad. Cuando los "errores modernos" se convierten en "signos de los tiempos", el mundo cambia porque cambia la teología de la iglesia. En el caso de Canadá, la inercia de la persuasión sobre los "errores modernos" permitió mantener una relación discriminatoria con "pueblos diferentes", permitiendo a la iglesia compartir enfoques discriminatorios, abusivos y </w:t>
      </w:r>
      <w:proofErr w:type="spellStart"/>
      <w:r w:rsidRPr="003A75CD">
        <w:rPr>
          <w:rFonts w:ascii="Georgia" w:eastAsia="Times New Roman" w:hAnsi="Georgia" w:cs="Times New Roman"/>
          <w:color w:val="444444"/>
          <w:sz w:val="24"/>
          <w:szCs w:val="24"/>
          <w:lang w:val="es-UY" w:eastAsia="es-UY"/>
        </w:rPr>
        <w:t>desarraigadores</w:t>
      </w:r>
      <w:proofErr w:type="spellEnd"/>
      <w:r w:rsidRPr="003A75CD">
        <w:rPr>
          <w:rFonts w:ascii="Georgia" w:eastAsia="Times New Roman" w:hAnsi="Georgia" w:cs="Times New Roman"/>
          <w:color w:val="444444"/>
          <w:sz w:val="24"/>
          <w:szCs w:val="24"/>
          <w:lang w:val="es-UY" w:eastAsia="es-UY"/>
        </w:rPr>
        <w:t xml:space="preserve"> que la cultura institucional canadiense había producido y apoyado durante décadas Si los hombres de la Iglesia hubieran escuchado estos "signos",</w:t>
      </w:r>
    </w:p>
    <w:p w14:paraId="43386097" w14:textId="77777777" w:rsidR="003A75CD" w:rsidRPr="003A75CD" w:rsidRDefault="003A75CD" w:rsidP="003A75CD">
      <w:pPr>
        <w:spacing w:after="377" w:line="240" w:lineRule="auto"/>
        <w:jc w:val="both"/>
        <w:rPr>
          <w:rFonts w:ascii="Georgia" w:eastAsia="Times New Roman" w:hAnsi="Georgia" w:cs="Times New Roman"/>
          <w:color w:val="444444"/>
          <w:sz w:val="24"/>
          <w:szCs w:val="24"/>
          <w:lang w:val="es-UY" w:eastAsia="es-UY"/>
        </w:rPr>
      </w:pPr>
      <w:proofErr w:type="spellStart"/>
      <w:r w:rsidRPr="003A75CD">
        <w:rPr>
          <w:rFonts w:ascii="Georgia" w:eastAsia="Times New Roman" w:hAnsi="Georgia" w:cs="Times New Roman"/>
          <w:color w:val="444444"/>
          <w:sz w:val="24"/>
          <w:szCs w:val="24"/>
          <w:lang w:val="es-UY" w:eastAsia="es-UY"/>
        </w:rPr>
        <w:t>Mondana</w:t>
      </w:r>
      <w:proofErr w:type="spellEnd"/>
      <w:r w:rsidRPr="003A75CD">
        <w:rPr>
          <w:rFonts w:ascii="Georgia" w:eastAsia="Times New Roman" w:hAnsi="Georgia" w:cs="Times New Roman"/>
          <w:color w:val="444444"/>
          <w:sz w:val="24"/>
          <w:szCs w:val="24"/>
          <w:lang w:val="es-UY" w:eastAsia="es-UY"/>
        </w:rPr>
        <w:t xml:space="preserve"> es una Iglesia que no sabe escuchar la historia, que no sabe leer la cultura, que no se deja interpelar por las diferentes tradiciones, que no se deja provocar y que por el contrario reacciona endureciendo, cerrarse, detenerse. Así como una iglesia mundana falla en atribuir la misma dignidad a todos los pueblos, una iglesia mundana falla en reconocer el papel autoritario de las mujeres. El mismo Papa que lleva plumas de ave como tocado, y así devuelve simbólicamente toda dignidad a los pueblos indígenas de Canadá, ha comenzado a quitar otro elemento de mundanalidad, acogiendo otro "signo de los tiempos": la autoridad de las mujeres en el mundo y en la iglesia. Una iglesia que no se mundana sabe superar la reserva masculina como criterio general de comprensión de todo ministerio en la Iglesia. El mismo Papa que besa la mano y abraza los hombros de los pueblos indígenas puede emprender el camino de la reconciliación con las mujeres excluidas de toda autoridad. Esta es otra señal de los tiempos en que cuanto más tendremos que pedir perdón más permitiremos que la lógica de la sociedad cerrada, la misma que produjo las "escuelas residenciales" en Canadá, dicte la ley sobre cómo delimitar ontológicamente la autoridad femenina en la comunidad de los discípulos de Cristo. Aunque no tengan "corona de plumas", también estas "dignidades incomprendidas" serán lugar de caminos penitenciales, en un futuro no muy lejano, sin duda alguna. Para no imponer aquí también un modelo cultural, y </w:t>
      </w:r>
      <w:proofErr w:type="spellStart"/>
      <w:r w:rsidRPr="003A75CD">
        <w:rPr>
          <w:rFonts w:ascii="Georgia" w:eastAsia="Times New Roman" w:hAnsi="Georgia" w:cs="Times New Roman"/>
          <w:color w:val="444444"/>
          <w:sz w:val="24"/>
          <w:szCs w:val="24"/>
          <w:lang w:val="es-UY" w:eastAsia="es-UY"/>
        </w:rPr>
        <w:t>mundanizarnos</w:t>
      </w:r>
      <w:proofErr w:type="spellEnd"/>
      <w:r w:rsidRPr="003A75CD">
        <w:rPr>
          <w:rFonts w:ascii="Georgia" w:eastAsia="Times New Roman" w:hAnsi="Georgia" w:cs="Times New Roman"/>
          <w:color w:val="444444"/>
          <w:sz w:val="24"/>
          <w:szCs w:val="24"/>
          <w:lang w:val="es-UY" w:eastAsia="es-UY"/>
        </w:rPr>
        <w:t xml:space="preserve"> con él, hay que escuchar y valorar. No debe ser impuesto e inculcado, pero dejemos que el Espíritu muestre con libertad e imaginación las riquezas a las que fácilmente estaríamos convencidos de tener que renunciar. Como ocurría en Canadá, en la Iglesia, hasta hace unas décadas, hubo ciertamente más de un ministro eclesial convencido de que las prácticas de "desarraigo y asimilación" eran necesarias y oportunas, para "dignificar" a los pueblos que No. De la misma manera, no faltan sujetos católicos que todavía están convencidos, no solo en Canadá, de que la "irrupción de la mujer en el espacio público" no debe leerse como un "signo de los tiempos" del que aprender, sino como un "error moderno" al que hay que oponerse y negar. ciertamente hubo más de un ministro eclesial que se convenció de que las prácticas de "desarraigo y asimilación" eran necesarias y oportunas, para "dignificar" a los pueblos que no la tenían. De la misma manera, no faltan sujetos católicos que todavía están convencidos, no solo en Canadá, de que la "irrupción de la mujer en el espacio público" no debe leerse como un "signo de los tiempos" del que aprender, sino como un "error moderno" al que hay que oponerse y negar. ciertamente hubo más de un ministro eclesial que se convenció de que las prácticas de "desarraigo y asimilación" eran necesarias y oportunas, para "dignificar" a los pueblos que no la tenían. De la misma manera, no faltan sujetos católicos que todavía están convencidos, no solo en Canadá, de que la "irrupción de la mujer en el espacio público" no debe leerse como un "signo de los tiempos" del que aprender, sino como un "error moderno" al que hay que oponerse y negar.</w:t>
      </w:r>
    </w:p>
    <w:p w14:paraId="3687B98C" w14:textId="78A826EF" w:rsidR="002E2F5B" w:rsidRDefault="003A75CD" w:rsidP="003A75CD">
      <w:pPr>
        <w:jc w:val="both"/>
        <w:rPr>
          <w:sz w:val="24"/>
          <w:szCs w:val="24"/>
        </w:rPr>
      </w:pPr>
      <w:hyperlink r:id="rId8" w:history="1">
        <w:r w:rsidRPr="00D324B1">
          <w:rPr>
            <w:rStyle w:val="Hipervnculo"/>
            <w:sz w:val="24"/>
            <w:szCs w:val="24"/>
          </w:rPr>
          <w:t>http://www.cittadellaeditrice.com/munera/la-mondanita-i-segni-dei-tempi-e-gli-errori-moderni-chiarimenti-dal-viaggio-in-canada/</w:t>
        </w:r>
      </w:hyperlink>
    </w:p>
    <w:p w14:paraId="69DF1271" w14:textId="77777777" w:rsidR="003A75CD" w:rsidRPr="003A75CD" w:rsidRDefault="003A75CD" w:rsidP="003A75CD">
      <w:pPr>
        <w:jc w:val="both"/>
        <w:rPr>
          <w:sz w:val="24"/>
          <w:szCs w:val="24"/>
        </w:rPr>
      </w:pPr>
    </w:p>
    <w:sectPr w:rsidR="003A75CD" w:rsidRPr="003A75C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75CD"/>
    <w:rsid w:val="002E2F5B"/>
    <w:rsid w:val="003A75C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1A6930"/>
  <w15:chartTrackingRefBased/>
  <w15:docId w15:val="{75D7C3EE-9456-4B83-809E-37A87AC0A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paragraph" w:styleId="Ttulo1">
    <w:name w:val="heading 1"/>
    <w:basedOn w:val="Normal"/>
    <w:next w:val="Normal"/>
    <w:link w:val="Ttulo1Car"/>
    <w:uiPriority w:val="9"/>
    <w:qFormat/>
    <w:rsid w:val="003A75C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A75CD"/>
    <w:rPr>
      <w:rFonts w:asciiTheme="majorHAnsi" w:eastAsiaTheme="majorEastAsia" w:hAnsiTheme="majorHAnsi" w:cstheme="majorBidi"/>
      <w:color w:val="2F5496" w:themeColor="accent1" w:themeShade="BF"/>
      <w:sz w:val="32"/>
      <w:szCs w:val="32"/>
      <w:lang w:val="es-419"/>
    </w:rPr>
  </w:style>
  <w:style w:type="character" w:styleId="Hipervnculo">
    <w:name w:val="Hyperlink"/>
    <w:basedOn w:val="Fuentedeprrafopredeter"/>
    <w:uiPriority w:val="99"/>
    <w:unhideWhenUsed/>
    <w:rsid w:val="003A75CD"/>
    <w:rPr>
      <w:color w:val="0563C1" w:themeColor="hyperlink"/>
      <w:u w:val="single"/>
    </w:rPr>
  </w:style>
  <w:style w:type="character" w:styleId="Mencinsinresolver">
    <w:name w:val="Unresolved Mention"/>
    <w:basedOn w:val="Fuentedeprrafopredeter"/>
    <w:uiPriority w:val="99"/>
    <w:semiHidden/>
    <w:unhideWhenUsed/>
    <w:rsid w:val="003A75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2703815">
      <w:bodyDiv w:val="1"/>
      <w:marLeft w:val="0"/>
      <w:marRight w:val="0"/>
      <w:marTop w:val="0"/>
      <w:marBottom w:val="0"/>
      <w:divBdr>
        <w:top w:val="none" w:sz="0" w:space="0" w:color="auto"/>
        <w:left w:val="none" w:sz="0" w:space="0" w:color="auto"/>
        <w:bottom w:val="none" w:sz="0" w:space="0" w:color="auto"/>
        <w:right w:val="none" w:sz="0" w:space="0" w:color="auto"/>
      </w:divBdr>
      <w:divsChild>
        <w:div w:id="1847163549">
          <w:marLeft w:val="0"/>
          <w:marRight w:val="0"/>
          <w:marTop w:val="0"/>
          <w:marBottom w:val="0"/>
          <w:divBdr>
            <w:top w:val="none" w:sz="0" w:space="0" w:color="auto"/>
            <w:left w:val="none" w:sz="0" w:space="0" w:color="auto"/>
            <w:bottom w:val="none" w:sz="0" w:space="0" w:color="auto"/>
            <w:right w:val="none" w:sz="0" w:space="0" w:color="auto"/>
          </w:divBdr>
        </w:div>
        <w:div w:id="47069374">
          <w:marLeft w:val="0"/>
          <w:marRight w:val="0"/>
          <w:marTop w:val="0"/>
          <w:marBottom w:val="504"/>
          <w:divBdr>
            <w:top w:val="none" w:sz="0" w:space="0" w:color="auto"/>
            <w:left w:val="none" w:sz="0" w:space="0" w:color="auto"/>
            <w:bottom w:val="none" w:sz="0" w:space="0" w:color="auto"/>
            <w:right w:val="none" w:sz="0" w:space="0" w:color="auto"/>
          </w:divBdr>
        </w:div>
        <w:div w:id="20347252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ittadellaeditrice.com/munera/la-mondanita-i-segni-dei-tempi-e-gli-errori-moderni-chiarimenti-dal-viaggio-in-canada/" TargetMode="External"/><Relationship Id="rId3" Type="http://schemas.openxmlformats.org/officeDocument/2006/relationships/webSettings" Target="webSettings.xml"/><Relationship Id="rId7" Type="http://schemas.openxmlformats.org/officeDocument/2006/relationships/image" Target="media/image1.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ittadellaeditrice.com/munera/wp-content/uploads/papacanada.jpg" TargetMode="External"/><Relationship Id="rId5" Type="http://schemas.openxmlformats.org/officeDocument/2006/relationships/hyperlink" Target="http://www.cittadellaeditrice.com/munera/come-se-non/" TargetMode="External"/><Relationship Id="rId10" Type="http://schemas.openxmlformats.org/officeDocument/2006/relationships/theme" Target="theme/theme1.xml"/><Relationship Id="rId4" Type="http://schemas.openxmlformats.org/officeDocument/2006/relationships/hyperlink" Target="http://www.muneraonline.eu/andrea-grillo" TargetMode="Externa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1318</Words>
  <Characters>7251</Characters>
  <Application>Microsoft Office Word</Application>
  <DocSecurity>0</DocSecurity>
  <Lines>60</Lines>
  <Paragraphs>17</Paragraphs>
  <ScaleCrop>false</ScaleCrop>
  <Company/>
  <LinksUpToDate>false</LinksUpToDate>
  <CharactersWithSpaces>8552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2022-07-28T21:12:00Z</dcterms:created>
  <dcterms:modified xsi:type="dcterms:W3CDTF">2022-07-28T21:15:00Z</dcterms:modified>
</cp:coreProperties>
</file>