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01D43" w14:textId="77777777" w:rsidR="00AC64C7" w:rsidRPr="00AC64C7" w:rsidRDefault="00AC64C7" w:rsidP="00AC64C7">
      <w:pPr>
        <w:shd w:val="clear" w:color="auto" w:fill="FFFFFF"/>
        <w:spacing w:after="0" w:line="240" w:lineRule="auto"/>
        <w:jc w:val="center"/>
        <w:rPr>
          <w:rFonts w:ascii="Arial" w:eastAsia="Times New Roman" w:hAnsi="Arial" w:cs="Arial"/>
          <w:color w:val="222222"/>
          <w:sz w:val="24"/>
          <w:szCs w:val="24"/>
          <w:lang w:val="es-UY" w:eastAsia="es-UY"/>
        </w:rPr>
      </w:pPr>
      <w:r w:rsidRPr="00AC64C7">
        <w:rPr>
          <w:rFonts w:ascii="Arial" w:eastAsia="Times New Roman" w:hAnsi="Arial" w:cs="Arial"/>
          <w:color w:val="000000"/>
          <w:sz w:val="36"/>
          <w:szCs w:val="36"/>
          <w:lang w:val="es-UY" w:eastAsia="es-UY"/>
        </w:rPr>
        <w:t> Ni tres ni reyes los magos</w:t>
      </w:r>
    </w:p>
    <w:p w14:paraId="642F447E" w14:textId="77777777" w:rsidR="00AC64C7" w:rsidRPr="00AC64C7" w:rsidRDefault="00AC64C7" w:rsidP="00AC64C7">
      <w:pPr>
        <w:shd w:val="clear" w:color="auto" w:fill="FFFFFF"/>
        <w:spacing w:after="0" w:line="240" w:lineRule="auto"/>
        <w:jc w:val="right"/>
        <w:rPr>
          <w:rFonts w:ascii="Arial" w:eastAsia="Times New Roman" w:hAnsi="Arial" w:cs="Arial"/>
          <w:color w:val="222222"/>
          <w:sz w:val="24"/>
          <w:szCs w:val="24"/>
          <w:lang w:val="es-UY" w:eastAsia="es-UY"/>
        </w:rPr>
      </w:pPr>
      <w:r w:rsidRPr="00AC64C7">
        <w:rPr>
          <w:rFonts w:ascii="Arial" w:eastAsia="Times New Roman" w:hAnsi="Arial" w:cs="Arial"/>
          <w:i/>
          <w:iCs/>
          <w:color w:val="000000"/>
          <w:sz w:val="24"/>
          <w:szCs w:val="24"/>
          <w:lang w:val="es-ES" w:eastAsia="es-UY"/>
        </w:rPr>
        <w:t>Eduardo de la Serna</w:t>
      </w:r>
    </w:p>
    <w:p w14:paraId="0463759C" w14:textId="30BFDA20" w:rsidR="00AC64C7" w:rsidRPr="00AC64C7" w:rsidRDefault="00AC64C7" w:rsidP="00AC64C7">
      <w:pPr>
        <w:shd w:val="clear" w:color="auto" w:fill="FFFFFF"/>
        <w:spacing w:after="0" w:line="257" w:lineRule="atLeast"/>
        <w:jc w:val="center"/>
        <w:rPr>
          <w:rFonts w:ascii="Arial" w:eastAsia="Times New Roman" w:hAnsi="Arial" w:cs="Arial"/>
          <w:color w:val="222222"/>
          <w:sz w:val="24"/>
          <w:szCs w:val="24"/>
          <w:lang w:val="es-UY" w:eastAsia="es-UY"/>
        </w:rPr>
      </w:pPr>
    </w:p>
    <w:p w14:paraId="76A3A15C" w14:textId="2A3AF885" w:rsidR="00AC64C7" w:rsidRPr="00AC64C7" w:rsidRDefault="00AC64C7" w:rsidP="00AC64C7">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32C1BAEC" wp14:editId="67042F22">
            <wp:extent cx="3200400" cy="18954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400" cy="1895475"/>
                    </a:xfrm>
                    <a:prstGeom prst="rect">
                      <a:avLst/>
                    </a:prstGeom>
                    <a:noFill/>
                  </pic:spPr>
                </pic:pic>
              </a:graphicData>
            </a:graphic>
          </wp:inline>
        </w:drawing>
      </w:r>
    </w:p>
    <w:p w14:paraId="7E722F65" w14:textId="335CC196" w:rsidR="00AC64C7" w:rsidRDefault="00AC64C7" w:rsidP="00AC64C7">
      <w:pPr>
        <w:shd w:val="clear" w:color="auto" w:fill="FFFFFF"/>
        <w:spacing w:after="0" w:line="240" w:lineRule="auto"/>
        <w:jc w:val="both"/>
        <w:rPr>
          <w:rFonts w:ascii="Arial" w:eastAsia="Times New Roman" w:hAnsi="Arial" w:cs="Arial"/>
          <w:color w:val="000000"/>
          <w:sz w:val="24"/>
          <w:szCs w:val="24"/>
          <w:lang w:val="es-ES" w:eastAsia="es-UY"/>
        </w:rPr>
      </w:pPr>
      <w:r w:rsidRPr="00AC64C7">
        <w:rPr>
          <w:rFonts w:ascii="Arial" w:eastAsia="Times New Roman" w:hAnsi="Arial" w:cs="Arial"/>
          <w:color w:val="000000"/>
          <w:sz w:val="24"/>
          <w:szCs w:val="24"/>
          <w:lang w:val="es-ES" w:eastAsia="es-UY"/>
        </w:rPr>
        <w:t>Pensar que los Evangelios transmiten una suerte de descripción detallada de los acontecimientos tal como ocurrieron es no entender ni lo que los Evangelios son, ni lo que pretenden ser… y narrar.</w:t>
      </w:r>
    </w:p>
    <w:p w14:paraId="087B64F9"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p>
    <w:p w14:paraId="7D9121F6" w14:textId="00DD50E5" w:rsidR="00AC64C7" w:rsidRDefault="00AC64C7" w:rsidP="00AC64C7">
      <w:pPr>
        <w:shd w:val="clear" w:color="auto" w:fill="FFFFFF"/>
        <w:spacing w:after="0" w:line="240" w:lineRule="auto"/>
        <w:jc w:val="both"/>
        <w:rPr>
          <w:rFonts w:ascii="Arial" w:eastAsia="Times New Roman" w:hAnsi="Arial" w:cs="Arial"/>
          <w:color w:val="000000"/>
          <w:sz w:val="24"/>
          <w:szCs w:val="24"/>
          <w:lang w:val="es-ES" w:eastAsia="es-UY"/>
        </w:rPr>
      </w:pPr>
      <w:r w:rsidRPr="00AC64C7">
        <w:rPr>
          <w:rFonts w:ascii="Arial" w:eastAsia="Times New Roman" w:hAnsi="Arial" w:cs="Arial"/>
          <w:color w:val="000000"/>
          <w:sz w:val="24"/>
          <w:szCs w:val="24"/>
          <w:lang w:val="es-ES" w:eastAsia="es-UY"/>
        </w:rPr>
        <w:t>Para empezar, nadie diría que García Márquez es un mentiroso y un falsario porque Macondo no existe. Nadie espera de Cien Años de soledad una descripción de acontecimientos y lugares, sino una buena novela. ¿Por qué debiéramos esperar eso de los Evangelios? Un Evangelio es, precisamente, un Evangelio… una narración, un relato de Buenas Noticias. Es decir, un hecho que es narrado de un modo positivo en orden a provocar una alegría profunda en los destinatarios. Obviamente, la clave está en los destinatarios, entonces, a quienes Tal o Cual Evangelista quiere relatarle una Buena Noticia. Por cierto, esto supone, además, que el transmisor conoce a los destinatarios, de modo de comunicar algo que realmente es Buena Noticia para ellos. Para un ciego, la buena noticia es que va a ver, para un cojo, que va a caminar, para usar imágenes bíblicas; la Buena Noticia (= Evangelio) tiene directa relación con los destinatarios.</w:t>
      </w:r>
    </w:p>
    <w:p w14:paraId="457509A7"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p>
    <w:p w14:paraId="43D0C657" w14:textId="360028CE" w:rsidR="00AC64C7" w:rsidRDefault="00AC64C7" w:rsidP="00AC64C7">
      <w:pPr>
        <w:shd w:val="clear" w:color="auto" w:fill="FFFFFF"/>
        <w:spacing w:after="0" w:line="240" w:lineRule="auto"/>
        <w:jc w:val="both"/>
        <w:rPr>
          <w:rFonts w:ascii="Arial" w:eastAsia="Times New Roman" w:hAnsi="Arial" w:cs="Arial"/>
          <w:color w:val="000000"/>
          <w:sz w:val="24"/>
          <w:szCs w:val="24"/>
          <w:lang w:val="es-ES" w:eastAsia="es-UY"/>
        </w:rPr>
      </w:pPr>
      <w:r w:rsidRPr="00AC64C7">
        <w:rPr>
          <w:rFonts w:ascii="Arial" w:eastAsia="Times New Roman" w:hAnsi="Arial" w:cs="Arial"/>
          <w:color w:val="000000"/>
          <w:sz w:val="24"/>
          <w:szCs w:val="24"/>
          <w:lang w:val="es-ES" w:eastAsia="es-UY"/>
        </w:rPr>
        <w:t>El relato de la visita de los magos a Jesús niño está cargada de sentido bíblico al cual se lo suele adornar con imágenes y coloridos familiares, culturales, infantiles… y comerciales. Y todo esto es incuestionable, salvo que pretendamos que lo añadido el texto bíblico lo diga. Veamos sencillamente algunas cosas:</w:t>
      </w:r>
    </w:p>
    <w:p w14:paraId="3F2A43AC"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p>
    <w:p w14:paraId="3B55C7B4"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r w:rsidRPr="00AC64C7">
        <w:rPr>
          <w:rFonts w:ascii="Arial" w:eastAsia="Times New Roman" w:hAnsi="Arial" w:cs="Arial"/>
          <w:color w:val="000000"/>
          <w:sz w:val="24"/>
          <w:szCs w:val="24"/>
          <w:lang w:val="es-ES" w:eastAsia="es-UY"/>
        </w:rPr>
        <w:t>“Unos magos” … como se ve, el texto no indica ni el número ni su carácter supuestamente real. El número no está señalado. En ningún momento se menciona cuantos son estos magos ni – por supuesto – menos aún sus nombres.</w:t>
      </w:r>
    </w:p>
    <w:p w14:paraId="64DB24E5" w14:textId="5372F958" w:rsidR="00AC64C7" w:rsidRDefault="00AC64C7" w:rsidP="00AC64C7">
      <w:pPr>
        <w:shd w:val="clear" w:color="auto" w:fill="FFFFFF"/>
        <w:spacing w:after="0" w:line="240" w:lineRule="auto"/>
        <w:jc w:val="both"/>
        <w:rPr>
          <w:rFonts w:ascii="Arial" w:eastAsia="Times New Roman" w:hAnsi="Arial" w:cs="Arial"/>
          <w:color w:val="000000"/>
          <w:sz w:val="24"/>
          <w:szCs w:val="24"/>
          <w:lang w:val="es-ES" w:eastAsia="es-UY"/>
        </w:rPr>
      </w:pPr>
      <w:r w:rsidRPr="00AC64C7">
        <w:rPr>
          <w:rFonts w:ascii="Arial" w:eastAsia="Times New Roman" w:hAnsi="Arial" w:cs="Arial"/>
          <w:color w:val="000000"/>
          <w:sz w:val="24"/>
          <w:szCs w:val="24"/>
          <w:lang w:val="es-ES" w:eastAsia="es-UY"/>
        </w:rPr>
        <w:t xml:space="preserve">Los magos, para la Biblia (¡y de Biblia hablamos!) son, ante todo, paganos (es decir, no judíos). Y, además, son modelo de quienes hacen todo lo contrario a lo que Dios quiere. Por eso son ejemplo evidente de personas “necias” (= no </w:t>
      </w:r>
      <w:proofErr w:type="spellStart"/>
      <w:r w:rsidRPr="00AC64C7">
        <w:rPr>
          <w:rFonts w:ascii="Arial" w:eastAsia="Times New Roman" w:hAnsi="Arial" w:cs="Arial"/>
          <w:color w:val="000000"/>
          <w:sz w:val="24"/>
          <w:szCs w:val="24"/>
          <w:lang w:val="es-ES" w:eastAsia="es-UY"/>
        </w:rPr>
        <w:t>sa</w:t>
      </w:r>
      <w:proofErr w:type="spellEnd"/>
      <w:r w:rsidRPr="00AC64C7">
        <w:rPr>
          <w:rFonts w:ascii="Arial" w:eastAsia="Times New Roman" w:hAnsi="Arial" w:cs="Arial"/>
          <w:color w:val="000000"/>
          <w:sz w:val="24"/>
          <w:szCs w:val="24"/>
          <w:lang w:val="es-UY" w:eastAsia="es-UY"/>
        </w:rPr>
        <w:t>ben; no son “sabios” para la Biblia). En hebreo se suele usar el término ‘</w:t>
      </w:r>
      <w:proofErr w:type="spellStart"/>
      <w:r w:rsidRPr="00AC64C7">
        <w:rPr>
          <w:rFonts w:ascii="Arial" w:eastAsia="Times New Roman" w:hAnsi="Arial" w:cs="Arial"/>
          <w:i/>
          <w:iCs/>
          <w:color w:val="000000"/>
          <w:sz w:val="24"/>
          <w:szCs w:val="24"/>
          <w:lang w:val="es-UY" w:eastAsia="es-UY"/>
        </w:rPr>
        <w:t>artum</w:t>
      </w:r>
      <w:proofErr w:type="spellEnd"/>
      <w:r w:rsidRPr="00AC64C7">
        <w:rPr>
          <w:rFonts w:ascii="Arial" w:eastAsia="Times New Roman" w:hAnsi="Arial" w:cs="Arial"/>
          <w:color w:val="000000"/>
          <w:sz w:val="24"/>
          <w:szCs w:val="24"/>
          <w:lang w:val="es-UY" w:eastAsia="es-UY"/>
        </w:rPr>
        <w:t>, que remite a Egipto y también a Babilonia y suele traducirse al griego </w:t>
      </w:r>
      <w:proofErr w:type="spellStart"/>
      <w:r w:rsidRPr="00AC64C7">
        <w:rPr>
          <w:rFonts w:ascii="Arial" w:eastAsia="Times New Roman" w:hAnsi="Arial" w:cs="Arial"/>
          <w:i/>
          <w:iCs/>
          <w:color w:val="000000"/>
          <w:sz w:val="24"/>
          <w:szCs w:val="24"/>
          <w:lang w:val="es-UY" w:eastAsia="es-UY"/>
        </w:rPr>
        <w:t>epaoidós</w:t>
      </w:r>
      <w:proofErr w:type="spellEnd"/>
      <w:r w:rsidRPr="00AC64C7">
        <w:rPr>
          <w:rFonts w:ascii="Arial" w:eastAsia="Times New Roman" w:hAnsi="Arial" w:cs="Arial"/>
          <w:color w:val="000000"/>
          <w:sz w:val="24"/>
          <w:szCs w:val="24"/>
          <w:lang w:val="es-UY" w:eastAsia="es-UY"/>
        </w:rPr>
        <w:t> (aunque también se usa </w:t>
      </w:r>
      <w:proofErr w:type="spellStart"/>
      <w:r w:rsidRPr="00AC64C7">
        <w:rPr>
          <w:rFonts w:ascii="Arial" w:eastAsia="Times New Roman" w:hAnsi="Arial" w:cs="Arial"/>
          <w:i/>
          <w:iCs/>
          <w:color w:val="000000"/>
          <w:sz w:val="24"/>
          <w:szCs w:val="24"/>
          <w:lang w:val="es-UY" w:eastAsia="es-UY"/>
        </w:rPr>
        <w:t>exegetai</w:t>
      </w:r>
      <w:proofErr w:type="spellEnd"/>
      <w:r w:rsidRPr="00AC64C7">
        <w:rPr>
          <w:rFonts w:ascii="Arial" w:eastAsia="Times New Roman" w:hAnsi="Arial" w:cs="Arial"/>
          <w:color w:val="000000"/>
          <w:sz w:val="24"/>
          <w:szCs w:val="24"/>
          <w:lang w:val="es-UY" w:eastAsia="es-UY"/>
        </w:rPr>
        <w:t> y </w:t>
      </w:r>
      <w:proofErr w:type="spellStart"/>
      <w:r w:rsidRPr="00AC64C7">
        <w:rPr>
          <w:rFonts w:ascii="Arial" w:eastAsia="Times New Roman" w:hAnsi="Arial" w:cs="Arial"/>
          <w:i/>
          <w:iCs/>
          <w:color w:val="000000"/>
          <w:sz w:val="24"/>
          <w:szCs w:val="24"/>
          <w:lang w:val="es-UY" w:eastAsia="es-UY"/>
        </w:rPr>
        <w:t>farmakós</w:t>
      </w:r>
      <w:proofErr w:type="spellEnd"/>
      <w:r w:rsidRPr="00AC64C7">
        <w:rPr>
          <w:rFonts w:ascii="Arial" w:eastAsia="Times New Roman" w:hAnsi="Arial" w:cs="Arial"/>
          <w:color w:val="000000"/>
          <w:sz w:val="24"/>
          <w:szCs w:val="24"/>
          <w:lang w:val="es-UY" w:eastAsia="es-UY"/>
        </w:rPr>
        <w:t>), nunca por </w:t>
      </w:r>
      <w:proofErr w:type="spellStart"/>
      <w:r w:rsidRPr="00AC64C7">
        <w:rPr>
          <w:rFonts w:ascii="Arial" w:eastAsia="Times New Roman" w:hAnsi="Arial" w:cs="Arial"/>
          <w:i/>
          <w:iCs/>
          <w:color w:val="000000"/>
          <w:sz w:val="24"/>
          <w:szCs w:val="24"/>
          <w:lang w:val="es-UY" w:eastAsia="es-UY"/>
        </w:rPr>
        <w:t>magós</w:t>
      </w:r>
      <w:proofErr w:type="spellEnd"/>
      <w:r w:rsidRPr="00AC64C7">
        <w:rPr>
          <w:rFonts w:ascii="Arial" w:eastAsia="Times New Roman" w:hAnsi="Arial" w:cs="Arial"/>
          <w:color w:val="000000"/>
          <w:sz w:val="24"/>
          <w:szCs w:val="24"/>
          <w:lang w:val="es-UY" w:eastAsia="es-UY"/>
        </w:rPr>
        <w:t>. El único lugar de la Biblia hebrea donde encontramos “</w:t>
      </w:r>
      <w:proofErr w:type="spellStart"/>
      <w:r w:rsidRPr="00AC64C7">
        <w:rPr>
          <w:rFonts w:ascii="Arial" w:eastAsia="Times New Roman" w:hAnsi="Arial" w:cs="Arial"/>
          <w:i/>
          <w:iCs/>
          <w:color w:val="000000"/>
          <w:sz w:val="24"/>
          <w:szCs w:val="24"/>
          <w:lang w:val="es-UY" w:eastAsia="es-UY"/>
        </w:rPr>
        <w:t>magós</w:t>
      </w:r>
      <w:proofErr w:type="spellEnd"/>
      <w:r w:rsidRPr="00AC64C7">
        <w:rPr>
          <w:rFonts w:ascii="Arial" w:eastAsia="Times New Roman" w:hAnsi="Arial" w:cs="Arial"/>
          <w:color w:val="000000"/>
          <w:sz w:val="24"/>
          <w:szCs w:val="24"/>
          <w:lang w:val="es-UY" w:eastAsia="es-UY"/>
        </w:rPr>
        <w:t xml:space="preserve">” es en Daniel donde aparece en listas: adivinos, conjuradores, magos, caldeos, </w:t>
      </w:r>
      <w:proofErr w:type="spellStart"/>
      <w:r w:rsidRPr="00AC64C7">
        <w:rPr>
          <w:rFonts w:ascii="Arial" w:eastAsia="Times New Roman" w:hAnsi="Arial" w:cs="Arial"/>
          <w:color w:val="000000"/>
          <w:sz w:val="24"/>
          <w:szCs w:val="24"/>
          <w:lang w:val="es-UY" w:eastAsia="es-UY"/>
        </w:rPr>
        <w:t>etc</w:t>
      </w:r>
      <w:proofErr w:type="spellEnd"/>
      <w:r w:rsidRPr="00AC64C7">
        <w:rPr>
          <w:rFonts w:ascii="Arial" w:eastAsia="Times New Roman" w:hAnsi="Arial" w:cs="Arial"/>
          <w:color w:val="000000"/>
          <w:sz w:val="24"/>
          <w:szCs w:val="24"/>
          <w:lang w:val="es-UY" w:eastAsia="es-UY"/>
        </w:rPr>
        <w:t xml:space="preserve">… Es decir, se trata de algo de un mismo campo semántico, pero no idéntico. En el </w:t>
      </w:r>
      <w:r w:rsidRPr="00AC64C7">
        <w:rPr>
          <w:rFonts w:ascii="Arial" w:eastAsia="Times New Roman" w:hAnsi="Arial" w:cs="Arial"/>
          <w:color w:val="000000"/>
          <w:sz w:val="24"/>
          <w:szCs w:val="24"/>
          <w:lang w:val="es-UY" w:eastAsia="es-UY"/>
        </w:rPr>
        <w:lastRenderedPageBreak/>
        <w:t xml:space="preserve">Nuevo Testamento, fuera del relato del Evangelio sólo en dos ocasiones encontramos un mago, en Hechos, </w:t>
      </w:r>
      <w:proofErr w:type="spellStart"/>
      <w:r w:rsidRPr="00AC64C7">
        <w:rPr>
          <w:rFonts w:ascii="Arial" w:eastAsia="Times New Roman" w:hAnsi="Arial" w:cs="Arial"/>
          <w:color w:val="000000"/>
          <w:sz w:val="24"/>
          <w:szCs w:val="24"/>
          <w:lang w:val="es-UY" w:eastAsia="es-UY"/>
        </w:rPr>
        <w:t>Barjesús</w:t>
      </w:r>
      <w:proofErr w:type="spellEnd"/>
      <w:r w:rsidRPr="00AC64C7">
        <w:rPr>
          <w:rFonts w:ascii="Arial" w:eastAsia="Times New Roman" w:hAnsi="Arial" w:cs="Arial"/>
          <w:color w:val="000000"/>
          <w:sz w:val="24"/>
          <w:szCs w:val="24"/>
          <w:lang w:val="es-UY" w:eastAsia="es-UY"/>
        </w:rPr>
        <w:t xml:space="preserve"> era “un mago, un falso profeta” (13,6) y de Simón se dice que “practicaba la magia</w:t>
      </w:r>
      <w:r w:rsidRPr="00AC64C7">
        <w:rPr>
          <w:rFonts w:ascii="Arial" w:eastAsia="Times New Roman" w:hAnsi="Arial" w:cs="Arial"/>
          <w:color w:val="000000"/>
          <w:sz w:val="24"/>
          <w:szCs w:val="24"/>
          <w:lang w:val="es-ES" w:eastAsia="es-UY"/>
        </w:rPr>
        <w:t>” (8,9.11); nada positivo, como se ve. Se trata, en los textos de Daniel, de aquellos que pueden informar al rey de las cosas que ocurrirán interpretando sus sueños (es decir, lo que Dios dice al rey) o un escrito (por eso en ocasiones se traduce </w:t>
      </w:r>
      <w:proofErr w:type="spellStart"/>
      <w:r w:rsidRPr="00AC64C7">
        <w:rPr>
          <w:rFonts w:ascii="Arial" w:eastAsia="Times New Roman" w:hAnsi="Arial" w:cs="Arial"/>
          <w:i/>
          <w:iCs/>
          <w:color w:val="000000"/>
          <w:sz w:val="24"/>
          <w:szCs w:val="24"/>
          <w:lang w:val="es-ES" w:eastAsia="es-UY"/>
        </w:rPr>
        <w:t>exegetai</w:t>
      </w:r>
      <w:proofErr w:type="spellEnd"/>
      <w:r w:rsidRPr="00AC64C7">
        <w:rPr>
          <w:rFonts w:ascii="Arial" w:eastAsia="Times New Roman" w:hAnsi="Arial" w:cs="Arial"/>
          <w:color w:val="000000"/>
          <w:sz w:val="24"/>
          <w:szCs w:val="24"/>
          <w:lang w:val="es-ES" w:eastAsia="es-UY"/>
        </w:rPr>
        <w:t>, “intérpretes”). Por tanto, y acá el tema, unos necios, paganos, contrarios a lo esperado de parte de Dios llegan a reconocer al niño, mientras que “todos” los sumos sacerdotes y “todo” Jerusalén, que saben – porque lo dice el profeta – que ha de nacer en Belén (Miqueas 5,1) no van a verlo. El contraste, entonces, es entre los que saben (las autoridades judías) y los necios. Son los necios los que ven al niño, mientras los “sabios” no. Una vez más, el Evangelio no es entendido por los sabios sino por los “pequeños”.</w:t>
      </w:r>
    </w:p>
    <w:p w14:paraId="7CD49954"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p>
    <w:p w14:paraId="46236398" w14:textId="030B2F18" w:rsidR="00AC64C7" w:rsidRDefault="00AC64C7" w:rsidP="00AC64C7">
      <w:pPr>
        <w:shd w:val="clear" w:color="auto" w:fill="FFFFFF"/>
        <w:spacing w:after="0" w:line="240" w:lineRule="auto"/>
        <w:jc w:val="both"/>
        <w:rPr>
          <w:rFonts w:ascii="Arial" w:eastAsia="Times New Roman" w:hAnsi="Arial" w:cs="Arial"/>
          <w:color w:val="000000"/>
          <w:sz w:val="24"/>
          <w:szCs w:val="24"/>
          <w:lang w:val="es-ES" w:eastAsia="es-UY"/>
        </w:rPr>
      </w:pPr>
      <w:r w:rsidRPr="00AC64C7">
        <w:rPr>
          <w:rFonts w:ascii="Arial" w:eastAsia="Times New Roman" w:hAnsi="Arial" w:cs="Arial"/>
          <w:color w:val="000000"/>
          <w:sz w:val="24"/>
          <w:szCs w:val="24"/>
          <w:lang w:val="es-ES" w:eastAsia="es-UY"/>
        </w:rPr>
        <w:t>El contraste de reyes, entonces, no está entre los magos, ¡que no se dice que sean reyes!, sino entre el “rey” Herodes y el niño, “rey de los judíos”. Qué los magos digan que quieren adorar al rey y se lo digan al rey, es desconocer su autoridad. Herodes, famoso por ser sanguinario, no podía permanecer indiferente ante esto.</w:t>
      </w:r>
    </w:p>
    <w:p w14:paraId="5F1A5DB2"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p>
    <w:p w14:paraId="56B0A877" w14:textId="1189556E" w:rsidR="00AC64C7" w:rsidRDefault="00AC64C7" w:rsidP="00AC64C7">
      <w:pPr>
        <w:shd w:val="clear" w:color="auto" w:fill="FFFFFF"/>
        <w:spacing w:after="0" w:line="240" w:lineRule="auto"/>
        <w:jc w:val="both"/>
        <w:rPr>
          <w:rFonts w:ascii="Arial" w:eastAsia="Times New Roman" w:hAnsi="Arial" w:cs="Arial"/>
          <w:color w:val="000000"/>
          <w:sz w:val="24"/>
          <w:szCs w:val="24"/>
          <w:lang w:val="es-UY" w:eastAsia="es-UY"/>
        </w:rPr>
      </w:pPr>
      <w:r w:rsidRPr="00AC64C7">
        <w:rPr>
          <w:rFonts w:ascii="Arial" w:eastAsia="Times New Roman" w:hAnsi="Arial" w:cs="Arial"/>
          <w:color w:val="000000"/>
          <w:sz w:val="24"/>
          <w:szCs w:val="24"/>
          <w:lang w:val="es-ES" w:eastAsia="es-UY"/>
        </w:rPr>
        <w:t>La estrella, no se dice que se mueva más que cuando los magos salen de palacio (y lo hace de norte a sur, ¡¡¡!!!). Antes sólo se dice que la “ven”. Muchos se han preguntado por un fenómeno meteorológico, pero – insisto – es pretender del texto bíblico lo que no quiere dar. Se trata, sencillamente, de la “estrella de David”, es decir, “el rey” (¡una vez más!). En el libro de los Números, el profeta Balaam había dicho: “</w:t>
      </w:r>
      <w:r w:rsidRPr="00AC64C7">
        <w:rPr>
          <w:rFonts w:ascii="Arial" w:eastAsia="Times New Roman" w:hAnsi="Arial" w:cs="Arial"/>
          <w:color w:val="000000"/>
          <w:sz w:val="24"/>
          <w:szCs w:val="24"/>
          <w:lang w:val="es-UY" w:eastAsia="es-UY"/>
        </w:rPr>
        <w:t>Lo veo, aunque no para ahora, lo diviso, pero no de cerca: de Jacob avanza una estrella, un cetro surge de Israel”. (</w:t>
      </w:r>
      <w:proofErr w:type="spellStart"/>
      <w:r w:rsidRPr="00AC64C7">
        <w:rPr>
          <w:rFonts w:ascii="Arial" w:eastAsia="Times New Roman" w:hAnsi="Arial" w:cs="Arial"/>
          <w:color w:val="000000"/>
          <w:sz w:val="24"/>
          <w:szCs w:val="24"/>
          <w:lang w:val="es-UY" w:eastAsia="es-UY"/>
        </w:rPr>
        <w:t>Núm</w:t>
      </w:r>
      <w:proofErr w:type="spellEnd"/>
      <w:r w:rsidRPr="00AC64C7">
        <w:rPr>
          <w:rFonts w:ascii="Arial" w:eastAsia="Times New Roman" w:hAnsi="Arial" w:cs="Arial"/>
          <w:color w:val="000000"/>
          <w:sz w:val="24"/>
          <w:szCs w:val="24"/>
          <w:lang w:val="es-UY" w:eastAsia="es-UY"/>
        </w:rPr>
        <w:t xml:space="preserve"> 24,17) refiriéndose ciertamente a David. Cualquier lector cristiano proveniente del ambiente judío (como eran los destinatarios del Evangelio de Mateo) entendería esto perfectamente.</w:t>
      </w:r>
    </w:p>
    <w:p w14:paraId="5C9F0652"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p>
    <w:p w14:paraId="523BCCCC" w14:textId="5BC25BD1" w:rsidR="00AC64C7" w:rsidRDefault="00AC64C7" w:rsidP="00AC64C7">
      <w:pPr>
        <w:shd w:val="clear" w:color="auto" w:fill="FFFFFF"/>
        <w:spacing w:after="0" w:line="240" w:lineRule="auto"/>
        <w:jc w:val="both"/>
        <w:rPr>
          <w:rFonts w:ascii="Arial" w:eastAsia="Times New Roman" w:hAnsi="Arial" w:cs="Arial"/>
          <w:color w:val="000000"/>
          <w:sz w:val="24"/>
          <w:szCs w:val="24"/>
          <w:lang w:val="es-UY" w:eastAsia="es-UY"/>
        </w:rPr>
      </w:pPr>
      <w:r w:rsidRPr="00AC64C7">
        <w:rPr>
          <w:rFonts w:ascii="Arial" w:eastAsia="Times New Roman" w:hAnsi="Arial" w:cs="Arial"/>
          <w:color w:val="000000"/>
          <w:sz w:val="24"/>
          <w:szCs w:val="24"/>
          <w:lang w:val="es-UY" w:eastAsia="es-UY"/>
        </w:rPr>
        <w:t>La matanza de los niños. Cualquier lector, insisto, recordaría a Moisés, único niño salvado de la matanza del Faraón de todos los varones (Éxodo 1,16), y que él sería, el que salvaría a su pueblo. El paralelo sangriento entre Faraón y Herodes permite a cualquier judío entender que Jesús es el nuevo profeta, semejante a Moisés, que ellos esperaban (Deuteronomio 18,18).</w:t>
      </w:r>
    </w:p>
    <w:p w14:paraId="4A494D92"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p>
    <w:p w14:paraId="5B2C99B4"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r w:rsidRPr="00AC64C7">
        <w:rPr>
          <w:rFonts w:ascii="Arial" w:eastAsia="Times New Roman" w:hAnsi="Arial" w:cs="Arial"/>
          <w:color w:val="000000"/>
          <w:sz w:val="24"/>
          <w:szCs w:val="24"/>
          <w:lang w:val="es-UY" w:eastAsia="es-UY"/>
        </w:rPr>
        <w:t>Resumiendo: Mateo quiere comunicar una Buena Noticia a sus destinatarios, y para eso recurre – como estos fácilmente entenderían – a textos de la Biblia hebrea que ahora alcanzan su cumplimiento. Ciertamente esto es, para ellos, una Buena Noticia. Este modo de escribir, además, era sumamente frecuente en su tiempo, es el llamado “</w:t>
      </w:r>
      <w:proofErr w:type="spellStart"/>
      <w:r w:rsidRPr="00AC64C7">
        <w:rPr>
          <w:rFonts w:ascii="Arial" w:eastAsia="Times New Roman" w:hAnsi="Arial" w:cs="Arial"/>
          <w:i/>
          <w:iCs/>
          <w:color w:val="000000"/>
          <w:sz w:val="24"/>
          <w:szCs w:val="24"/>
          <w:lang w:val="es-UY" w:eastAsia="es-UY"/>
        </w:rPr>
        <w:t>pesher</w:t>
      </w:r>
      <w:proofErr w:type="spellEnd"/>
      <w:r w:rsidRPr="00AC64C7">
        <w:rPr>
          <w:rFonts w:ascii="Arial" w:eastAsia="Times New Roman" w:hAnsi="Arial" w:cs="Arial"/>
          <w:color w:val="000000"/>
          <w:sz w:val="24"/>
          <w:szCs w:val="24"/>
          <w:lang w:val="es-UY" w:eastAsia="es-UY"/>
        </w:rPr>
        <w:t>” que, por ejemplo, es muy común en la comunidad de Qumrán. La Buena noticia no son unos reyes llenos de regalos, sino un niño rey que “salvará a su pueblo”, lo cual es bastante diferente.</w:t>
      </w:r>
    </w:p>
    <w:p w14:paraId="5911884C"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r w:rsidRPr="00AC64C7">
        <w:rPr>
          <w:rFonts w:ascii="Times New Roman" w:eastAsia="Times New Roman" w:hAnsi="Times New Roman" w:cs="Times New Roman"/>
          <w:color w:val="000000"/>
          <w:sz w:val="27"/>
          <w:szCs w:val="27"/>
          <w:lang w:val="es-UY" w:eastAsia="es-UY"/>
        </w:rPr>
        <w:t> </w:t>
      </w:r>
    </w:p>
    <w:p w14:paraId="10A6B9C2" w14:textId="77777777" w:rsidR="00AC64C7" w:rsidRPr="00AC64C7" w:rsidRDefault="00AC64C7" w:rsidP="00AC64C7">
      <w:pPr>
        <w:shd w:val="clear" w:color="auto" w:fill="FFFFFF"/>
        <w:spacing w:after="0" w:line="240" w:lineRule="auto"/>
        <w:jc w:val="both"/>
        <w:rPr>
          <w:rFonts w:ascii="Arial" w:eastAsia="Times New Roman" w:hAnsi="Arial" w:cs="Arial"/>
          <w:color w:val="222222"/>
          <w:sz w:val="24"/>
          <w:szCs w:val="24"/>
          <w:lang w:val="es-UY" w:eastAsia="es-UY"/>
        </w:rPr>
      </w:pPr>
      <w:r w:rsidRPr="00AC64C7">
        <w:rPr>
          <w:rFonts w:ascii="Arial" w:eastAsia="Times New Roman" w:hAnsi="Arial" w:cs="Arial"/>
          <w:color w:val="000000"/>
          <w:sz w:val="27"/>
          <w:szCs w:val="27"/>
          <w:lang w:val="es-UY" w:eastAsia="es-UY"/>
        </w:rPr>
        <w:t>Imagen tomada de </w:t>
      </w:r>
      <w:hyperlink r:id="rId5" w:tgtFrame="_blank" w:history="1">
        <w:r w:rsidRPr="00AC64C7">
          <w:rPr>
            <w:rFonts w:ascii="Arial" w:eastAsia="Times New Roman" w:hAnsi="Arial" w:cs="Arial"/>
            <w:color w:val="1155CC"/>
            <w:sz w:val="27"/>
            <w:szCs w:val="27"/>
            <w:u w:val="single"/>
            <w:lang w:val="es-UY" w:eastAsia="es-UY"/>
          </w:rPr>
          <w:t>https://www.agritotal.com/nota/buena-noticia-la-soja-repunto-3-y-volvio-arriba-de-us-360/</w:t>
        </w:r>
      </w:hyperlink>
    </w:p>
    <w:p w14:paraId="6730FB66" w14:textId="77777777" w:rsidR="00AC64C7" w:rsidRPr="00AC64C7" w:rsidRDefault="00AC64C7" w:rsidP="00AC64C7">
      <w:pPr>
        <w:spacing w:after="0" w:line="240" w:lineRule="auto"/>
        <w:rPr>
          <w:rFonts w:ascii="Arial" w:eastAsia="Times New Roman" w:hAnsi="Arial" w:cs="Arial"/>
          <w:color w:val="888888"/>
          <w:sz w:val="24"/>
          <w:szCs w:val="24"/>
          <w:shd w:val="clear" w:color="auto" w:fill="FFFFFF"/>
          <w:lang w:val="es-UY" w:eastAsia="es-UY"/>
        </w:rPr>
      </w:pPr>
      <w:r w:rsidRPr="00AC64C7">
        <w:rPr>
          <w:rFonts w:ascii="Arial" w:eastAsia="Times New Roman" w:hAnsi="Arial" w:cs="Arial"/>
          <w:color w:val="888888"/>
          <w:sz w:val="24"/>
          <w:szCs w:val="24"/>
          <w:shd w:val="clear" w:color="auto" w:fill="FFFFFF"/>
          <w:lang w:val="es-UY" w:eastAsia="es-UY"/>
        </w:rPr>
        <w:t> </w:t>
      </w:r>
    </w:p>
    <w:p w14:paraId="5D29738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4C7"/>
    <w:rsid w:val="002E2F5B"/>
    <w:rsid w:val="00AC64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6836"/>
  <w15:chartTrackingRefBased/>
  <w15:docId w15:val="{9ED94F14-326D-4615-8159-08F6A567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60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gritotal.com/nota/buena-noticia-la-soja-repunto-3-y-volvio-arriba-de-us-360/"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853</Words>
  <Characters>4697</Characters>
  <Application>Microsoft Office Word</Application>
  <DocSecurity>0</DocSecurity>
  <Lines>39</Lines>
  <Paragraphs>11</Paragraphs>
  <ScaleCrop>false</ScaleCrop>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2022-01-07T20:24:00Z</dcterms:created>
  <dcterms:modified xsi:type="dcterms:W3CDTF">2022-01-07T20:27:00Z</dcterms:modified>
</cp:coreProperties>
</file>