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8407F" w14:textId="7512D3A5" w:rsidR="00360675" w:rsidRPr="00360675" w:rsidRDefault="00360675" w:rsidP="00360675">
      <w:pPr>
        <w:shd w:val="clear" w:color="auto" w:fill="FFFFFF" w:themeFill="background1"/>
        <w:spacing w:after="0" w:line="240" w:lineRule="auto"/>
        <w:outlineLvl w:val="1"/>
        <w:rPr>
          <w:rFonts w:ascii="Tahoma" w:eastAsia="Times New Roman" w:hAnsi="Tahoma" w:cs="Tahoma"/>
          <w:b/>
          <w:bCs/>
          <w:color w:val="483D34"/>
          <w:sz w:val="29"/>
          <w:szCs w:val="29"/>
          <w:lang w:val="es-UY" w:eastAsia="es-UY"/>
        </w:rPr>
      </w:pPr>
      <w:r w:rsidRPr="00360675">
        <w:rPr>
          <w:rFonts w:ascii="Tahoma" w:eastAsia="Times New Roman" w:hAnsi="Tahoma" w:cs="Tahoma"/>
          <w:b/>
          <w:bCs/>
          <w:color w:val="483D34"/>
          <w:sz w:val="29"/>
          <w:szCs w:val="29"/>
          <w:lang w:val="es-UY" w:eastAsia="es-UY"/>
        </w:rPr>
        <w:t>JESÚS EL ÚNICO PASTOR QUE NOS DEBE GUIAR A TODOS</w:t>
      </w:r>
    </w:p>
    <w:p w14:paraId="6E4E4BC9" w14:textId="77777777" w:rsidR="00360675" w:rsidRPr="00360675" w:rsidRDefault="00360675" w:rsidP="00360675">
      <w:pPr>
        <w:shd w:val="clear" w:color="auto" w:fill="FFFFFF" w:themeFill="background1"/>
        <w:spacing w:after="0" w:line="240" w:lineRule="auto"/>
        <w:outlineLvl w:val="1"/>
        <w:rPr>
          <w:rFonts w:ascii="Tahoma" w:eastAsia="Times New Roman" w:hAnsi="Tahoma" w:cs="Tahoma"/>
          <w:b/>
          <w:bCs/>
          <w:color w:val="483D34"/>
          <w:sz w:val="29"/>
          <w:szCs w:val="29"/>
          <w:lang w:val="es-UY" w:eastAsia="es-UY"/>
        </w:rPr>
      </w:pPr>
    </w:p>
    <w:p w14:paraId="237F4798" w14:textId="77777777" w:rsidR="00360675" w:rsidRPr="00360675" w:rsidRDefault="00360675" w:rsidP="00360675">
      <w:pPr>
        <w:shd w:val="clear" w:color="auto" w:fill="FFFFFF" w:themeFill="background1"/>
        <w:spacing w:after="0" w:line="240" w:lineRule="auto"/>
        <w:jc w:val="both"/>
        <w:rPr>
          <w:rFonts w:ascii="Tahoma" w:eastAsia="Times New Roman" w:hAnsi="Tahoma" w:cs="Tahoma"/>
          <w:color w:val="483D34"/>
          <w:sz w:val="23"/>
          <w:szCs w:val="23"/>
          <w:lang w:val="es-UY" w:eastAsia="es-UY"/>
        </w:rPr>
      </w:pPr>
      <w:proofErr w:type="spellStart"/>
      <w:r w:rsidRPr="00360675">
        <w:rPr>
          <w:rFonts w:ascii="Tahoma" w:eastAsia="Times New Roman" w:hAnsi="Tahoma" w:cs="Tahoma"/>
          <w:color w:val="483D34"/>
          <w:sz w:val="23"/>
          <w:szCs w:val="23"/>
          <w:lang w:val="es-UY" w:eastAsia="es-UY"/>
        </w:rPr>
        <w:t>Written</w:t>
      </w:r>
      <w:proofErr w:type="spellEnd"/>
      <w:r w:rsidRPr="00360675">
        <w:rPr>
          <w:rFonts w:ascii="Tahoma" w:eastAsia="Times New Roman" w:hAnsi="Tahoma" w:cs="Tahoma"/>
          <w:color w:val="483D34"/>
          <w:sz w:val="23"/>
          <w:szCs w:val="23"/>
          <w:lang w:val="es-UY" w:eastAsia="es-UY"/>
        </w:rPr>
        <w:t xml:space="preserve"> </w:t>
      </w:r>
      <w:proofErr w:type="spellStart"/>
      <w:r w:rsidRPr="00360675">
        <w:rPr>
          <w:rFonts w:ascii="Tahoma" w:eastAsia="Times New Roman" w:hAnsi="Tahoma" w:cs="Tahoma"/>
          <w:color w:val="483D34"/>
          <w:sz w:val="23"/>
          <w:szCs w:val="23"/>
          <w:lang w:val="es-UY" w:eastAsia="es-UY"/>
        </w:rPr>
        <w:t>by</w:t>
      </w:r>
      <w:proofErr w:type="spellEnd"/>
      <w:r w:rsidRPr="00360675">
        <w:rPr>
          <w:rFonts w:ascii="Tahoma" w:eastAsia="Times New Roman" w:hAnsi="Tahoma" w:cs="Tahoma"/>
          <w:color w:val="483D34"/>
          <w:sz w:val="23"/>
          <w:szCs w:val="23"/>
          <w:lang w:val="es-UY" w:eastAsia="es-UY"/>
        </w:rPr>
        <w:t> </w:t>
      </w:r>
      <w:hyperlink r:id="rId5" w:history="1">
        <w:r w:rsidRPr="00360675">
          <w:rPr>
            <w:rFonts w:ascii="Tahoma" w:eastAsia="Times New Roman" w:hAnsi="Tahoma" w:cs="Tahoma"/>
            <w:b/>
            <w:bCs/>
            <w:color w:val="483D34"/>
            <w:sz w:val="23"/>
            <w:szCs w:val="23"/>
            <w:u w:val="single"/>
            <w:lang w:val="es-UY" w:eastAsia="es-UY"/>
          </w:rPr>
          <w:t>Fray Marcos</w:t>
        </w:r>
      </w:hyperlink>
    </w:p>
    <w:p w14:paraId="60EB5C61"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proofErr w:type="spellStart"/>
      <w:r w:rsidRPr="00360675">
        <w:rPr>
          <w:rFonts w:ascii="Tahoma" w:eastAsia="Times New Roman" w:hAnsi="Tahoma" w:cs="Tahoma"/>
          <w:b/>
          <w:bCs/>
          <w:color w:val="483D34"/>
          <w:sz w:val="24"/>
          <w:szCs w:val="24"/>
          <w:lang w:val="es-UY" w:eastAsia="es-UY"/>
        </w:rPr>
        <w:t>Jn</w:t>
      </w:r>
      <w:proofErr w:type="spellEnd"/>
      <w:r w:rsidRPr="00360675">
        <w:rPr>
          <w:rFonts w:ascii="Tahoma" w:eastAsia="Times New Roman" w:hAnsi="Tahoma" w:cs="Tahoma"/>
          <w:b/>
          <w:bCs/>
          <w:color w:val="483D34"/>
          <w:sz w:val="24"/>
          <w:szCs w:val="24"/>
          <w:lang w:val="es-UY" w:eastAsia="es-UY"/>
        </w:rPr>
        <w:t xml:space="preserve"> 10,11-18</w:t>
      </w:r>
    </w:p>
    <w:p w14:paraId="4043D260"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color w:val="483D34"/>
          <w:sz w:val="24"/>
          <w:szCs w:val="24"/>
          <w:lang w:val="es-UY" w:eastAsia="es-UY"/>
        </w:rPr>
        <w:t>Este texto está enmarcado en un contexto más amplio de polémica entre Jesús y los fariseos, después de la curación del ciego de nacimiento. Quien no entra por la puerta, es ladrón y bandido. Quien no es dueño de las ovejas, sino asalariado, no está dispuesto a dar la vida por ellas. No se trata de una propuesta anodina sino de una denuncia en toda regla. Todo poder que no se pone al servicio del pueblo es contrario a Dios. Hemos abandonado los relatos pascuales, pero no nos salimos del tema pascual, la Vida.</w:t>
      </w:r>
    </w:p>
    <w:p w14:paraId="04EA7E40"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color w:val="483D34"/>
          <w:sz w:val="24"/>
          <w:szCs w:val="24"/>
          <w:lang w:val="es-UY" w:eastAsia="es-UY"/>
        </w:rPr>
        <w:t>No es verosímil que Jesús se declarara pastor de nadie. Este evangelio se escribió setenta años después de morir Jesús y nos cuenta no lo que dijo sino lo que aquellos cristianos pensaban de Jesús. Ellos sí se sentían dirigidos por Jesús e intentaban seguir sus directrices. En el AT el título se aplicaba a Dios o a los dirigentes. En tiempo de Jesús, el pastor era, casi siempre, el dueño de un pequeño número de ovejas, a las que cuidaba como si fueran miembros de la familia, incluso, cobijándolas bajo el mismo techo, llamándolas por su nombre propio. De ellas dependía el sustento de la familia.</w:t>
      </w:r>
    </w:p>
    <w:p w14:paraId="32FA1AC4"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color w:val="483D34"/>
          <w:sz w:val="24"/>
          <w:szCs w:val="24"/>
          <w:lang w:val="es-UY" w:eastAsia="es-UY"/>
        </w:rPr>
        <w:t xml:space="preserve">El pastor modelo está en contraposición con el mercenario. El pastor, que es dueño de las ovejas, actúa por amor y no le importa arriesgar su propia persona para defenderlas de cualquier peligro. El mercenario actúa por dinero, las ovejas le traen sin cuidado. En (4 </w:t>
      </w:r>
      <w:proofErr w:type="spellStart"/>
      <w:r w:rsidRPr="00360675">
        <w:rPr>
          <w:rFonts w:ascii="Tahoma" w:eastAsia="Times New Roman" w:hAnsi="Tahoma" w:cs="Tahoma"/>
          <w:color w:val="483D34"/>
          <w:sz w:val="24"/>
          <w:szCs w:val="24"/>
          <w:lang w:val="es-UY" w:eastAsia="es-UY"/>
        </w:rPr>
        <w:t>Esd</w:t>
      </w:r>
      <w:proofErr w:type="spellEnd"/>
      <w:r w:rsidRPr="00360675">
        <w:rPr>
          <w:rFonts w:ascii="Tahoma" w:eastAsia="Times New Roman" w:hAnsi="Tahoma" w:cs="Tahoma"/>
          <w:color w:val="483D34"/>
          <w:sz w:val="24"/>
          <w:szCs w:val="24"/>
          <w:lang w:val="es-UY" w:eastAsia="es-UY"/>
        </w:rPr>
        <w:t xml:space="preserve"> 5,18) dice: “No nos abandones como pastor a su rebaño en poder de lobos dañinos”. La figura del lobo está en paralelo con la del ladrón y bandido, que arrebata y dispersa. Precisamente lo contrario de lo que hace Jesús, reunir las ovejas dispersas (</w:t>
      </w:r>
      <w:proofErr w:type="spellStart"/>
      <w:r w:rsidRPr="00360675">
        <w:rPr>
          <w:rFonts w:ascii="Tahoma" w:eastAsia="Times New Roman" w:hAnsi="Tahoma" w:cs="Tahoma"/>
          <w:color w:val="483D34"/>
          <w:sz w:val="24"/>
          <w:szCs w:val="24"/>
          <w:lang w:val="es-UY" w:eastAsia="es-UY"/>
        </w:rPr>
        <w:t>Jn</w:t>
      </w:r>
      <w:proofErr w:type="spellEnd"/>
      <w:r w:rsidRPr="00360675">
        <w:rPr>
          <w:rFonts w:ascii="Tahoma" w:eastAsia="Times New Roman" w:hAnsi="Tahoma" w:cs="Tahoma"/>
          <w:color w:val="483D34"/>
          <w:sz w:val="24"/>
          <w:szCs w:val="24"/>
          <w:lang w:val="es-UY" w:eastAsia="es-UY"/>
        </w:rPr>
        <w:t xml:space="preserve"> 11,52)</w:t>
      </w:r>
    </w:p>
    <w:p w14:paraId="3FE1AFEA"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color w:val="483D34"/>
          <w:sz w:val="24"/>
          <w:szCs w:val="24"/>
          <w:lang w:val="es-UY" w:eastAsia="es-UY"/>
        </w:rPr>
        <w:t xml:space="preserve">La imagen del pastor fue muy utilizada en el AT. Se aplicó a los dirigentes, muchas veces para llamar la atención de que no cumplían con su deber. Se aplicó al mismo Dios que, cansado de los malos pastores, terminaría por apacentar Él mismo a su rebaño. La única idea original de </w:t>
      </w:r>
      <w:proofErr w:type="spellStart"/>
      <w:r w:rsidRPr="00360675">
        <w:rPr>
          <w:rFonts w:ascii="Tahoma" w:eastAsia="Times New Roman" w:hAnsi="Tahoma" w:cs="Tahoma"/>
          <w:color w:val="483D34"/>
          <w:sz w:val="24"/>
          <w:szCs w:val="24"/>
          <w:lang w:val="es-UY" w:eastAsia="es-UY"/>
        </w:rPr>
        <w:t>Jn</w:t>
      </w:r>
      <w:proofErr w:type="spellEnd"/>
      <w:r w:rsidRPr="00360675">
        <w:rPr>
          <w:rFonts w:ascii="Tahoma" w:eastAsia="Times New Roman" w:hAnsi="Tahoma" w:cs="Tahoma"/>
          <w:color w:val="483D34"/>
          <w:sz w:val="24"/>
          <w:szCs w:val="24"/>
          <w:lang w:val="es-UY" w:eastAsia="es-UY"/>
        </w:rPr>
        <w:t xml:space="preserve"> es la de dar la vida por las ovejas. Seguramente es una interpretación de la vida y muerte de Jesús como servicio a los hombres. No se trata de un discurso de Jesús, sino de una manera de trasmitir lo que aquellos cristianos pensaban sobre él.</w:t>
      </w:r>
    </w:p>
    <w:p w14:paraId="50266E43"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b/>
          <w:bCs/>
          <w:color w:val="483D34"/>
          <w:sz w:val="24"/>
          <w:szCs w:val="24"/>
          <w:lang w:val="es-UY" w:eastAsia="es-UY"/>
        </w:rPr>
        <w:t>Yo soy el buen pastor.</w:t>
      </w:r>
      <w:r w:rsidRPr="00360675">
        <w:rPr>
          <w:rFonts w:ascii="Tahoma" w:eastAsia="Times New Roman" w:hAnsi="Tahoma" w:cs="Tahoma"/>
          <w:color w:val="483D34"/>
          <w:sz w:val="24"/>
          <w:szCs w:val="24"/>
          <w:lang w:val="es-UY" w:eastAsia="es-UY"/>
        </w:rPr>
        <w:t> No se trata de resaltar el carácter de bondad o dulzura. La traducción oficial devalúa la expresión. “Bueno” en griego, sería </w:t>
      </w:r>
      <w:proofErr w:type="spellStart"/>
      <w:r w:rsidRPr="00360675">
        <w:rPr>
          <w:rFonts w:ascii="Tahoma" w:eastAsia="Times New Roman" w:hAnsi="Tahoma" w:cs="Tahoma"/>
          <w:i/>
          <w:iCs/>
          <w:color w:val="483D34"/>
          <w:sz w:val="24"/>
          <w:szCs w:val="24"/>
          <w:lang w:val="es-UY" w:eastAsia="es-UY"/>
        </w:rPr>
        <w:t>agathos</w:t>
      </w:r>
      <w:proofErr w:type="spellEnd"/>
      <w:r w:rsidRPr="00360675">
        <w:rPr>
          <w:rFonts w:ascii="Tahoma" w:eastAsia="Times New Roman" w:hAnsi="Tahoma" w:cs="Tahoma"/>
          <w:color w:val="483D34"/>
          <w:sz w:val="24"/>
          <w:szCs w:val="24"/>
          <w:lang w:val="es-UY" w:eastAsia="es-UY"/>
        </w:rPr>
        <w:t>. </w:t>
      </w:r>
      <w:r w:rsidRPr="00360675">
        <w:rPr>
          <w:rFonts w:ascii="Tahoma" w:eastAsia="Times New Roman" w:hAnsi="Tahoma" w:cs="Tahoma"/>
          <w:i/>
          <w:iCs/>
          <w:color w:val="483D34"/>
          <w:sz w:val="24"/>
          <w:szCs w:val="24"/>
          <w:lang w:val="es-UY" w:eastAsia="es-UY"/>
        </w:rPr>
        <w:t>Kalos</w:t>
      </w:r>
      <w:r w:rsidRPr="00360675">
        <w:rPr>
          <w:rFonts w:ascii="Tahoma" w:eastAsia="Times New Roman" w:hAnsi="Tahoma" w:cs="Tahoma"/>
          <w:color w:val="483D34"/>
          <w:sz w:val="24"/>
          <w:szCs w:val="24"/>
          <w:lang w:val="es-UY" w:eastAsia="es-UY"/>
        </w:rPr>
        <w:t xml:space="preserve"> significa bello, ideal, excelente, único en su género. Denota perfección suma. No se dice solo de las personas (el vino en la boda de Caná, </w:t>
      </w:r>
      <w:proofErr w:type="spellStart"/>
      <w:r w:rsidRPr="00360675">
        <w:rPr>
          <w:rFonts w:ascii="Tahoma" w:eastAsia="Times New Roman" w:hAnsi="Tahoma" w:cs="Tahoma"/>
          <w:color w:val="483D34"/>
          <w:sz w:val="24"/>
          <w:szCs w:val="24"/>
          <w:lang w:val="es-UY" w:eastAsia="es-UY"/>
        </w:rPr>
        <w:t>Jn</w:t>
      </w:r>
      <w:proofErr w:type="spellEnd"/>
      <w:r w:rsidRPr="00360675">
        <w:rPr>
          <w:rFonts w:ascii="Tahoma" w:eastAsia="Times New Roman" w:hAnsi="Tahoma" w:cs="Tahoma"/>
          <w:color w:val="483D34"/>
          <w:sz w:val="24"/>
          <w:szCs w:val="24"/>
          <w:lang w:val="es-UY" w:eastAsia="es-UY"/>
        </w:rPr>
        <w:t xml:space="preserve"> 2,10). Pastores “buenos” puede haber muchos. Pastor ideal solo puede haber uno. El tomar el evangelio que acabamos de oír como excusa para hablar de los obispos y de los sacerdotes no tiene ni pies ni cabeza. La tarea de los dirigentes no tiene nada que ver con lo que nos quiere decir el evangelio.</w:t>
      </w:r>
    </w:p>
    <w:p w14:paraId="6D60DA67"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b/>
          <w:bCs/>
          <w:color w:val="483D34"/>
          <w:sz w:val="24"/>
          <w:szCs w:val="24"/>
          <w:lang w:val="es-UY" w:eastAsia="es-UY"/>
        </w:rPr>
        <w:t>El buen pastor se entrega él mismo por las ovejas.</w:t>
      </w:r>
      <w:r w:rsidRPr="00360675">
        <w:rPr>
          <w:rFonts w:ascii="Tahoma" w:eastAsia="Times New Roman" w:hAnsi="Tahoma" w:cs="Tahoma"/>
          <w:color w:val="483D34"/>
          <w:sz w:val="24"/>
          <w:szCs w:val="24"/>
          <w:lang w:val="es-UY" w:eastAsia="es-UY"/>
        </w:rPr>
        <w:t> La vida (</w:t>
      </w:r>
      <w:proofErr w:type="spellStart"/>
      <w:r w:rsidRPr="00360675">
        <w:rPr>
          <w:rFonts w:ascii="Tahoma" w:eastAsia="Times New Roman" w:hAnsi="Tahoma" w:cs="Tahoma"/>
          <w:i/>
          <w:iCs/>
          <w:color w:val="483D34"/>
          <w:sz w:val="24"/>
          <w:szCs w:val="24"/>
          <w:lang w:val="es-UY" w:eastAsia="es-UY"/>
        </w:rPr>
        <w:t>psukhên</w:t>
      </w:r>
      <w:proofErr w:type="spellEnd"/>
      <w:r w:rsidRPr="00360675">
        <w:rPr>
          <w:rFonts w:ascii="Tahoma" w:eastAsia="Times New Roman" w:hAnsi="Tahoma" w:cs="Tahoma"/>
          <w:color w:val="483D34"/>
          <w:sz w:val="24"/>
          <w:szCs w:val="24"/>
          <w:lang w:val="es-UY" w:eastAsia="es-UY"/>
        </w:rPr>
        <w:t>) se identifica con la persona. En griego existen tres palabras para designar vida: “</w:t>
      </w:r>
      <w:proofErr w:type="spellStart"/>
      <w:r w:rsidRPr="00360675">
        <w:rPr>
          <w:rFonts w:ascii="Tahoma" w:eastAsia="Times New Roman" w:hAnsi="Tahoma" w:cs="Tahoma"/>
          <w:color w:val="483D34"/>
          <w:sz w:val="24"/>
          <w:szCs w:val="24"/>
          <w:lang w:val="es-UY" w:eastAsia="es-UY"/>
        </w:rPr>
        <w:t>bios</w:t>
      </w:r>
      <w:proofErr w:type="spellEnd"/>
      <w:r w:rsidRPr="00360675">
        <w:rPr>
          <w:rFonts w:ascii="Tahoma" w:eastAsia="Times New Roman" w:hAnsi="Tahoma" w:cs="Tahoma"/>
          <w:color w:val="483D34"/>
          <w:sz w:val="24"/>
          <w:szCs w:val="24"/>
          <w:lang w:val="es-UY" w:eastAsia="es-UY"/>
        </w:rPr>
        <w:t>”, “</w:t>
      </w:r>
      <w:proofErr w:type="spellStart"/>
      <w:r w:rsidRPr="00360675">
        <w:rPr>
          <w:rFonts w:ascii="Tahoma" w:eastAsia="Times New Roman" w:hAnsi="Tahoma" w:cs="Tahoma"/>
          <w:color w:val="483D34"/>
          <w:sz w:val="24"/>
          <w:szCs w:val="24"/>
          <w:lang w:val="es-UY" w:eastAsia="es-UY"/>
        </w:rPr>
        <w:t>zoê</w:t>
      </w:r>
      <w:proofErr w:type="spellEnd"/>
      <w:r w:rsidRPr="00360675">
        <w:rPr>
          <w:rFonts w:ascii="Tahoma" w:eastAsia="Times New Roman" w:hAnsi="Tahoma" w:cs="Tahoma"/>
          <w:color w:val="483D34"/>
          <w:sz w:val="24"/>
          <w:szCs w:val="24"/>
          <w:lang w:val="es-UY" w:eastAsia="es-UY"/>
        </w:rPr>
        <w:t>” y “</w:t>
      </w:r>
      <w:proofErr w:type="spellStart"/>
      <w:r w:rsidRPr="00360675">
        <w:rPr>
          <w:rFonts w:ascii="Tahoma" w:eastAsia="Times New Roman" w:hAnsi="Tahoma" w:cs="Tahoma"/>
          <w:color w:val="483D34"/>
          <w:sz w:val="24"/>
          <w:szCs w:val="24"/>
          <w:lang w:val="es-UY" w:eastAsia="es-UY"/>
        </w:rPr>
        <w:t>psukhê</w:t>
      </w:r>
      <w:proofErr w:type="spellEnd"/>
      <w:r w:rsidRPr="00360675">
        <w:rPr>
          <w:rFonts w:ascii="Tahoma" w:eastAsia="Times New Roman" w:hAnsi="Tahoma" w:cs="Tahoma"/>
          <w:color w:val="483D34"/>
          <w:sz w:val="24"/>
          <w:szCs w:val="24"/>
          <w:lang w:val="es-UY" w:eastAsia="es-UY"/>
        </w:rPr>
        <w:t xml:space="preserve">”. No significan lo mismo, y por eso pueden causar </w:t>
      </w:r>
      <w:r w:rsidRPr="00360675">
        <w:rPr>
          <w:rFonts w:ascii="Tahoma" w:eastAsia="Times New Roman" w:hAnsi="Tahoma" w:cs="Tahoma"/>
          <w:color w:val="483D34"/>
          <w:sz w:val="24"/>
          <w:szCs w:val="24"/>
          <w:lang w:val="es-UY" w:eastAsia="es-UY"/>
        </w:rPr>
        <w:lastRenderedPageBreak/>
        <w:t xml:space="preserve">confusión. </w:t>
      </w:r>
      <w:proofErr w:type="spellStart"/>
      <w:r w:rsidRPr="00360675">
        <w:rPr>
          <w:rFonts w:ascii="Tahoma" w:eastAsia="Times New Roman" w:hAnsi="Tahoma" w:cs="Tahoma"/>
          <w:color w:val="483D34"/>
          <w:sz w:val="24"/>
          <w:szCs w:val="24"/>
          <w:lang w:val="es-UY" w:eastAsia="es-UY"/>
        </w:rPr>
        <w:t>Psukhên</w:t>
      </w:r>
      <w:proofErr w:type="spellEnd"/>
      <w:r w:rsidRPr="00360675">
        <w:rPr>
          <w:rFonts w:ascii="Tahoma" w:eastAsia="Times New Roman" w:hAnsi="Tahoma" w:cs="Tahoma"/>
          <w:color w:val="483D34"/>
          <w:sz w:val="24"/>
          <w:szCs w:val="24"/>
          <w:lang w:val="es-UY" w:eastAsia="es-UY"/>
        </w:rPr>
        <w:t xml:space="preserve"> significa persona, es decir, capacidad de sentimientos y afectos. “</w:t>
      </w:r>
      <w:proofErr w:type="spellStart"/>
      <w:r w:rsidRPr="00360675">
        <w:rPr>
          <w:rFonts w:ascii="Tahoma" w:eastAsia="Times New Roman" w:hAnsi="Tahoma" w:cs="Tahoma"/>
          <w:color w:val="483D34"/>
          <w:sz w:val="24"/>
          <w:szCs w:val="24"/>
          <w:lang w:val="es-UY" w:eastAsia="es-UY"/>
        </w:rPr>
        <w:t>Tithesin</w:t>
      </w:r>
      <w:proofErr w:type="spellEnd"/>
      <w:r w:rsidRPr="00360675">
        <w:rPr>
          <w:rFonts w:ascii="Tahoma" w:eastAsia="Times New Roman" w:hAnsi="Tahoma" w:cs="Tahoma"/>
          <w:color w:val="483D34"/>
          <w:sz w:val="24"/>
          <w:szCs w:val="24"/>
          <w:lang w:val="es-UY" w:eastAsia="es-UY"/>
        </w:rPr>
        <w:t>” no significa dar, sino poner, o mejor, exponer, arriesgar. Como pastor excelente, Jesús pone su persona al servicio de los demás durante toda la vida. Jesús se </w:t>
      </w:r>
      <w:r w:rsidRPr="00360675">
        <w:rPr>
          <w:rFonts w:ascii="Tahoma" w:eastAsia="Times New Roman" w:hAnsi="Tahoma" w:cs="Tahoma"/>
          <w:b/>
          <w:bCs/>
          <w:color w:val="483D34"/>
          <w:sz w:val="24"/>
          <w:szCs w:val="24"/>
          <w:lang w:val="es-UY" w:eastAsia="es-UY"/>
        </w:rPr>
        <w:t>desvive</w:t>
      </w:r>
      <w:r w:rsidRPr="00360675">
        <w:rPr>
          <w:rFonts w:ascii="Tahoma" w:eastAsia="Times New Roman" w:hAnsi="Tahoma" w:cs="Tahoma"/>
          <w:color w:val="483D34"/>
          <w:sz w:val="24"/>
          <w:szCs w:val="24"/>
          <w:lang w:val="es-UY" w:eastAsia="es-UY"/>
        </w:rPr>
        <w:t> por los demás.</w:t>
      </w:r>
    </w:p>
    <w:p w14:paraId="37A787FF"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color w:val="483D34"/>
          <w:sz w:val="24"/>
          <w:szCs w:val="24"/>
          <w:lang w:val="es-UY" w:eastAsia="es-UY"/>
        </w:rPr>
        <w:t xml:space="preserve">Desvivirse: Mostrar incesante y vivo interés, solicitud o amor por una persona (DRAE). Es exactamente lo que quiere decir aquí Juan de Jesús. La entrega de la vida física es la manifestación extrema de su continua entrega durante toda su vida. Quien no ama hasta dar la vida no es auténtico pastor. El máximo </w:t>
      </w:r>
      <w:proofErr w:type="spellStart"/>
      <w:r w:rsidRPr="00360675">
        <w:rPr>
          <w:rFonts w:ascii="Tahoma" w:eastAsia="Times New Roman" w:hAnsi="Tahoma" w:cs="Tahoma"/>
          <w:color w:val="483D34"/>
          <w:sz w:val="24"/>
          <w:szCs w:val="24"/>
          <w:lang w:val="es-UY" w:eastAsia="es-UY"/>
        </w:rPr>
        <w:t>don de</w:t>
      </w:r>
      <w:proofErr w:type="spellEnd"/>
      <w:r w:rsidRPr="00360675">
        <w:rPr>
          <w:rFonts w:ascii="Tahoma" w:eastAsia="Times New Roman" w:hAnsi="Tahoma" w:cs="Tahoma"/>
          <w:color w:val="483D34"/>
          <w:sz w:val="24"/>
          <w:szCs w:val="24"/>
          <w:lang w:val="es-UY" w:eastAsia="es-UY"/>
        </w:rPr>
        <w:t xml:space="preserve"> sí es la comunica</w:t>
      </w:r>
      <w:r w:rsidRPr="00360675">
        <w:rPr>
          <w:rFonts w:ascii="Tahoma" w:eastAsia="Times New Roman" w:hAnsi="Tahoma" w:cs="Tahoma"/>
          <w:color w:val="483D34"/>
          <w:sz w:val="24"/>
          <w:szCs w:val="24"/>
          <w:lang w:val="es-UY" w:eastAsia="es-UY"/>
        </w:rPr>
        <w:softHyphen/>
        <w:t>ción plena de lo que él es. No se trata de que, por su muerte, se nos conceda algo venido de fuera. Se trata de que su Vida, puesta al servicio de todos, prende y se desarrolla en nosotros.</w:t>
      </w:r>
    </w:p>
    <w:p w14:paraId="31190EBD"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b/>
          <w:bCs/>
          <w:color w:val="483D34"/>
          <w:sz w:val="24"/>
          <w:szCs w:val="24"/>
          <w:lang w:val="es-UY" w:eastAsia="es-UY"/>
        </w:rPr>
        <w:t>Conozco a las mías y las mías me conocen.</w:t>
      </w:r>
      <w:r w:rsidRPr="00360675">
        <w:rPr>
          <w:rFonts w:ascii="Tahoma" w:eastAsia="Times New Roman" w:hAnsi="Tahoma" w:cs="Tahoma"/>
          <w:color w:val="483D34"/>
          <w:sz w:val="24"/>
          <w:szCs w:val="24"/>
          <w:lang w:val="es-UY" w:eastAsia="es-UY"/>
        </w:rPr>
        <w:t> No se trata de un conocimiento a través de los sentidos o de la razón. En el AT el conocimiento y el amor van siempre juntos. Ese conocimiento mutuo es una relación íntima, por la participa</w:t>
      </w:r>
      <w:r w:rsidRPr="00360675">
        <w:rPr>
          <w:rFonts w:ascii="Tahoma" w:eastAsia="Times New Roman" w:hAnsi="Tahoma" w:cs="Tahoma"/>
          <w:color w:val="483D34"/>
          <w:sz w:val="24"/>
          <w:szCs w:val="24"/>
          <w:lang w:val="es-UY" w:eastAsia="es-UY"/>
        </w:rPr>
        <w:softHyphen/>
        <w:t>ción del Espíritu. Esta reciprocidad nos lanza a años luz de la simple imagen de oveja y pastor. Este mutuo conocimiento-a</w:t>
      </w:r>
      <w:r w:rsidRPr="00360675">
        <w:rPr>
          <w:rFonts w:ascii="Tahoma" w:eastAsia="Times New Roman" w:hAnsi="Tahoma" w:cs="Tahoma"/>
          <w:color w:val="483D34"/>
          <w:sz w:val="24"/>
          <w:szCs w:val="24"/>
          <w:lang w:val="es-UY" w:eastAsia="es-UY"/>
        </w:rPr>
        <w:softHyphen/>
        <w:t>mor lo compara con el que existe entre Jesús y el Padre. La comunidad de Jesús no es una filiación externa, sino una experiencia-vivencia de amor.</w:t>
      </w:r>
    </w:p>
    <w:p w14:paraId="29573EFB"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b/>
          <w:bCs/>
          <w:color w:val="483D34"/>
          <w:sz w:val="24"/>
          <w:szCs w:val="24"/>
          <w:lang w:val="es-UY" w:eastAsia="es-UY"/>
        </w:rPr>
        <w:t>Tengo otras ovejas que no son de este atrio. </w:t>
      </w:r>
      <w:r w:rsidRPr="00360675">
        <w:rPr>
          <w:rFonts w:ascii="Tahoma" w:eastAsia="Times New Roman" w:hAnsi="Tahoma" w:cs="Tahoma"/>
          <w:color w:val="483D34"/>
          <w:sz w:val="24"/>
          <w:szCs w:val="24"/>
          <w:lang w:val="es-UY" w:eastAsia="es-UY"/>
        </w:rPr>
        <w:t>Sitúa Juan su evangelio en el amplio contexto de la creación. De ahí deduce la visión universalista de la misión de Jesús. Los supuestos privilegios del pueblo de Israel desaparecen. Ya en el prólogo habla de la “luz que ilumina a todo hombre”. Nada que ver con creernos elegidos o pensar en un Dios propiedad exclusiva nuestra. Todas las religiones han caído en esa trampa; la nuestra ha sido la más exagerada en esa reivindicación de una exclusividad de Dios.</w:t>
      </w:r>
    </w:p>
    <w:p w14:paraId="1317E041"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b/>
          <w:bCs/>
          <w:color w:val="483D34"/>
          <w:sz w:val="24"/>
          <w:szCs w:val="24"/>
          <w:lang w:val="es-UY" w:eastAsia="es-UY"/>
        </w:rPr>
        <w:t>Un solo rebaño, un solo pastor.</w:t>
      </w:r>
      <w:r w:rsidRPr="00360675">
        <w:rPr>
          <w:rFonts w:ascii="Tahoma" w:eastAsia="Times New Roman" w:hAnsi="Tahoma" w:cs="Tahoma"/>
          <w:color w:val="483D34"/>
          <w:sz w:val="24"/>
          <w:szCs w:val="24"/>
          <w:lang w:val="es-UY" w:eastAsia="es-UY"/>
        </w:rPr>
        <w:t> La ausencia de conjunción "y" o preposición "con" entre los dos términos, indica que la relación entre Jesús y el rebaño no es de yuxtaposición ni de compañía. Jesús, como fuente de Vida, es el aglutinante que constituye la comunidad como tal. No puede ser encerrada en institución alguna. Su base es la naturaleza del hombre acabado por el Espíritu que da cohesión interior. Jesús no ha creado un corral donde meter sus ovejas; todos los hombres forman parte de su rebaño.</w:t>
      </w:r>
    </w:p>
    <w:p w14:paraId="1602D284"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color w:val="483D34"/>
          <w:sz w:val="24"/>
          <w:szCs w:val="24"/>
          <w:lang w:val="es-UY" w:eastAsia="es-UY"/>
        </w:rPr>
        <w:t>El dar Vida empalma con el tiempo de Pascua, porque la experiencia pascual es que Jesús les comunica Vida. Nosotros tenemos la posibilidad de hacer nuestra esa Vida. Se trata de la misma </w:t>
      </w:r>
      <w:r w:rsidRPr="00360675">
        <w:rPr>
          <w:rFonts w:ascii="Tahoma" w:eastAsia="Times New Roman" w:hAnsi="Tahoma" w:cs="Tahoma"/>
          <w:b/>
          <w:bCs/>
          <w:color w:val="483D34"/>
          <w:sz w:val="24"/>
          <w:szCs w:val="24"/>
          <w:lang w:val="es-UY" w:eastAsia="es-UY"/>
        </w:rPr>
        <w:t>Vida</w:t>
      </w:r>
      <w:r w:rsidRPr="00360675">
        <w:rPr>
          <w:rFonts w:ascii="Tahoma" w:eastAsia="Times New Roman" w:hAnsi="Tahoma" w:cs="Tahoma"/>
          <w:color w:val="483D34"/>
          <w:sz w:val="24"/>
          <w:szCs w:val="24"/>
          <w:lang w:val="es-UY" w:eastAsia="es-UY"/>
        </w:rPr>
        <w:t> de Dios. "El Padre que vive me ha enviado y yo vivo por el Padre; del mismo modo el que me come vivirá por mí". El que me come, quiere decir el que me hace suyo, el que se identifica con mi manera de ser, de pensar, de actuar, de vivir. Si Jesús es pan de Vida, no es porque lo comemos sino porque nos dejarnos comer.</w:t>
      </w:r>
    </w:p>
    <w:p w14:paraId="0552CE93"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color w:val="483D34"/>
          <w:sz w:val="24"/>
          <w:szCs w:val="24"/>
          <w:lang w:val="es-UY" w:eastAsia="es-UY"/>
        </w:rPr>
        <w:t>En la medida que cada uno de nosotros hayamos hecho nuestra esa Vida, estaremos dispuestos a desvivirnos por los demás. El salir de sí mismo e ir a los demás para potenciar sus Vidas no depende de las circunstancias; es un movimiento que tiene su origen en esa misma Vida. El amor que nos pidió Jesús está reñido con cualquier clase de acepción de personas. No estamos acostumbrados a tener este detalle en cuenta, y así creemos que es amor lo que no es más que recíproco interés o simpatía visceral.</w:t>
      </w:r>
    </w:p>
    <w:p w14:paraId="54CB8EDB"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color w:val="483D34"/>
          <w:sz w:val="24"/>
          <w:szCs w:val="24"/>
          <w:lang w:val="es-UY" w:eastAsia="es-UY"/>
        </w:rPr>
        <w:t> </w:t>
      </w:r>
    </w:p>
    <w:p w14:paraId="20343CE7" w14:textId="77777777" w:rsidR="00360675" w:rsidRPr="00360675" w:rsidRDefault="00360675" w:rsidP="00360675">
      <w:pPr>
        <w:shd w:val="clear" w:color="auto" w:fill="FFFFFF" w:themeFill="background1"/>
        <w:spacing w:after="180" w:line="240" w:lineRule="auto"/>
        <w:jc w:val="center"/>
        <w:rPr>
          <w:rFonts w:ascii="Tahoma" w:eastAsia="Times New Roman" w:hAnsi="Tahoma" w:cs="Tahoma"/>
          <w:color w:val="483D34"/>
          <w:sz w:val="24"/>
          <w:szCs w:val="24"/>
          <w:lang w:val="es-UY" w:eastAsia="es-UY"/>
        </w:rPr>
      </w:pPr>
      <w:r w:rsidRPr="00360675">
        <w:rPr>
          <w:rFonts w:ascii="Tahoma" w:eastAsia="Times New Roman" w:hAnsi="Tahoma" w:cs="Tahoma"/>
          <w:b/>
          <w:bCs/>
          <w:color w:val="483D34"/>
          <w:sz w:val="24"/>
          <w:szCs w:val="24"/>
          <w:lang w:val="es-UY" w:eastAsia="es-UY"/>
        </w:rPr>
        <w:t>Meditación-contemplación</w:t>
      </w:r>
    </w:p>
    <w:p w14:paraId="0F113F7D" w14:textId="77777777" w:rsidR="00360675" w:rsidRPr="00360675" w:rsidRDefault="00360675" w:rsidP="00360675">
      <w:pPr>
        <w:shd w:val="clear" w:color="auto" w:fill="FFFFFF" w:themeFill="background1"/>
        <w:spacing w:after="180" w:line="240" w:lineRule="auto"/>
        <w:jc w:val="center"/>
        <w:rPr>
          <w:rFonts w:ascii="Tahoma" w:eastAsia="Times New Roman" w:hAnsi="Tahoma" w:cs="Tahoma"/>
          <w:color w:val="483D34"/>
          <w:sz w:val="24"/>
          <w:szCs w:val="24"/>
          <w:lang w:val="es-UY" w:eastAsia="es-UY"/>
        </w:rPr>
      </w:pPr>
      <w:r w:rsidRPr="00360675">
        <w:rPr>
          <w:rFonts w:ascii="Tahoma" w:eastAsia="Times New Roman" w:hAnsi="Tahoma" w:cs="Tahoma"/>
          <w:color w:val="483D34"/>
          <w:sz w:val="24"/>
          <w:szCs w:val="24"/>
          <w:lang w:val="es-UY" w:eastAsia="es-UY"/>
        </w:rPr>
        <w:t>“Yo doy mi vida por las ovejas”.</w:t>
      </w:r>
      <w:r w:rsidRPr="00360675">
        <w:rPr>
          <w:rFonts w:ascii="Tahoma" w:eastAsia="Times New Roman" w:hAnsi="Tahoma" w:cs="Tahoma"/>
          <w:color w:val="483D34"/>
          <w:sz w:val="24"/>
          <w:szCs w:val="24"/>
          <w:lang w:val="es-UY" w:eastAsia="es-UY"/>
        </w:rPr>
        <w:br/>
        <w:t>No se trata de dar la vida muriendo,</w:t>
      </w:r>
      <w:r w:rsidRPr="00360675">
        <w:rPr>
          <w:rFonts w:ascii="Tahoma" w:eastAsia="Times New Roman" w:hAnsi="Tahoma" w:cs="Tahoma"/>
          <w:color w:val="483D34"/>
          <w:sz w:val="24"/>
          <w:szCs w:val="24"/>
          <w:lang w:val="es-UY" w:eastAsia="es-UY"/>
        </w:rPr>
        <w:br/>
        <w:t>sino de poner toda tu vida al servicio de los demás.</w:t>
      </w:r>
      <w:r w:rsidRPr="00360675">
        <w:rPr>
          <w:rFonts w:ascii="Tahoma" w:eastAsia="Times New Roman" w:hAnsi="Tahoma" w:cs="Tahoma"/>
          <w:color w:val="483D34"/>
          <w:sz w:val="24"/>
          <w:szCs w:val="24"/>
          <w:lang w:val="es-UY" w:eastAsia="es-UY"/>
        </w:rPr>
        <w:br/>
        <w:t>Solo lo que se da, se gana.</w:t>
      </w:r>
      <w:r w:rsidRPr="00360675">
        <w:rPr>
          <w:rFonts w:ascii="Tahoma" w:eastAsia="Times New Roman" w:hAnsi="Tahoma" w:cs="Tahoma"/>
          <w:color w:val="483D34"/>
          <w:sz w:val="24"/>
          <w:szCs w:val="24"/>
          <w:lang w:val="es-UY" w:eastAsia="es-UY"/>
        </w:rPr>
        <w:br/>
        <w:t>Todo lo que se guarda, se pierde.</w:t>
      </w:r>
    </w:p>
    <w:p w14:paraId="23BD6286" w14:textId="77777777" w:rsidR="00360675" w:rsidRPr="00360675" w:rsidRDefault="00360675" w:rsidP="00360675">
      <w:pPr>
        <w:shd w:val="clear" w:color="auto" w:fill="FFFFFF" w:themeFill="background1"/>
        <w:spacing w:after="180" w:line="240" w:lineRule="auto"/>
        <w:jc w:val="both"/>
        <w:rPr>
          <w:rFonts w:ascii="Tahoma" w:eastAsia="Times New Roman" w:hAnsi="Tahoma" w:cs="Tahoma"/>
          <w:color w:val="483D34"/>
          <w:sz w:val="24"/>
          <w:szCs w:val="24"/>
          <w:lang w:val="es-UY" w:eastAsia="es-UY"/>
        </w:rPr>
      </w:pPr>
      <w:r w:rsidRPr="00360675">
        <w:rPr>
          <w:rFonts w:ascii="Tahoma" w:eastAsia="Times New Roman" w:hAnsi="Tahoma" w:cs="Tahoma"/>
          <w:color w:val="483D34"/>
          <w:sz w:val="24"/>
          <w:szCs w:val="24"/>
          <w:lang w:val="es-UY" w:eastAsia="es-UY"/>
        </w:rPr>
        <w:t> </w:t>
      </w:r>
    </w:p>
    <w:p w14:paraId="3379666D" w14:textId="77777777" w:rsidR="00360675" w:rsidRPr="00360675" w:rsidRDefault="00360675" w:rsidP="00360675">
      <w:pPr>
        <w:shd w:val="clear" w:color="auto" w:fill="FFFFFF" w:themeFill="background1"/>
        <w:spacing w:after="180" w:line="240" w:lineRule="auto"/>
        <w:jc w:val="right"/>
        <w:rPr>
          <w:rFonts w:ascii="Tahoma" w:eastAsia="Times New Roman" w:hAnsi="Tahoma" w:cs="Tahoma"/>
          <w:color w:val="483D34"/>
          <w:sz w:val="24"/>
          <w:szCs w:val="24"/>
          <w:lang w:val="es-UY" w:eastAsia="es-UY"/>
        </w:rPr>
      </w:pPr>
      <w:r w:rsidRPr="00360675">
        <w:rPr>
          <w:rFonts w:ascii="Tahoma" w:eastAsia="Times New Roman" w:hAnsi="Tahoma" w:cs="Tahoma"/>
          <w:b/>
          <w:bCs/>
          <w:color w:val="483D34"/>
          <w:sz w:val="24"/>
          <w:szCs w:val="24"/>
          <w:lang w:val="es-UY" w:eastAsia="es-UY"/>
        </w:rPr>
        <w:t>Fray Marcos</w:t>
      </w:r>
    </w:p>
    <w:p w14:paraId="6BD00435" w14:textId="4483EBD3" w:rsidR="002E2F5B" w:rsidRDefault="00360675" w:rsidP="00360675">
      <w:pPr>
        <w:shd w:val="clear" w:color="auto" w:fill="FFFFFF" w:themeFill="background1"/>
      </w:pPr>
      <w:hyperlink r:id="rId6" w:history="1">
        <w:r w:rsidRPr="005F7ADD">
          <w:rPr>
            <w:rStyle w:val="Hipervnculo"/>
          </w:rPr>
          <w:t>https://www.feadulta.com/es/buscadoravanzado/item/12763-jesus-el-unico-pastor-que-nos-debe-guiar-a-todos.html</w:t>
        </w:r>
      </w:hyperlink>
    </w:p>
    <w:p w14:paraId="3C6F6AC2" w14:textId="77777777" w:rsidR="00360675" w:rsidRDefault="00360675" w:rsidP="00360675">
      <w:pPr>
        <w:shd w:val="clear" w:color="auto" w:fill="FFFFFF" w:themeFill="background1"/>
      </w:pPr>
    </w:p>
    <w:sectPr w:rsidR="003606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B236E"/>
    <w:multiLevelType w:val="multilevel"/>
    <w:tmpl w:val="D7D6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4D67AE"/>
    <w:multiLevelType w:val="multilevel"/>
    <w:tmpl w:val="A34AC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675"/>
    <w:rsid w:val="002E2F5B"/>
    <w:rsid w:val="0036067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02D65"/>
  <w15:chartTrackingRefBased/>
  <w15:docId w15:val="{8B540436-70A4-49DF-A237-582923B20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60675"/>
    <w:rPr>
      <w:color w:val="0563C1" w:themeColor="hyperlink"/>
      <w:u w:val="single"/>
    </w:rPr>
  </w:style>
  <w:style w:type="character" w:styleId="Mencinsinresolver">
    <w:name w:val="Unresolved Mention"/>
    <w:basedOn w:val="Fuentedeprrafopredeter"/>
    <w:uiPriority w:val="99"/>
    <w:semiHidden/>
    <w:unhideWhenUsed/>
    <w:rsid w:val="003606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988192">
      <w:bodyDiv w:val="1"/>
      <w:marLeft w:val="0"/>
      <w:marRight w:val="0"/>
      <w:marTop w:val="0"/>
      <w:marBottom w:val="0"/>
      <w:divBdr>
        <w:top w:val="none" w:sz="0" w:space="0" w:color="auto"/>
        <w:left w:val="none" w:sz="0" w:space="0" w:color="auto"/>
        <w:bottom w:val="none" w:sz="0" w:space="0" w:color="auto"/>
        <w:right w:val="none" w:sz="0" w:space="0" w:color="auto"/>
      </w:divBdr>
      <w:divsChild>
        <w:div w:id="1821460529">
          <w:marLeft w:val="0"/>
          <w:marRight w:val="0"/>
          <w:marTop w:val="240"/>
          <w:marBottom w:val="0"/>
          <w:divBdr>
            <w:top w:val="none" w:sz="0" w:space="0" w:color="auto"/>
            <w:left w:val="none" w:sz="0" w:space="0" w:color="auto"/>
            <w:bottom w:val="none" w:sz="0" w:space="0" w:color="auto"/>
            <w:right w:val="none" w:sz="0" w:space="0" w:color="auto"/>
          </w:divBdr>
        </w:div>
        <w:div w:id="176576319">
          <w:marLeft w:val="0"/>
          <w:marRight w:val="0"/>
          <w:marTop w:val="0"/>
          <w:marBottom w:val="0"/>
          <w:divBdr>
            <w:top w:val="none" w:sz="0" w:space="0" w:color="auto"/>
            <w:left w:val="none" w:sz="0" w:space="0" w:color="auto"/>
            <w:bottom w:val="none" w:sz="0" w:space="0" w:color="auto"/>
            <w:right w:val="none" w:sz="0" w:space="0" w:color="auto"/>
          </w:divBdr>
          <w:divsChild>
            <w:div w:id="1026710818">
              <w:marLeft w:val="0"/>
              <w:marRight w:val="0"/>
              <w:marTop w:val="0"/>
              <w:marBottom w:val="0"/>
              <w:divBdr>
                <w:top w:val="none" w:sz="0" w:space="0" w:color="auto"/>
                <w:left w:val="none" w:sz="0" w:space="0" w:color="auto"/>
                <w:bottom w:val="none" w:sz="0" w:space="0" w:color="auto"/>
                <w:right w:val="none" w:sz="0" w:space="0" w:color="auto"/>
              </w:divBdr>
            </w:div>
          </w:divsChild>
        </w:div>
        <w:div w:id="985671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adulta.com/es/buscadoravanzado/item/12763-jesus-el-unico-pastor-que-nos-debe-guiar-a-todos.html" TargetMode="External"/><Relationship Id="rId5" Type="http://schemas.openxmlformats.org/officeDocument/2006/relationships/hyperlink" Target="https://www.feadulta.com/es/buscadoravanzado/itemlist/user/43-fraymarcos.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1073</Words>
  <Characters>5903</Characters>
  <Application>Microsoft Office Word</Application>
  <DocSecurity>0</DocSecurity>
  <Lines>49</Lines>
  <Paragraphs>13</Paragraphs>
  <ScaleCrop>false</ScaleCrop>
  <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2021-04-26T21:14:00Z</dcterms:created>
  <dcterms:modified xsi:type="dcterms:W3CDTF">2021-04-26T21:15:00Z</dcterms:modified>
</cp:coreProperties>
</file>