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2FD9" w:rsidRPr="005A2FD9" w:rsidRDefault="005A2FD9" w:rsidP="005A2FD9">
      <w:pPr>
        <w:shd w:val="clear" w:color="auto" w:fill="FFD966" w:themeFill="accent4" w:themeFillTint="99"/>
        <w:spacing w:after="0" w:line="240" w:lineRule="auto"/>
        <w:jc w:val="center"/>
        <w:textAlignment w:val="baseline"/>
        <w:outlineLvl w:val="0"/>
        <w:rPr>
          <w:rFonts w:ascii="Arial" w:eastAsia="Times New Roman" w:hAnsi="Arial" w:cs="Arial"/>
          <w:b/>
          <w:bCs/>
          <w:color w:val="4472C4" w:themeColor="accent1"/>
          <w:kern w:val="36"/>
          <w:sz w:val="40"/>
          <w:szCs w:val="40"/>
          <w:lang w:val="es-UY" w:eastAsia="es-UY"/>
        </w:rPr>
      </w:pPr>
      <w:r w:rsidRPr="005A2FD9">
        <w:rPr>
          <w:rFonts w:ascii="Arial" w:eastAsia="Times New Roman" w:hAnsi="Arial" w:cs="Arial"/>
          <w:b/>
          <w:bCs/>
          <w:color w:val="4472C4" w:themeColor="accent1"/>
          <w:kern w:val="36"/>
          <w:sz w:val="40"/>
          <w:szCs w:val="40"/>
          <w:bdr w:val="none" w:sz="0" w:space="0" w:color="auto" w:frame="1"/>
          <w:lang w:val="es-UY" w:eastAsia="es-UY"/>
        </w:rPr>
        <w:t>POR UNA CONDONACIÓN D</w:t>
      </w:r>
      <w:bookmarkStart w:id="0" w:name="_GoBack"/>
      <w:bookmarkEnd w:id="0"/>
      <w:r w:rsidRPr="005A2FD9">
        <w:rPr>
          <w:rFonts w:ascii="Arial" w:eastAsia="Times New Roman" w:hAnsi="Arial" w:cs="Arial"/>
          <w:b/>
          <w:bCs/>
          <w:color w:val="4472C4" w:themeColor="accent1"/>
          <w:kern w:val="36"/>
          <w:sz w:val="40"/>
          <w:szCs w:val="40"/>
          <w:bdr w:val="none" w:sz="0" w:space="0" w:color="auto" w:frame="1"/>
          <w:lang w:val="es-UY" w:eastAsia="es-UY"/>
        </w:rPr>
        <w:t>E LA DEUDA PÚBLICA EXTERNA DE AMÉRICA LATINA</w:t>
      </w:r>
    </w:p>
    <w:p w:rsidR="005A2FD9" w:rsidRDefault="005A2FD9" w:rsidP="005A2FD9">
      <w:pPr>
        <w:spacing w:after="0" w:line="240" w:lineRule="auto"/>
        <w:textAlignment w:val="baseline"/>
        <w:rPr>
          <w:rFonts w:ascii="inherit" w:eastAsia="Times New Roman" w:hAnsi="inherit" w:cs="Times New Roman"/>
          <w:b/>
          <w:bCs/>
          <w:color w:val="000000"/>
          <w:sz w:val="23"/>
          <w:szCs w:val="23"/>
          <w:bdr w:val="none" w:sz="0" w:space="0" w:color="auto" w:frame="1"/>
          <w:lang w:val="es-UY" w:eastAsia="es-UY"/>
        </w:rPr>
      </w:pPr>
    </w:p>
    <w:p w:rsidR="005A2FD9" w:rsidRPr="005A2FD9" w:rsidRDefault="005A2FD9" w:rsidP="005A2FD9">
      <w:pPr>
        <w:spacing w:after="0" w:line="240" w:lineRule="auto"/>
        <w:textAlignment w:val="baseline"/>
        <w:rPr>
          <w:rFonts w:ascii="inherit" w:eastAsia="Times New Roman" w:hAnsi="inherit" w:cs="Times New Roman"/>
          <w:sz w:val="23"/>
          <w:szCs w:val="23"/>
          <w:lang w:val="es-UY" w:eastAsia="es-UY"/>
        </w:rPr>
      </w:pPr>
      <w:r w:rsidRPr="005A2FD9">
        <w:rPr>
          <w:rFonts w:ascii="inherit" w:eastAsia="Times New Roman" w:hAnsi="inherit" w:cs="Times New Roman"/>
          <w:b/>
          <w:bCs/>
          <w:color w:val="000000"/>
          <w:sz w:val="23"/>
          <w:szCs w:val="23"/>
          <w:bdr w:val="none" w:sz="0" w:space="0" w:color="auto" w:frame="1"/>
          <w:lang w:val="es-UY" w:eastAsia="es-UY"/>
        </w:rPr>
        <w:t xml:space="preserve">Franz </w:t>
      </w:r>
      <w:proofErr w:type="spellStart"/>
      <w:r w:rsidRPr="005A2FD9">
        <w:rPr>
          <w:rFonts w:ascii="inherit" w:eastAsia="Times New Roman" w:hAnsi="inherit" w:cs="Times New Roman"/>
          <w:b/>
          <w:bCs/>
          <w:color w:val="000000"/>
          <w:sz w:val="23"/>
          <w:szCs w:val="23"/>
          <w:bdr w:val="none" w:sz="0" w:space="0" w:color="auto" w:frame="1"/>
          <w:lang w:val="es-UY" w:eastAsia="es-UY"/>
        </w:rPr>
        <w:t>Hinkelamert</w:t>
      </w:r>
      <w:proofErr w:type="spellEnd"/>
      <w:r w:rsidRPr="005A2FD9">
        <w:rPr>
          <w:rFonts w:ascii="inherit" w:eastAsia="Times New Roman" w:hAnsi="inherit" w:cs="Times New Roman"/>
          <w:b/>
          <w:bCs/>
          <w:color w:val="000000"/>
          <w:sz w:val="23"/>
          <w:szCs w:val="23"/>
          <w:bdr w:val="none" w:sz="0" w:space="0" w:color="auto" w:frame="1"/>
          <w:lang w:val="es-UY" w:eastAsia="es-UY"/>
        </w:rPr>
        <w:t xml:space="preserve"> y William Hughes*</w:t>
      </w:r>
    </w:p>
    <w:p w:rsidR="005A2FD9" w:rsidRPr="005A2FD9" w:rsidRDefault="005A2FD9" w:rsidP="005A2FD9">
      <w:pPr>
        <w:spacing w:after="0" w:line="240" w:lineRule="auto"/>
        <w:textAlignment w:val="baseline"/>
        <w:rPr>
          <w:rFonts w:ascii="inherit" w:eastAsia="Times New Roman" w:hAnsi="inherit" w:cs="Times New Roman"/>
          <w:sz w:val="23"/>
          <w:szCs w:val="23"/>
          <w:lang w:val="es-UY" w:eastAsia="es-UY"/>
        </w:rPr>
      </w:pPr>
    </w:p>
    <w:p w:rsidR="005A2FD9" w:rsidRPr="005A2FD9" w:rsidRDefault="005A2FD9" w:rsidP="005A2FD9">
      <w:pPr>
        <w:spacing w:after="0" w:line="240" w:lineRule="auto"/>
        <w:jc w:val="both"/>
        <w:textAlignment w:val="baseline"/>
        <w:outlineLvl w:val="2"/>
        <w:rPr>
          <w:rFonts w:ascii="Georgia" w:eastAsia="Times New Roman" w:hAnsi="Georgia" w:cs="Times New Roman"/>
          <w:b/>
          <w:bCs/>
          <w:color w:val="4472C4" w:themeColor="accent1"/>
          <w:sz w:val="23"/>
          <w:szCs w:val="23"/>
          <w:lang w:val="es-UY" w:eastAsia="es-UY"/>
        </w:rPr>
      </w:pPr>
      <w:r w:rsidRPr="005A2FD9">
        <w:rPr>
          <w:rFonts w:ascii="inherit" w:eastAsia="Times New Roman" w:hAnsi="inherit" w:cs="Times New Roman"/>
          <w:b/>
          <w:bCs/>
          <w:i/>
          <w:iCs/>
          <w:color w:val="4472C4" w:themeColor="accent1"/>
          <w:sz w:val="23"/>
          <w:szCs w:val="23"/>
          <w:bdr w:val="none" w:sz="0" w:space="0" w:color="auto" w:frame="1"/>
          <w:lang w:val="es-UY" w:eastAsia="es-UY"/>
        </w:rPr>
        <w:t>1. El crecimiento económico como política y el endeudamiento como adicción</w:t>
      </w: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p>
    <w:p w:rsidR="005A2FD9" w:rsidRDefault="005A2FD9" w:rsidP="005A2FD9">
      <w:pPr>
        <w:spacing w:after="0" w:line="240" w:lineRule="auto"/>
        <w:jc w:val="both"/>
        <w:textAlignment w:val="baseline"/>
        <w:rPr>
          <w:rFonts w:ascii="inherit" w:eastAsia="Times New Roman" w:hAnsi="inherit" w:cs="Times New Roman"/>
          <w:color w:val="000000"/>
          <w:sz w:val="23"/>
          <w:szCs w:val="23"/>
          <w:bdr w:val="none" w:sz="0" w:space="0" w:color="auto" w:frame="1"/>
          <w:lang w:val="es-UY" w:eastAsia="es-UY"/>
        </w:rPr>
      </w:pPr>
      <w:r w:rsidRPr="005A2FD9">
        <w:rPr>
          <w:rFonts w:ascii="inherit" w:eastAsia="Times New Roman" w:hAnsi="inherit" w:cs="Times New Roman"/>
          <w:color w:val="000000"/>
          <w:sz w:val="23"/>
          <w:szCs w:val="23"/>
          <w:bdr w:val="none" w:sz="0" w:space="0" w:color="auto" w:frame="1"/>
          <w:lang w:val="es-UY" w:eastAsia="es-UY"/>
        </w:rPr>
        <w:t>La globalización neoliberal encumbró la “sociedad del crecimiento”. El crecimiento se convirtió en la política central que supuestamente sostendría el consumo, la inversión, el empleo y el bienestar social.</w:t>
      </w: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p>
    <w:p w:rsidR="005A2FD9" w:rsidRDefault="005A2FD9" w:rsidP="005A2FD9">
      <w:pPr>
        <w:spacing w:after="0" w:line="240" w:lineRule="auto"/>
        <w:jc w:val="both"/>
        <w:textAlignment w:val="baseline"/>
        <w:rPr>
          <w:rFonts w:ascii="inherit" w:eastAsia="Times New Roman" w:hAnsi="inherit" w:cs="Times New Roman"/>
          <w:color w:val="000000"/>
          <w:sz w:val="23"/>
          <w:szCs w:val="23"/>
          <w:bdr w:val="none" w:sz="0" w:space="0" w:color="auto" w:frame="1"/>
          <w:lang w:val="es-UY" w:eastAsia="es-UY"/>
        </w:rPr>
      </w:pPr>
      <w:r w:rsidRPr="005A2FD9">
        <w:rPr>
          <w:rFonts w:ascii="inherit" w:eastAsia="Times New Roman" w:hAnsi="inherit" w:cs="Times New Roman"/>
          <w:color w:val="000000"/>
          <w:sz w:val="23"/>
          <w:szCs w:val="23"/>
          <w:bdr w:val="none" w:sz="0" w:space="0" w:color="auto" w:frame="1"/>
          <w:lang w:val="es-UY" w:eastAsia="es-UY"/>
        </w:rPr>
        <w:t xml:space="preserve">El pretendido crecimiento </w:t>
      </w:r>
      <w:r w:rsidRPr="005A2FD9">
        <w:rPr>
          <w:rFonts w:ascii="inherit" w:eastAsia="Times New Roman" w:hAnsi="inherit" w:cs="Times New Roman"/>
          <w:i/>
          <w:iCs/>
          <w:color w:val="000000"/>
          <w:sz w:val="23"/>
          <w:szCs w:val="23"/>
          <w:bdr w:val="none" w:sz="0" w:space="0" w:color="auto" w:frame="1"/>
          <w:lang w:val="es-UY" w:eastAsia="es-UY"/>
        </w:rPr>
        <w:t>ad infinitum</w:t>
      </w:r>
      <w:r w:rsidRPr="005A2FD9">
        <w:rPr>
          <w:rFonts w:ascii="inherit" w:eastAsia="Times New Roman" w:hAnsi="inherit" w:cs="Times New Roman"/>
          <w:color w:val="000000"/>
          <w:sz w:val="23"/>
          <w:szCs w:val="23"/>
          <w:bdr w:val="none" w:sz="0" w:space="0" w:color="auto" w:frame="1"/>
          <w:lang w:val="es-UY" w:eastAsia="es-UY"/>
        </w:rPr>
        <w:t xml:space="preserve"> resultó tener “efectos colaterales” (humanos y ecológicos), pero se asumió que el libre mercado y el desarrollo tecnológico lograrían contrarrestarlos. Y si no lograban solucionarlos, entonces no habría solución alguna: el progreso demanda “sacrificios”.</w:t>
      </w: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p>
    <w:p w:rsidR="005A2FD9" w:rsidRDefault="005A2FD9" w:rsidP="005A2FD9">
      <w:pPr>
        <w:spacing w:after="0" w:line="240" w:lineRule="auto"/>
        <w:jc w:val="both"/>
        <w:textAlignment w:val="baseline"/>
        <w:rPr>
          <w:rFonts w:ascii="inherit" w:eastAsia="Times New Roman" w:hAnsi="inherit" w:cs="Times New Roman"/>
          <w:color w:val="000000"/>
          <w:sz w:val="23"/>
          <w:szCs w:val="23"/>
          <w:bdr w:val="none" w:sz="0" w:space="0" w:color="auto" w:frame="1"/>
          <w:lang w:val="es-UY" w:eastAsia="es-UY"/>
        </w:rPr>
      </w:pPr>
      <w:r w:rsidRPr="005A2FD9">
        <w:rPr>
          <w:rFonts w:ascii="inherit" w:eastAsia="Times New Roman" w:hAnsi="inherit" w:cs="Times New Roman"/>
          <w:color w:val="000000"/>
          <w:sz w:val="23"/>
          <w:szCs w:val="23"/>
          <w:bdr w:val="none" w:sz="0" w:space="0" w:color="auto" w:frame="1"/>
          <w:lang w:val="es-UY" w:eastAsia="es-UY"/>
        </w:rPr>
        <w:t xml:space="preserve">La teoría económica neoliberal dio un viraje de 180 grados: el “ahorro de hoy” dejo de ser la fuente para el consumo y la inversión “de mañana” (tesis keynesiana). El consumo por el consumo (consumismo) se convirtió en el motor del crecimiento, y la inversión productiva perdió el sentido de incrementar la “capacidad productiva” para considerarse casi exclusivamente en términos de su rentabilidad de corto plazo. Entre 1970 y 2007 se impusieron el capitalismo de casino y la </w:t>
      </w:r>
      <w:proofErr w:type="spellStart"/>
      <w:r w:rsidRPr="005A2FD9">
        <w:rPr>
          <w:rFonts w:ascii="inherit" w:eastAsia="Times New Roman" w:hAnsi="inherit" w:cs="Times New Roman"/>
          <w:color w:val="000000"/>
          <w:sz w:val="23"/>
          <w:szCs w:val="23"/>
          <w:bdr w:val="none" w:sz="0" w:space="0" w:color="auto" w:frame="1"/>
          <w:lang w:val="es-UY" w:eastAsia="es-UY"/>
        </w:rPr>
        <w:t>financiarización</w:t>
      </w:r>
      <w:proofErr w:type="spellEnd"/>
      <w:r w:rsidRPr="005A2FD9">
        <w:rPr>
          <w:rFonts w:ascii="inherit" w:eastAsia="Times New Roman" w:hAnsi="inherit" w:cs="Times New Roman"/>
          <w:color w:val="000000"/>
          <w:sz w:val="23"/>
          <w:szCs w:val="23"/>
          <w:bdr w:val="none" w:sz="0" w:space="0" w:color="auto" w:frame="1"/>
          <w:lang w:val="es-UY" w:eastAsia="es-UY"/>
        </w:rPr>
        <w:t>, dominando la economía real. La crisis del 2008 fue interpretada como un tropezón normal en el frenesí de “exuberancia irracional”.</w:t>
      </w: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r w:rsidRPr="005A2FD9">
        <w:rPr>
          <w:rFonts w:ascii="inherit" w:eastAsia="Times New Roman" w:hAnsi="inherit" w:cs="Times New Roman"/>
          <w:color w:val="000000"/>
          <w:sz w:val="23"/>
          <w:szCs w:val="23"/>
          <w:bdr w:val="none" w:sz="0" w:space="0" w:color="auto" w:frame="1"/>
          <w:lang w:val="es-UY" w:eastAsia="es-UY"/>
        </w:rPr>
        <w:t>El consumismo desenfrenado y la inversión financiera se apuntalaron fuertemente en el crédito: a los hogares, empresas y Estados; desmantelando, además, las políticas del Estado de bienestar. Se generó una dependencia adictiva entre el crecimiento económico (la acumulación de capital) y el endeudamiento sin límite.</w:t>
      </w: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p>
    <w:p w:rsidR="005A2FD9" w:rsidRPr="005A2FD9" w:rsidRDefault="005A2FD9" w:rsidP="005A2FD9">
      <w:pPr>
        <w:spacing w:after="0" w:line="240" w:lineRule="auto"/>
        <w:jc w:val="both"/>
        <w:textAlignment w:val="baseline"/>
        <w:outlineLvl w:val="1"/>
        <w:rPr>
          <w:rFonts w:ascii="Georgia" w:eastAsia="Times New Roman" w:hAnsi="Georgia" w:cs="Times New Roman"/>
          <w:b/>
          <w:bCs/>
          <w:color w:val="4472C4" w:themeColor="accent1"/>
          <w:sz w:val="23"/>
          <w:szCs w:val="23"/>
          <w:lang w:val="es-UY" w:eastAsia="es-UY"/>
        </w:rPr>
      </w:pPr>
      <w:r w:rsidRPr="005A2FD9">
        <w:rPr>
          <w:rFonts w:ascii="inherit" w:eastAsia="Times New Roman" w:hAnsi="inherit" w:cs="Times New Roman"/>
          <w:b/>
          <w:bCs/>
          <w:i/>
          <w:iCs/>
          <w:color w:val="4472C4" w:themeColor="accent1"/>
          <w:sz w:val="23"/>
          <w:szCs w:val="23"/>
          <w:bdr w:val="none" w:sz="0" w:space="0" w:color="auto" w:frame="1"/>
          <w:lang w:val="es-UY" w:eastAsia="es-UY"/>
        </w:rPr>
        <w:t xml:space="preserve">2. El pago de la deuda como genocidio </w:t>
      </w: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r w:rsidRPr="005A2FD9">
        <w:rPr>
          <w:rFonts w:ascii="inherit" w:eastAsia="Times New Roman" w:hAnsi="inherit" w:cs="Times New Roman"/>
          <w:color w:val="000000"/>
          <w:sz w:val="23"/>
          <w:szCs w:val="23"/>
          <w:bdr w:val="none" w:sz="0" w:space="0" w:color="auto" w:frame="1"/>
          <w:lang w:val="es-UY" w:eastAsia="es-UY"/>
        </w:rPr>
        <w:t xml:space="preserve">El capitalismo se fundamenta en el crecimiento económico, y como ya no puede hacerlo con saltos de productividad, se alimenta de nuevas “acumulaciones originarias” y de un endeudamiento tóxico que conduce a deudas perpetuas e impagables. Después del estallido de la crisis de la deuda en los años ochenta, podría esperarse que la situación de la región mejorara en el mediano plazo, pero se ha agravado. La deuda externa se duplicó hacia 1990, y para 2019 había crecido 10 veces, superando los 2 billones de dólares, con un pago de intereses que sumó un poco más de 1.1 billones de dólares. En realidad, todo el aumento de la deuda hasta 2010 ha sido resultado de pagos de intereses. El ingreso neto por nuevos créditos externos fue nulo hasta 2010. El pago de intereses corresponde a un dinero jamás entregado, se trata de una brutal usura. Hasta 2018, el 60% del aumento de la deuda externa lo constituyó la capitalización de intereses, los que se “pagaron” con nueva deuda, que seguirá exigiendo pago de intereses por recursos financieros que nunca han servido a los países de América Latina. </w:t>
      </w: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r w:rsidRPr="005A2FD9">
        <w:rPr>
          <w:rFonts w:ascii="inherit" w:eastAsia="Times New Roman" w:hAnsi="inherit" w:cs="Times New Roman"/>
          <w:color w:val="000000"/>
          <w:sz w:val="23"/>
          <w:szCs w:val="23"/>
          <w:bdr w:val="none" w:sz="0" w:space="0" w:color="auto" w:frame="1"/>
          <w:lang w:val="es-UY" w:eastAsia="es-UY"/>
        </w:rPr>
        <w:t xml:space="preserve">Esta situación es extensiva a la deuda pública: en los próximos cinco años el 32% del servicio de la deuda correspondería a pagos de intereses, lo que se agrava con la Pandemia de la Covid-19. La deuda externa es una fuente perpetua de extracción de excedentes de las economías de América Latina, sobre la base una deuda impagable. Resolver esto demanda la condonación inmediata de dicha deuda. </w:t>
      </w: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r w:rsidRPr="005A2FD9">
        <w:rPr>
          <w:rFonts w:ascii="inherit" w:eastAsia="Times New Roman" w:hAnsi="inherit" w:cs="Times New Roman"/>
          <w:color w:val="000000"/>
          <w:sz w:val="23"/>
          <w:szCs w:val="23"/>
          <w:bdr w:val="none" w:sz="0" w:space="0" w:color="auto" w:frame="1"/>
          <w:lang w:val="es-UY" w:eastAsia="es-UY"/>
        </w:rPr>
        <w:lastRenderedPageBreak/>
        <w:t xml:space="preserve">Este terrible año hay que pagar la deuda, tanto su capital como los intereses. Este pago en muchas sociedades, en especial las de América Latina, impide atender demandas sociales en salud, educación, protección social, cultura y demás servicios sociales y de protección del ambiente. El pago del capital y los intereses es la primera prioridad del presupuesto nacional, aunque miles o millones de ciudadanos no logren satisfacer sus necesidades básicas. La pandemia de la Covid-19 ha puesto al desnudo este genocidio económico-social. </w:t>
      </w: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p>
    <w:p w:rsidR="005A2FD9" w:rsidRPr="005A2FD9" w:rsidRDefault="005A2FD9" w:rsidP="005A2FD9">
      <w:pPr>
        <w:spacing w:after="0" w:line="240" w:lineRule="auto"/>
        <w:jc w:val="both"/>
        <w:textAlignment w:val="baseline"/>
        <w:outlineLvl w:val="1"/>
        <w:rPr>
          <w:rFonts w:ascii="Georgia" w:eastAsia="Times New Roman" w:hAnsi="Georgia" w:cs="Times New Roman"/>
          <w:b/>
          <w:bCs/>
          <w:color w:val="4472C4" w:themeColor="accent1"/>
          <w:sz w:val="23"/>
          <w:szCs w:val="23"/>
          <w:lang w:val="es-UY" w:eastAsia="es-UY"/>
        </w:rPr>
      </w:pPr>
      <w:r w:rsidRPr="005A2FD9">
        <w:rPr>
          <w:rFonts w:ascii="inherit" w:eastAsia="Times New Roman" w:hAnsi="inherit" w:cs="Times New Roman"/>
          <w:b/>
          <w:bCs/>
          <w:i/>
          <w:iCs/>
          <w:color w:val="4472C4" w:themeColor="accent1"/>
          <w:sz w:val="23"/>
          <w:szCs w:val="23"/>
          <w:bdr w:val="none" w:sz="0" w:space="0" w:color="auto" w:frame="1"/>
          <w:lang w:val="es-UY" w:eastAsia="es-UY"/>
        </w:rPr>
        <w:t>3. Las crisis de deuda y su papel como estrategias de sometimiento</w:t>
      </w: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r w:rsidRPr="005A2FD9">
        <w:rPr>
          <w:rFonts w:ascii="inherit" w:eastAsia="Times New Roman" w:hAnsi="inherit" w:cs="Times New Roman"/>
          <w:color w:val="000000"/>
          <w:sz w:val="23"/>
          <w:szCs w:val="23"/>
          <w:bdr w:val="none" w:sz="0" w:space="0" w:color="auto" w:frame="1"/>
          <w:lang w:val="es-UY" w:eastAsia="es-UY"/>
        </w:rPr>
        <w:t xml:space="preserve">El endeudamiento es un gran negocio de los bancos y las empresas transnacionales, especialmente cuando las deudas se vuelven impagables. El país que no pueda pagar tendrá que ceder su soberanía, sus recursos naturales más valiosos y sus empresas públicas. Este pillaje incluso se hace calculadamente para que el país endeudado pueda seguir pagando, y cada tiempo se </w:t>
      </w:r>
      <w:proofErr w:type="spellStart"/>
      <w:r w:rsidRPr="005A2FD9">
        <w:rPr>
          <w:rFonts w:ascii="inherit" w:eastAsia="Times New Roman" w:hAnsi="inherit" w:cs="Times New Roman"/>
          <w:color w:val="000000"/>
          <w:sz w:val="23"/>
          <w:szCs w:val="23"/>
          <w:bdr w:val="none" w:sz="0" w:space="0" w:color="auto" w:frame="1"/>
          <w:lang w:val="es-UY" w:eastAsia="es-UY"/>
        </w:rPr>
        <w:t>renegocia</w:t>
      </w:r>
      <w:proofErr w:type="spellEnd"/>
      <w:r w:rsidRPr="005A2FD9">
        <w:rPr>
          <w:rFonts w:ascii="inherit" w:eastAsia="Times New Roman" w:hAnsi="inherit" w:cs="Times New Roman"/>
          <w:color w:val="000000"/>
          <w:sz w:val="23"/>
          <w:szCs w:val="23"/>
          <w:bdr w:val="none" w:sz="0" w:space="0" w:color="auto" w:frame="1"/>
          <w:lang w:val="es-UY" w:eastAsia="es-UY"/>
        </w:rPr>
        <w:t xml:space="preserve"> la deuda y hasta se permiten condonaciones parciales de intereses. </w:t>
      </w: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r w:rsidRPr="005A2FD9">
        <w:rPr>
          <w:rFonts w:ascii="inherit" w:eastAsia="Times New Roman" w:hAnsi="inherit" w:cs="Times New Roman"/>
          <w:color w:val="000000"/>
          <w:sz w:val="23"/>
          <w:szCs w:val="23"/>
          <w:bdr w:val="none" w:sz="0" w:space="0" w:color="auto" w:frame="1"/>
          <w:lang w:val="es-UY" w:eastAsia="es-UY"/>
        </w:rPr>
        <w:t xml:space="preserve">El endeudamiento externo hizo posible someter a toda América Latina durante la crisis de la deuda de los años 80 del siglo pasado, transformándola en un proceso de expropiación bajo el eufemismo de los “ajustes estructurales”. </w:t>
      </w: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p>
    <w:p w:rsidR="005A2FD9" w:rsidRPr="005A2FD9" w:rsidRDefault="005A2FD9" w:rsidP="005A2FD9">
      <w:pPr>
        <w:spacing w:after="0" w:line="240" w:lineRule="auto"/>
        <w:jc w:val="both"/>
        <w:textAlignment w:val="baseline"/>
        <w:outlineLvl w:val="1"/>
        <w:rPr>
          <w:rFonts w:ascii="Georgia" w:eastAsia="Times New Roman" w:hAnsi="Georgia" w:cs="Times New Roman"/>
          <w:b/>
          <w:bCs/>
          <w:color w:val="4472C4" w:themeColor="accent1"/>
          <w:sz w:val="23"/>
          <w:szCs w:val="23"/>
          <w:lang w:val="es-UY" w:eastAsia="es-UY"/>
        </w:rPr>
      </w:pPr>
      <w:r w:rsidRPr="005A2FD9">
        <w:rPr>
          <w:rFonts w:ascii="inherit" w:eastAsia="Times New Roman" w:hAnsi="inherit" w:cs="Times New Roman"/>
          <w:b/>
          <w:bCs/>
          <w:i/>
          <w:iCs/>
          <w:color w:val="4472C4" w:themeColor="accent1"/>
          <w:sz w:val="23"/>
          <w:szCs w:val="23"/>
          <w:bdr w:val="none" w:sz="0" w:space="0" w:color="auto" w:frame="1"/>
          <w:lang w:val="es-UY" w:eastAsia="es-UY"/>
        </w:rPr>
        <w:t>4. El Acuerdo de Londres de 1953</w:t>
      </w: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r w:rsidRPr="005A2FD9">
        <w:rPr>
          <w:rFonts w:ascii="inherit" w:eastAsia="Times New Roman" w:hAnsi="inherit" w:cs="Times New Roman"/>
          <w:color w:val="000000"/>
          <w:sz w:val="23"/>
          <w:szCs w:val="23"/>
          <w:bdr w:val="none" w:sz="0" w:space="0" w:color="auto" w:frame="1"/>
          <w:lang w:val="es-UY" w:eastAsia="es-UY"/>
        </w:rPr>
        <w:t>El Tratado de Versalles (1919) fue un ejemplo de la ceguera de la “voluntad de poder”. Los ganadores de la I Guerra Mundial impusieron a Alemania costos de guerra a todas luces impagables. El tratamiento de la deuda alemana y el de otras naciones europeas después de la II Guerra fue muy diferente. Empezaba la guerra fría y las medidas para “salvar el sistema” incluyeron la eliminación de la mayor parte del pago de las deudas alemanas con el resto de Europa occidental y otros países aliados, Grecia incluida, además del Plan Marshall y la concesión de nuevos créditos sin intereses.</w:t>
      </w: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r w:rsidRPr="005A2FD9">
        <w:rPr>
          <w:rFonts w:ascii="inherit" w:eastAsia="Times New Roman" w:hAnsi="inherit" w:cs="Times New Roman"/>
          <w:color w:val="000000"/>
          <w:sz w:val="23"/>
          <w:szCs w:val="23"/>
          <w:bdr w:val="none" w:sz="0" w:space="0" w:color="auto" w:frame="1"/>
          <w:lang w:val="es-UY" w:eastAsia="es-UY"/>
        </w:rPr>
        <w:t>Ante los efectos económicos y sociales devastadores a causa de la pandemia de la covid-19, el FMI se niega a discutir una posibilidad semejante, y sólo considera condonaciones parciales o posposición de pagos de intereses para los países más pobres y endeudados. Quieren repetir el Tratado de Versalles, solo que ahora con los “perdedores” (víctimas) de la globalización.</w:t>
      </w: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p>
    <w:p w:rsidR="005A2FD9" w:rsidRPr="005A2FD9" w:rsidRDefault="005A2FD9" w:rsidP="005A2FD9">
      <w:pPr>
        <w:spacing w:after="0" w:line="240" w:lineRule="auto"/>
        <w:jc w:val="both"/>
        <w:textAlignment w:val="baseline"/>
        <w:outlineLvl w:val="1"/>
        <w:rPr>
          <w:rFonts w:ascii="Georgia" w:eastAsia="Times New Roman" w:hAnsi="Georgia" w:cs="Times New Roman"/>
          <w:b/>
          <w:bCs/>
          <w:color w:val="4472C4" w:themeColor="accent1"/>
          <w:sz w:val="23"/>
          <w:szCs w:val="23"/>
          <w:lang w:val="es-UY" w:eastAsia="es-UY"/>
        </w:rPr>
      </w:pPr>
      <w:r w:rsidRPr="005A2FD9">
        <w:rPr>
          <w:rFonts w:ascii="inherit" w:eastAsia="Times New Roman" w:hAnsi="inherit" w:cs="Times New Roman"/>
          <w:b/>
          <w:bCs/>
          <w:i/>
          <w:iCs/>
          <w:color w:val="4472C4" w:themeColor="accent1"/>
          <w:sz w:val="23"/>
          <w:szCs w:val="23"/>
          <w:bdr w:val="none" w:sz="0" w:space="0" w:color="auto" w:frame="1"/>
          <w:lang w:val="es-UY" w:eastAsia="es-UY"/>
        </w:rPr>
        <w:t>5. El Fondo Monetario Internacional: la aparente paradoja de la condonación de las deudas. ¿Se debe pagar, aunque no se pueda pagar?</w:t>
      </w: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r w:rsidRPr="005A2FD9">
        <w:rPr>
          <w:rFonts w:ascii="inherit" w:eastAsia="Times New Roman" w:hAnsi="inherit" w:cs="Times New Roman"/>
          <w:color w:val="000000"/>
          <w:sz w:val="23"/>
          <w:szCs w:val="23"/>
          <w:bdr w:val="none" w:sz="0" w:space="0" w:color="auto" w:frame="1"/>
          <w:lang w:val="es-UY" w:eastAsia="es-UY"/>
        </w:rPr>
        <w:t>Desde el estallido de la crisis latinoamericana de la deuda en 1982, han sido múltiples los llamados a la condonación total de la deuda. La negativa del FMI y del Banco Mundial se respalda en la “responsabilidad de los deudores”, de gobiernos que irresponsablemente incurrieron en esa deuda. Según este argumento, ni siquiera la incapacidad de pago justifica la condonación de las deudas. El deudor es culpable de su incapacidad y el acreedor es exonerado de no anticipar que el deudor no podía pagar. Pero el argumento se desmorona cuando cualquier auditoria de la deuda muestra el pillaje del acreedor o la corrupción de los gobiernos de turno.</w:t>
      </w: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r w:rsidRPr="005A2FD9">
        <w:rPr>
          <w:rFonts w:ascii="inherit" w:eastAsia="Times New Roman" w:hAnsi="inherit" w:cs="Times New Roman"/>
          <w:color w:val="000000"/>
          <w:sz w:val="23"/>
          <w:szCs w:val="23"/>
          <w:bdr w:val="none" w:sz="0" w:space="0" w:color="auto" w:frame="1"/>
          <w:lang w:val="es-UY" w:eastAsia="es-UY"/>
        </w:rPr>
        <w:t xml:space="preserve">Entonces el FMI y el BM recurren a otro argumento: “la ley y el orden” de los mercados financieros y la continuidad de los préstamos en el futuro. La condonación de la deuda lesionaría la capacidad de las instituciones de crédito de seguir prestando y socavaría la confianza en el sistema financiero. Tal argumento es indefendible, cuando gobiernos y bancos centrales de los países ricos compran billones de dólares en valores o sencillamente emiten billones en monedas duras para salvar de la quiebra a bancos, empresas y mercados de valores, acrecentando la desigualdad y la injusticia. </w:t>
      </w: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p>
    <w:p w:rsidR="005A2FD9" w:rsidRPr="005A2FD9" w:rsidRDefault="005A2FD9" w:rsidP="005A2FD9">
      <w:pPr>
        <w:spacing w:after="0" w:line="240" w:lineRule="auto"/>
        <w:jc w:val="both"/>
        <w:textAlignment w:val="baseline"/>
        <w:outlineLvl w:val="1"/>
        <w:rPr>
          <w:rFonts w:ascii="Georgia" w:eastAsia="Times New Roman" w:hAnsi="Georgia" w:cs="Times New Roman"/>
          <w:b/>
          <w:bCs/>
          <w:color w:val="4472C4" w:themeColor="accent1"/>
          <w:sz w:val="23"/>
          <w:szCs w:val="23"/>
          <w:lang w:val="es-UY" w:eastAsia="es-UY"/>
        </w:rPr>
      </w:pPr>
      <w:r w:rsidRPr="005A2FD9">
        <w:rPr>
          <w:rFonts w:ascii="inherit" w:eastAsia="Times New Roman" w:hAnsi="inherit" w:cs="Times New Roman"/>
          <w:b/>
          <w:bCs/>
          <w:i/>
          <w:iCs/>
          <w:color w:val="4472C4" w:themeColor="accent1"/>
          <w:sz w:val="23"/>
          <w:szCs w:val="23"/>
          <w:bdr w:val="none" w:sz="0" w:space="0" w:color="auto" w:frame="1"/>
          <w:lang w:val="es-UY" w:eastAsia="es-UY"/>
        </w:rPr>
        <w:t>6. Por una condonación de la deuda pública externa de América Latina.</w:t>
      </w: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r w:rsidRPr="005A2FD9">
        <w:rPr>
          <w:rFonts w:ascii="inherit" w:eastAsia="Times New Roman" w:hAnsi="inherit" w:cs="Times New Roman"/>
          <w:color w:val="000000"/>
          <w:sz w:val="23"/>
          <w:szCs w:val="23"/>
          <w:bdr w:val="none" w:sz="0" w:space="0" w:color="auto" w:frame="1"/>
          <w:lang w:val="es-UY" w:eastAsia="es-UY"/>
        </w:rPr>
        <w:t xml:space="preserve">Cuando las deudas, supuestamente, se pagan con nuevas deudas y, además, los intereses se agregan, la deuda total crece sin más límite que el impuesto por la progresión del interés compuesto. Ha llegado el momento de transformar el sistema. </w:t>
      </w: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r w:rsidRPr="005A2FD9">
        <w:rPr>
          <w:rFonts w:ascii="inherit" w:eastAsia="Times New Roman" w:hAnsi="inherit" w:cs="Times New Roman"/>
          <w:color w:val="000000"/>
          <w:sz w:val="23"/>
          <w:szCs w:val="23"/>
          <w:bdr w:val="none" w:sz="0" w:space="0" w:color="auto" w:frame="1"/>
          <w:lang w:val="es-UY" w:eastAsia="es-UY"/>
        </w:rPr>
        <w:t xml:space="preserve">La crisis en curso ha ratificado que el futuro de la humanidad está en riesgo. Tenemos una oportunidad para corregir situaciones que muestran tendencias catastróficas. Recuperar la solidaridad como un valor global permitirá poner en el centro valores sociales fundamentales que la globalización neoliberal ha relegado o incluso aplastado. </w:t>
      </w: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r w:rsidRPr="005A2FD9">
        <w:rPr>
          <w:rFonts w:ascii="inherit" w:eastAsia="Times New Roman" w:hAnsi="inherit" w:cs="Times New Roman"/>
          <w:color w:val="000000"/>
          <w:sz w:val="23"/>
          <w:szCs w:val="23"/>
          <w:bdr w:val="none" w:sz="0" w:space="0" w:color="auto" w:frame="1"/>
          <w:lang w:val="es-UY" w:eastAsia="es-UY"/>
        </w:rPr>
        <w:t xml:space="preserve">La reconstrucción de las relaciones humanas, en la perspectiva de la vida y el bien común, exige cambios radicales: en nuestro metabolismo social, en las relaciones laborales, en la división sexual del trabajo, en los servicios básicos para toda la población, en los sistemas tributarios, en la propiedad intelectual y la cultura, en el dinero y las finanzas, en los organismos financieros internacionales, en la cooperación entre las Naciones, etc. Una Condonación Mundial de la Deuda Externa Pública sería sólo un primer paso, pero uno que puede cimentar la construcción de un futuro mejor para todas y todos, pero especialmente, para las víctimas del capitalismo neoliberal, colonial y </w:t>
      </w:r>
      <w:proofErr w:type="spellStart"/>
      <w:r w:rsidRPr="005A2FD9">
        <w:rPr>
          <w:rFonts w:ascii="inherit" w:eastAsia="Times New Roman" w:hAnsi="inherit" w:cs="Times New Roman"/>
          <w:color w:val="000000"/>
          <w:sz w:val="23"/>
          <w:szCs w:val="23"/>
          <w:bdr w:val="none" w:sz="0" w:space="0" w:color="auto" w:frame="1"/>
          <w:lang w:val="es-UY" w:eastAsia="es-UY"/>
        </w:rPr>
        <w:t>financiarizado</w:t>
      </w:r>
      <w:proofErr w:type="spellEnd"/>
      <w:r w:rsidRPr="005A2FD9">
        <w:rPr>
          <w:rFonts w:ascii="inherit" w:eastAsia="Times New Roman" w:hAnsi="inherit" w:cs="Times New Roman"/>
          <w:color w:val="000000"/>
          <w:sz w:val="23"/>
          <w:szCs w:val="23"/>
          <w:bdr w:val="none" w:sz="0" w:space="0" w:color="auto" w:frame="1"/>
          <w:lang w:val="es-UY" w:eastAsia="es-UY"/>
        </w:rPr>
        <w:t>.</w:t>
      </w:r>
    </w:p>
    <w:p w:rsidR="005A2FD9" w:rsidRPr="005A2FD9" w:rsidRDefault="005A2FD9" w:rsidP="005A2FD9">
      <w:pPr>
        <w:spacing w:after="0" w:line="240" w:lineRule="auto"/>
        <w:textAlignment w:val="baseline"/>
        <w:rPr>
          <w:rFonts w:ascii="inherit" w:eastAsia="Times New Roman" w:hAnsi="inherit" w:cs="Times New Roman"/>
          <w:sz w:val="23"/>
          <w:szCs w:val="23"/>
          <w:lang w:val="es-UY" w:eastAsia="es-UY"/>
        </w:rPr>
      </w:pPr>
    </w:p>
    <w:p w:rsidR="005A2FD9" w:rsidRDefault="005A2FD9" w:rsidP="005A2FD9">
      <w:pPr>
        <w:spacing w:after="0" w:line="240" w:lineRule="auto"/>
        <w:jc w:val="both"/>
        <w:textAlignment w:val="baseline"/>
        <w:rPr>
          <w:rFonts w:ascii="inherit" w:eastAsia="Times New Roman" w:hAnsi="inherit" w:cs="Times New Roman"/>
          <w:color w:val="000000"/>
          <w:sz w:val="23"/>
          <w:szCs w:val="23"/>
          <w:bdr w:val="none" w:sz="0" w:space="0" w:color="auto" w:frame="1"/>
          <w:lang w:val="es-UY" w:eastAsia="es-UY"/>
        </w:rPr>
      </w:pPr>
      <w:r w:rsidRPr="005A2FD9">
        <w:rPr>
          <w:rFonts w:ascii="inherit" w:eastAsia="Times New Roman" w:hAnsi="inherit" w:cs="Times New Roman"/>
          <w:color w:val="000000"/>
          <w:sz w:val="23"/>
          <w:szCs w:val="23"/>
          <w:bdr w:val="none" w:sz="0" w:space="0" w:color="auto" w:frame="1"/>
          <w:lang w:val="es-UY" w:eastAsia="es-UY"/>
        </w:rPr>
        <w:t xml:space="preserve">* Este artículo es publicado por Franz </w:t>
      </w:r>
      <w:proofErr w:type="spellStart"/>
      <w:r w:rsidRPr="005A2FD9">
        <w:rPr>
          <w:rFonts w:ascii="inherit" w:eastAsia="Times New Roman" w:hAnsi="inherit" w:cs="Times New Roman"/>
          <w:color w:val="000000"/>
          <w:sz w:val="23"/>
          <w:szCs w:val="23"/>
          <w:bdr w:val="none" w:sz="0" w:space="0" w:color="auto" w:frame="1"/>
          <w:lang w:val="es-UY" w:eastAsia="es-UY"/>
        </w:rPr>
        <w:t>Hinkelammert</w:t>
      </w:r>
      <w:proofErr w:type="spellEnd"/>
      <w:r w:rsidRPr="005A2FD9">
        <w:rPr>
          <w:rFonts w:ascii="inherit" w:eastAsia="Times New Roman" w:hAnsi="inherit" w:cs="Times New Roman"/>
          <w:color w:val="000000"/>
          <w:sz w:val="23"/>
          <w:szCs w:val="23"/>
          <w:bdr w:val="none" w:sz="0" w:space="0" w:color="auto" w:frame="1"/>
          <w:lang w:val="es-UY" w:eastAsia="es-UY"/>
        </w:rPr>
        <w:t xml:space="preserve"> (Alemania-Costa Rica), Orlando Delgado (México), </w:t>
      </w:r>
      <w:proofErr w:type="spellStart"/>
      <w:r w:rsidRPr="005A2FD9">
        <w:rPr>
          <w:rFonts w:ascii="inherit" w:eastAsia="Times New Roman" w:hAnsi="inherit" w:cs="Times New Roman"/>
          <w:color w:val="000000"/>
          <w:sz w:val="23"/>
          <w:szCs w:val="23"/>
          <w:bdr w:val="none" w:sz="0" w:space="0" w:color="auto" w:frame="1"/>
          <w:lang w:val="es-UY" w:eastAsia="es-UY"/>
        </w:rPr>
        <w:t>Yamandú</w:t>
      </w:r>
      <w:proofErr w:type="spellEnd"/>
      <w:r w:rsidRPr="005A2FD9">
        <w:rPr>
          <w:rFonts w:ascii="inherit" w:eastAsia="Times New Roman" w:hAnsi="inherit" w:cs="Times New Roman"/>
          <w:color w:val="000000"/>
          <w:sz w:val="23"/>
          <w:szCs w:val="23"/>
          <w:bdr w:val="none" w:sz="0" w:space="0" w:color="auto" w:frame="1"/>
          <w:lang w:val="es-UY" w:eastAsia="es-UY"/>
        </w:rPr>
        <w:t xml:space="preserve"> Acosta (Uruguay), Henry Mora (Costa Rica), William Hughes (Panamá), Maribel Gordón (Panamá), Rosario Arias Peña (Panamá), Jorge Zúñiga M. (México), Roberto Carrillo (Panamá), Xavier </w:t>
      </w:r>
      <w:proofErr w:type="spellStart"/>
      <w:r w:rsidRPr="005A2FD9">
        <w:rPr>
          <w:rFonts w:ascii="inherit" w:eastAsia="Times New Roman" w:hAnsi="inherit" w:cs="Times New Roman"/>
          <w:color w:val="000000"/>
          <w:sz w:val="23"/>
          <w:szCs w:val="23"/>
          <w:bdr w:val="none" w:sz="0" w:space="0" w:color="auto" w:frame="1"/>
          <w:lang w:val="es-UY" w:eastAsia="es-UY"/>
        </w:rPr>
        <w:t>Arrizabalo</w:t>
      </w:r>
      <w:proofErr w:type="spellEnd"/>
      <w:r w:rsidRPr="005A2FD9">
        <w:rPr>
          <w:rFonts w:ascii="inherit" w:eastAsia="Times New Roman" w:hAnsi="inherit" w:cs="Times New Roman"/>
          <w:color w:val="000000"/>
          <w:sz w:val="23"/>
          <w:szCs w:val="23"/>
          <w:bdr w:val="none" w:sz="0" w:space="0" w:color="auto" w:frame="1"/>
          <w:lang w:val="es-UY" w:eastAsia="es-UY"/>
        </w:rPr>
        <w:t xml:space="preserve"> (España) en diferentes medios impresos de América Latina.</w:t>
      </w:r>
    </w:p>
    <w:p w:rsidR="005A2FD9" w:rsidRDefault="005A2FD9" w:rsidP="005A2FD9">
      <w:pPr>
        <w:spacing w:after="0" w:line="240" w:lineRule="auto"/>
        <w:jc w:val="both"/>
        <w:textAlignment w:val="baseline"/>
        <w:rPr>
          <w:rFonts w:ascii="inherit" w:eastAsia="Times New Roman" w:hAnsi="inherit" w:cs="Times New Roman"/>
          <w:color w:val="000000"/>
          <w:sz w:val="23"/>
          <w:szCs w:val="23"/>
          <w:bdr w:val="none" w:sz="0" w:space="0" w:color="auto" w:frame="1"/>
          <w:lang w:val="es-UY" w:eastAsia="es-UY"/>
        </w:rPr>
      </w:pPr>
    </w:p>
    <w:p w:rsidR="005A2FD9" w:rsidRPr="005A2FD9" w:rsidRDefault="005A2FD9" w:rsidP="005A2FD9">
      <w:pPr>
        <w:spacing w:after="0" w:line="240" w:lineRule="auto"/>
        <w:jc w:val="both"/>
        <w:textAlignment w:val="baseline"/>
        <w:rPr>
          <w:rFonts w:ascii="inherit" w:eastAsia="Times New Roman" w:hAnsi="inherit" w:cs="Times New Roman"/>
          <w:sz w:val="23"/>
          <w:szCs w:val="23"/>
          <w:lang w:val="es-UY" w:eastAsia="es-UY"/>
        </w:rPr>
      </w:pPr>
      <w:hyperlink r:id="rId4" w:history="1">
        <w:r>
          <w:rPr>
            <w:rStyle w:val="Hipervnculo"/>
          </w:rPr>
          <w:t>https://www.terkos2020.com/post/por-una-condonaci%C3%B3n-de-la-deuda-p%C3%BAblica-externa-de-am%C3%A9rica-latina</w:t>
        </w:r>
      </w:hyperlink>
    </w:p>
    <w:sectPr w:rsidR="005A2FD9" w:rsidRPr="005A2FD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D9"/>
    <w:rsid w:val="002E2F5B"/>
    <w:rsid w:val="005A2FD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14A6C"/>
  <w15:chartTrackingRefBased/>
  <w15:docId w15:val="{928F424C-42F1-49F3-BB9C-A1B66ABF4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A2F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6922623">
      <w:bodyDiv w:val="1"/>
      <w:marLeft w:val="0"/>
      <w:marRight w:val="0"/>
      <w:marTop w:val="0"/>
      <w:marBottom w:val="0"/>
      <w:divBdr>
        <w:top w:val="none" w:sz="0" w:space="0" w:color="auto"/>
        <w:left w:val="none" w:sz="0" w:space="0" w:color="auto"/>
        <w:bottom w:val="none" w:sz="0" w:space="0" w:color="auto"/>
        <w:right w:val="none" w:sz="0" w:space="0" w:color="auto"/>
      </w:divBdr>
      <w:divsChild>
        <w:div w:id="1968392172">
          <w:marLeft w:val="0"/>
          <w:marRight w:val="0"/>
          <w:marTop w:val="0"/>
          <w:marBottom w:val="0"/>
          <w:divBdr>
            <w:top w:val="none" w:sz="0" w:space="0" w:color="auto"/>
            <w:left w:val="none" w:sz="0" w:space="0" w:color="auto"/>
            <w:bottom w:val="none" w:sz="0" w:space="0" w:color="auto"/>
            <w:right w:val="none" w:sz="0" w:space="0" w:color="auto"/>
          </w:divBdr>
          <w:divsChild>
            <w:div w:id="1075518242">
              <w:marLeft w:val="0"/>
              <w:marRight w:val="0"/>
              <w:marTop w:val="405"/>
              <w:marBottom w:val="0"/>
              <w:divBdr>
                <w:top w:val="none" w:sz="0" w:space="0" w:color="auto"/>
                <w:left w:val="none" w:sz="0" w:space="0" w:color="auto"/>
                <w:bottom w:val="none" w:sz="0" w:space="0" w:color="auto"/>
                <w:right w:val="none" w:sz="0" w:space="0" w:color="auto"/>
              </w:divBdr>
            </w:div>
          </w:divsChild>
        </w:div>
        <w:div w:id="934484856">
          <w:marLeft w:val="0"/>
          <w:marRight w:val="0"/>
          <w:marTop w:val="375"/>
          <w:marBottom w:val="0"/>
          <w:divBdr>
            <w:top w:val="none" w:sz="0" w:space="0" w:color="auto"/>
            <w:left w:val="none" w:sz="0" w:space="0" w:color="auto"/>
            <w:bottom w:val="none" w:sz="0" w:space="0" w:color="auto"/>
            <w:right w:val="none" w:sz="0" w:space="0" w:color="auto"/>
          </w:divBdr>
          <w:divsChild>
            <w:div w:id="50233321">
              <w:marLeft w:val="0"/>
              <w:marRight w:val="0"/>
              <w:marTop w:val="0"/>
              <w:marBottom w:val="0"/>
              <w:divBdr>
                <w:top w:val="none" w:sz="0" w:space="0" w:color="auto"/>
                <w:left w:val="none" w:sz="0" w:space="0" w:color="auto"/>
                <w:bottom w:val="none" w:sz="0" w:space="0" w:color="auto"/>
                <w:right w:val="none" w:sz="0" w:space="0" w:color="auto"/>
              </w:divBdr>
              <w:divsChild>
                <w:div w:id="1781945900">
                  <w:marLeft w:val="0"/>
                  <w:marRight w:val="0"/>
                  <w:marTop w:val="0"/>
                  <w:marBottom w:val="0"/>
                  <w:divBdr>
                    <w:top w:val="none" w:sz="0" w:space="0" w:color="auto"/>
                    <w:left w:val="none" w:sz="0" w:space="0" w:color="auto"/>
                    <w:bottom w:val="none" w:sz="0" w:space="0" w:color="auto"/>
                    <w:right w:val="none" w:sz="0" w:space="0" w:color="auto"/>
                  </w:divBdr>
                  <w:divsChild>
                    <w:div w:id="1145051651">
                      <w:marLeft w:val="0"/>
                      <w:marRight w:val="0"/>
                      <w:marTop w:val="0"/>
                      <w:marBottom w:val="0"/>
                      <w:divBdr>
                        <w:top w:val="none" w:sz="0" w:space="0" w:color="auto"/>
                        <w:left w:val="none" w:sz="0" w:space="0" w:color="auto"/>
                        <w:bottom w:val="none" w:sz="0" w:space="0" w:color="auto"/>
                        <w:right w:val="none" w:sz="0" w:space="0" w:color="auto"/>
                      </w:divBdr>
                      <w:divsChild>
                        <w:div w:id="1150752981">
                          <w:marLeft w:val="0"/>
                          <w:marRight w:val="0"/>
                          <w:marTop w:val="0"/>
                          <w:marBottom w:val="0"/>
                          <w:divBdr>
                            <w:top w:val="none" w:sz="0" w:space="0" w:color="auto"/>
                            <w:left w:val="none" w:sz="0" w:space="0" w:color="auto"/>
                            <w:bottom w:val="none" w:sz="0" w:space="0" w:color="auto"/>
                            <w:right w:val="none" w:sz="0" w:space="0" w:color="auto"/>
                          </w:divBdr>
                          <w:divsChild>
                            <w:div w:id="1335649776">
                              <w:marLeft w:val="0"/>
                              <w:marRight w:val="0"/>
                              <w:marTop w:val="0"/>
                              <w:marBottom w:val="0"/>
                              <w:divBdr>
                                <w:top w:val="none" w:sz="0" w:space="0" w:color="auto"/>
                                <w:left w:val="none" w:sz="0" w:space="0" w:color="auto"/>
                                <w:bottom w:val="none" w:sz="0" w:space="0" w:color="auto"/>
                                <w:right w:val="none" w:sz="0" w:space="0" w:color="auto"/>
                              </w:divBdr>
                            </w:div>
                            <w:div w:id="1154369956">
                              <w:marLeft w:val="0"/>
                              <w:marRight w:val="0"/>
                              <w:marTop w:val="0"/>
                              <w:marBottom w:val="0"/>
                              <w:divBdr>
                                <w:top w:val="none" w:sz="0" w:space="0" w:color="auto"/>
                                <w:left w:val="none" w:sz="0" w:space="0" w:color="auto"/>
                                <w:bottom w:val="none" w:sz="0" w:space="0" w:color="auto"/>
                                <w:right w:val="none" w:sz="0" w:space="0" w:color="auto"/>
                              </w:divBdr>
                            </w:div>
                            <w:div w:id="1181511612">
                              <w:marLeft w:val="0"/>
                              <w:marRight w:val="0"/>
                              <w:marTop w:val="0"/>
                              <w:marBottom w:val="0"/>
                              <w:divBdr>
                                <w:top w:val="none" w:sz="0" w:space="0" w:color="auto"/>
                                <w:left w:val="none" w:sz="0" w:space="0" w:color="auto"/>
                                <w:bottom w:val="none" w:sz="0" w:space="0" w:color="auto"/>
                                <w:right w:val="none" w:sz="0" w:space="0" w:color="auto"/>
                              </w:divBdr>
                            </w:div>
                            <w:div w:id="670260065">
                              <w:marLeft w:val="0"/>
                              <w:marRight w:val="0"/>
                              <w:marTop w:val="0"/>
                              <w:marBottom w:val="0"/>
                              <w:divBdr>
                                <w:top w:val="none" w:sz="0" w:space="0" w:color="auto"/>
                                <w:left w:val="none" w:sz="0" w:space="0" w:color="auto"/>
                                <w:bottom w:val="none" w:sz="0" w:space="0" w:color="auto"/>
                                <w:right w:val="none" w:sz="0" w:space="0" w:color="auto"/>
                              </w:divBdr>
                            </w:div>
                            <w:div w:id="1189024325">
                              <w:marLeft w:val="0"/>
                              <w:marRight w:val="0"/>
                              <w:marTop w:val="0"/>
                              <w:marBottom w:val="0"/>
                              <w:divBdr>
                                <w:top w:val="none" w:sz="0" w:space="0" w:color="auto"/>
                                <w:left w:val="none" w:sz="0" w:space="0" w:color="auto"/>
                                <w:bottom w:val="none" w:sz="0" w:space="0" w:color="auto"/>
                                <w:right w:val="none" w:sz="0" w:space="0" w:color="auto"/>
                              </w:divBdr>
                            </w:div>
                            <w:div w:id="1898466390">
                              <w:marLeft w:val="0"/>
                              <w:marRight w:val="0"/>
                              <w:marTop w:val="0"/>
                              <w:marBottom w:val="0"/>
                              <w:divBdr>
                                <w:top w:val="none" w:sz="0" w:space="0" w:color="auto"/>
                                <w:left w:val="none" w:sz="0" w:space="0" w:color="auto"/>
                                <w:bottom w:val="none" w:sz="0" w:space="0" w:color="auto"/>
                                <w:right w:val="none" w:sz="0" w:space="0" w:color="auto"/>
                              </w:divBdr>
                            </w:div>
                            <w:div w:id="236592359">
                              <w:marLeft w:val="0"/>
                              <w:marRight w:val="0"/>
                              <w:marTop w:val="0"/>
                              <w:marBottom w:val="0"/>
                              <w:divBdr>
                                <w:top w:val="none" w:sz="0" w:space="0" w:color="auto"/>
                                <w:left w:val="none" w:sz="0" w:space="0" w:color="auto"/>
                                <w:bottom w:val="none" w:sz="0" w:space="0" w:color="auto"/>
                                <w:right w:val="none" w:sz="0" w:space="0" w:color="auto"/>
                              </w:divBdr>
                            </w:div>
                            <w:div w:id="1311710696">
                              <w:marLeft w:val="0"/>
                              <w:marRight w:val="0"/>
                              <w:marTop w:val="0"/>
                              <w:marBottom w:val="0"/>
                              <w:divBdr>
                                <w:top w:val="none" w:sz="0" w:space="0" w:color="auto"/>
                                <w:left w:val="none" w:sz="0" w:space="0" w:color="auto"/>
                                <w:bottom w:val="none" w:sz="0" w:space="0" w:color="auto"/>
                                <w:right w:val="none" w:sz="0" w:space="0" w:color="auto"/>
                              </w:divBdr>
                            </w:div>
                            <w:div w:id="1636908609">
                              <w:marLeft w:val="0"/>
                              <w:marRight w:val="0"/>
                              <w:marTop w:val="0"/>
                              <w:marBottom w:val="0"/>
                              <w:divBdr>
                                <w:top w:val="none" w:sz="0" w:space="0" w:color="auto"/>
                                <w:left w:val="none" w:sz="0" w:space="0" w:color="auto"/>
                                <w:bottom w:val="none" w:sz="0" w:space="0" w:color="auto"/>
                                <w:right w:val="none" w:sz="0" w:space="0" w:color="auto"/>
                              </w:divBdr>
                            </w:div>
                            <w:div w:id="1477725326">
                              <w:marLeft w:val="0"/>
                              <w:marRight w:val="0"/>
                              <w:marTop w:val="0"/>
                              <w:marBottom w:val="0"/>
                              <w:divBdr>
                                <w:top w:val="none" w:sz="0" w:space="0" w:color="auto"/>
                                <w:left w:val="none" w:sz="0" w:space="0" w:color="auto"/>
                                <w:bottom w:val="none" w:sz="0" w:space="0" w:color="auto"/>
                                <w:right w:val="none" w:sz="0" w:space="0" w:color="auto"/>
                              </w:divBdr>
                            </w:div>
                            <w:div w:id="312224544">
                              <w:marLeft w:val="0"/>
                              <w:marRight w:val="0"/>
                              <w:marTop w:val="0"/>
                              <w:marBottom w:val="0"/>
                              <w:divBdr>
                                <w:top w:val="none" w:sz="0" w:space="0" w:color="auto"/>
                                <w:left w:val="none" w:sz="0" w:space="0" w:color="auto"/>
                                <w:bottom w:val="none" w:sz="0" w:space="0" w:color="auto"/>
                                <w:right w:val="none" w:sz="0" w:space="0" w:color="auto"/>
                              </w:divBdr>
                            </w:div>
                            <w:div w:id="202062743">
                              <w:marLeft w:val="0"/>
                              <w:marRight w:val="0"/>
                              <w:marTop w:val="0"/>
                              <w:marBottom w:val="0"/>
                              <w:divBdr>
                                <w:top w:val="none" w:sz="0" w:space="0" w:color="auto"/>
                                <w:left w:val="none" w:sz="0" w:space="0" w:color="auto"/>
                                <w:bottom w:val="none" w:sz="0" w:space="0" w:color="auto"/>
                                <w:right w:val="none" w:sz="0" w:space="0" w:color="auto"/>
                              </w:divBdr>
                            </w:div>
                            <w:div w:id="633798989">
                              <w:marLeft w:val="0"/>
                              <w:marRight w:val="0"/>
                              <w:marTop w:val="0"/>
                              <w:marBottom w:val="0"/>
                              <w:divBdr>
                                <w:top w:val="none" w:sz="0" w:space="0" w:color="auto"/>
                                <w:left w:val="none" w:sz="0" w:space="0" w:color="auto"/>
                                <w:bottom w:val="none" w:sz="0" w:space="0" w:color="auto"/>
                                <w:right w:val="none" w:sz="0" w:space="0" w:color="auto"/>
                              </w:divBdr>
                            </w:div>
                            <w:div w:id="155203143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1316952526">
          <w:marLeft w:val="0"/>
          <w:marRight w:val="0"/>
          <w:marTop w:val="0"/>
          <w:marBottom w:val="0"/>
          <w:divBdr>
            <w:top w:val="none" w:sz="0" w:space="0" w:color="auto"/>
            <w:left w:val="none" w:sz="0" w:space="0" w:color="auto"/>
            <w:bottom w:val="none" w:sz="0" w:space="0" w:color="auto"/>
            <w:right w:val="none" w:sz="0" w:space="0" w:color="auto"/>
          </w:divBdr>
          <w:divsChild>
            <w:div w:id="682586932">
              <w:marLeft w:val="0"/>
              <w:marRight w:val="0"/>
              <w:marTop w:val="750"/>
              <w:marBottom w:val="0"/>
              <w:divBdr>
                <w:top w:val="none" w:sz="0" w:space="0" w:color="auto"/>
                <w:left w:val="none" w:sz="0" w:space="0" w:color="auto"/>
                <w:bottom w:val="none" w:sz="0" w:space="0" w:color="auto"/>
                <w:right w:val="none" w:sz="0" w:space="0" w:color="auto"/>
              </w:divBdr>
              <w:divsChild>
                <w:div w:id="443185195">
                  <w:marLeft w:val="0"/>
                  <w:marRight w:val="0"/>
                  <w:marTop w:val="0"/>
                  <w:marBottom w:val="0"/>
                  <w:divBdr>
                    <w:top w:val="none" w:sz="0" w:space="0" w:color="auto"/>
                    <w:left w:val="none" w:sz="0" w:space="0" w:color="auto"/>
                    <w:bottom w:val="none" w:sz="0" w:space="0" w:color="auto"/>
                    <w:right w:val="none" w:sz="0" w:space="0" w:color="auto"/>
                  </w:divBdr>
                  <w:divsChild>
                    <w:div w:id="171357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erkos2020.com/post/por-una-condonaci%C3%B3n-de-la-deuda-p%C3%BAblica-externa-de-am%C3%A9rica-latin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1348</Words>
  <Characters>7418</Characters>
  <Application>Microsoft Office Word</Application>
  <DocSecurity>0</DocSecurity>
  <Lines>61</Lines>
  <Paragraphs>17</Paragraphs>
  <ScaleCrop>false</ScaleCrop>
  <HeadingPairs>
    <vt:vector size="4" baseType="variant">
      <vt:variant>
        <vt:lpstr>Título</vt:lpstr>
      </vt:variant>
      <vt:variant>
        <vt:i4>1</vt:i4>
      </vt:variant>
      <vt:variant>
        <vt:lpstr>Títulos</vt:lpstr>
      </vt:variant>
      <vt:variant>
        <vt:i4>7</vt:i4>
      </vt:variant>
    </vt:vector>
  </HeadingPairs>
  <TitlesOfParts>
    <vt:vector size="8" baseType="lpstr">
      <vt:lpstr/>
      <vt:lpstr>POR UNA CONDONACIÓN DE LA DEUDA PÚBLICA EXTERNA DE AMÉRICA LATINA</vt:lpstr>
      <vt:lpstr>        1. El crecimiento económico como política y el endeudamiento como adicción</vt:lpstr>
      <vt:lpstr>    2. El pago de la deuda como genocidio </vt:lpstr>
      <vt:lpstr>    3. Las crisis de deuda y su papel como estrategias de sometimiento</vt:lpstr>
      <vt:lpstr>    4. El Acuerdo de Londres de 1953</vt:lpstr>
      <vt:lpstr>    5. El Fondo Monetario Internacional: la aparente paradoja de la condonación de l</vt:lpstr>
      <vt:lpstr>    6. Por una condonación de la deuda pública externa de América Latina.</vt:lpstr>
    </vt:vector>
  </TitlesOfParts>
  <Company/>
  <LinksUpToDate>false</LinksUpToDate>
  <CharactersWithSpaces>8749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2020-06-18T15:04:00Z</dcterms:created>
  <dcterms:modified xsi:type="dcterms:W3CDTF">2020-06-18T15:10:00Z</dcterms:modified>
</cp:coreProperties>
</file>