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BE0" w:rsidRPr="00BF3BE0" w:rsidRDefault="00BF3BE0" w:rsidP="00BF3BE0">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BF3BE0">
        <w:rPr>
          <w:rFonts w:ascii="Arial" w:eastAsia="Times New Roman" w:hAnsi="Arial" w:cs="Arial"/>
          <w:b/>
          <w:bCs/>
          <w:color w:val="222222"/>
          <w:lang w:val="es-UY" w:eastAsia="es-UY"/>
        </w:rPr>
        <w:t>El Espíritu es anunciado, el Pueblo no quedará solo</w:t>
      </w:r>
    </w:p>
    <w:p w:rsidR="00BF3BE0" w:rsidRPr="00BF3BE0" w:rsidRDefault="00BF3BE0" w:rsidP="00BF3BE0">
      <w:pPr>
        <w:shd w:val="clear" w:color="auto" w:fill="FFFFFF"/>
        <w:spacing w:after="0" w:line="240" w:lineRule="auto"/>
        <w:jc w:val="center"/>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DOMINGO SEXTO DE PASCUA – año “A”</w:t>
      </w:r>
    </w:p>
    <w:p w:rsidR="00BF3BE0" w:rsidRPr="00BF3BE0" w:rsidRDefault="00BF3BE0" w:rsidP="00BF3BE0">
      <w:pPr>
        <w:shd w:val="clear" w:color="auto" w:fill="FFFFFF"/>
        <w:spacing w:after="0" w:line="240" w:lineRule="auto"/>
        <w:jc w:val="right"/>
        <w:rPr>
          <w:rFonts w:ascii="Arial" w:eastAsia="Times New Roman" w:hAnsi="Arial" w:cs="Arial"/>
          <w:color w:val="222222"/>
          <w:sz w:val="24"/>
          <w:szCs w:val="24"/>
          <w:lang w:val="es-UY" w:eastAsia="es-UY"/>
        </w:rPr>
      </w:pPr>
      <w:r w:rsidRPr="00BF3BE0">
        <w:rPr>
          <w:rFonts w:ascii="Arial" w:eastAsia="Times New Roman" w:hAnsi="Arial" w:cs="Arial"/>
          <w:i/>
          <w:iCs/>
          <w:color w:val="222222"/>
          <w:sz w:val="24"/>
          <w:szCs w:val="24"/>
          <w:lang w:val="es-UY" w:eastAsia="es-UY"/>
        </w:rPr>
        <w:t>Eduardo de la Serna</w:t>
      </w:r>
    </w:p>
    <w:p w:rsidR="00BF3BE0" w:rsidRPr="00BF3BE0" w:rsidRDefault="00BF3BE0" w:rsidP="00BF3BE0">
      <w:pPr>
        <w:shd w:val="clear" w:color="auto" w:fill="FFFFFF"/>
        <w:spacing w:after="0" w:line="240" w:lineRule="auto"/>
        <w:jc w:val="right"/>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0" w:line="240" w:lineRule="auto"/>
        <w:jc w:val="center"/>
        <w:rPr>
          <w:rFonts w:ascii="Arial" w:eastAsia="Times New Roman" w:hAnsi="Arial" w:cs="Arial"/>
          <w:color w:val="222222"/>
          <w:sz w:val="24"/>
          <w:szCs w:val="24"/>
          <w:lang w:val="es-UY" w:eastAsia="es-UY"/>
        </w:rPr>
      </w:pPr>
      <w:r w:rsidRPr="00BF3BE0">
        <w:rPr>
          <w:rFonts w:ascii="Arial" w:eastAsia="Times New Roman" w:hAnsi="Arial" w:cs="Arial"/>
          <w:noProof/>
          <w:color w:val="1155CC"/>
          <w:sz w:val="24"/>
          <w:szCs w:val="24"/>
          <w:lang w:val="es-UY" w:eastAsia="es-UY"/>
        </w:rPr>
        <w:drawing>
          <wp:inline distT="0" distB="0" distL="0" distR="0" wp14:anchorId="54E0875B" wp14:editId="25782BD2">
            <wp:extent cx="2628900" cy="1739900"/>
            <wp:effectExtent l="0" t="0" r="0" b="0"/>
            <wp:docPr id="5" name="m_8350228498401356969_x0000_i1025">
              <a:hlinkClick xmlns:a="http://schemas.openxmlformats.org/drawingml/2006/main" r:id="rId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8350228498401356969_x0000_i10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28900" cy="1739900"/>
                    </a:xfrm>
                    <a:prstGeom prst="rect">
                      <a:avLst/>
                    </a:prstGeom>
                    <a:noFill/>
                    <a:ln>
                      <a:noFill/>
                    </a:ln>
                  </pic:spPr>
                </pic:pic>
              </a:graphicData>
            </a:graphic>
          </wp:inline>
        </w:drawing>
      </w:r>
    </w:p>
    <w:p w:rsidR="00BF3BE0" w:rsidRPr="00BF3BE0" w:rsidRDefault="00BF3BE0" w:rsidP="00BF3BE0">
      <w:pPr>
        <w:shd w:val="clear" w:color="auto" w:fill="FFFFFF"/>
        <w:spacing w:after="0" w:line="240" w:lineRule="auto"/>
        <w:jc w:val="right"/>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b/>
          <w:bCs/>
          <w:color w:val="222222"/>
          <w:sz w:val="24"/>
          <w:szCs w:val="24"/>
          <w:lang w:val="es-UY" w:eastAsia="es-UY"/>
        </w:rPr>
        <w:t>Lectura de los Hechos de los Apóstoles</w:t>
      </w:r>
      <w:r w:rsidRPr="00BF3BE0">
        <w:rPr>
          <w:rFonts w:ascii="Arial" w:eastAsia="Times New Roman" w:hAnsi="Arial" w:cs="Arial"/>
          <w:color w:val="222222"/>
          <w:sz w:val="24"/>
          <w:szCs w:val="24"/>
          <w:lang w:val="es-UY" w:eastAsia="es-UY"/>
        </w:rPr>
        <w:t>     8, 5-8. 14-17</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i/>
          <w:iCs/>
          <w:color w:val="222222"/>
          <w:sz w:val="24"/>
          <w:szCs w:val="24"/>
          <w:lang w:val="es-UY" w:eastAsia="es-UY"/>
        </w:rPr>
        <w:t>Resumen: los sumarios donde se sintetiza el ministerio de la Iglesia primitiva continúan; en este caso con la predicación de Felipe. Continuando lo hecho por los Doce, que a su vez hacen lo que hizo Jesús, y lo que más tarde hará Pablo, el anuncia de la “palabra” continúa y es garantizado por la Iglesia de Jerusalén.</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xml:space="preserve">Los breves textos de Hechos de los apóstoles siguen siendo la primera lectura del tiempo litúrgico de Pascua. En el texto de hoy, por otra </w:t>
      </w:r>
      <w:proofErr w:type="gramStart"/>
      <w:r w:rsidRPr="00BF3BE0">
        <w:rPr>
          <w:rFonts w:ascii="Arial" w:eastAsia="Times New Roman" w:hAnsi="Arial" w:cs="Arial"/>
          <w:color w:val="222222"/>
          <w:sz w:val="24"/>
          <w:szCs w:val="24"/>
          <w:lang w:val="es-UY" w:eastAsia="es-UY"/>
        </w:rPr>
        <w:t>parte</w:t>
      </w:r>
      <w:proofErr w:type="gramEnd"/>
      <w:r w:rsidRPr="00BF3BE0">
        <w:rPr>
          <w:rFonts w:ascii="Arial" w:eastAsia="Times New Roman" w:hAnsi="Arial" w:cs="Arial"/>
          <w:color w:val="222222"/>
          <w:sz w:val="24"/>
          <w:szCs w:val="24"/>
          <w:lang w:val="es-UY" w:eastAsia="es-UY"/>
        </w:rPr>
        <w:t xml:space="preserve"> hay una serie de elementos que es conveniente destacar para una mayor comprensión. Como se señaló la semana pasada, los siete se dirigen a Judea y Samaría, como ocurre en este caso con Felipe. El relato completo puede estructurarse de esta manera:</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A.</w:t>
      </w:r>
      <w:r w:rsidRPr="00BF3BE0">
        <w:rPr>
          <w:rFonts w:ascii="Times New Roman" w:eastAsia="Times New Roman" w:hAnsi="Times New Roman" w:cs="Times New Roman"/>
          <w:color w:val="222222"/>
          <w:sz w:val="24"/>
          <w:szCs w:val="24"/>
          <w:lang w:val="es-UY" w:eastAsia="es-UY"/>
        </w:rPr>
        <w:t>    </w:t>
      </w:r>
      <w:r w:rsidRPr="00BF3BE0">
        <w:rPr>
          <w:rFonts w:ascii="Arial" w:eastAsia="Times New Roman" w:hAnsi="Arial" w:cs="Arial"/>
          <w:color w:val="222222"/>
          <w:sz w:val="24"/>
          <w:szCs w:val="24"/>
          <w:lang w:val="es-UY" w:eastAsia="es-UY"/>
        </w:rPr>
        <w:t>Felipe predica en Samaría (8,5-8)</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B.</w:t>
      </w:r>
      <w:r w:rsidRPr="00BF3BE0">
        <w:rPr>
          <w:rFonts w:ascii="Times New Roman" w:eastAsia="Times New Roman" w:hAnsi="Times New Roman" w:cs="Times New Roman"/>
          <w:color w:val="222222"/>
          <w:sz w:val="24"/>
          <w:szCs w:val="24"/>
          <w:lang w:val="es-UY" w:eastAsia="es-UY"/>
        </w:rPr>
        <w:t>    </w:t>
      </w:r>
      <w:r w:rsidRPr="00BF3BE0">
        <w:rPr>
          <w:rFonts w:ascii="Arial" w:eastAsia="Times New Roman" w:hAnsi="Arial" w:cs="Arial"/>
          <w:color w:val="222222"/>
          <w:sz w:val="24"/>
          <w:szCs w:val="24"/>
          <w:lang w:val="es-UY" w:eastAsia="es-UY"/>
        </w:rPr>
        <w:t>Simón el Mago (8,9-13)</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C.</w:t>
      </w:r>
      <w:r w:rsidRPr="00BF3BE0">
        <w:rPr>
          <w:rFonts w:ascii="Times New Roman" w:eastAsia="Times New Roman" w:hAnsi="Times New Roman" w:cs="Times New Roman"/>
          <w:color w:val="222222"/>
          <w:sz w:val="24"/>
          <w:szCs w:val="24"/>
          <w:lang w:val="es-UY" w:eastAsia="es-UY"/>
        </w:rPr>
        <w:t>   </w:t>
      </w:r>
      <w:r w:rsidRPr="00BF3BE0">
        <w:rPr>
          <w:rFonts w:ascii="Arial" w:eastAsia="Times New Roman" w:hAnsi="Arial" w:cs="Arial"/>
          <w:color w:val="222222"/>
          <w:sz w:val="24"/>
          <w:szCs w:val="24"/>
          <w:lang w:val="es-UY" w:eastAsia="es-UY"/>
        </w:rPr>
        <w:t>Los enviados de Jerusalén imponen las manos y desciende el Espíritu Santo (9,14-14-17)</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B’   Simón el mago malinterpreta – los enviados vuelven a Jerusalén (8,18-25)</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A’   Felipe predica a un extranjero (8,26-40).</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Como se ve, la liturgia ha omitido los textos que hacen referencia a Simón, el Mago y la escena final de Felipe y el etíope.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Como se ha dicho en otros casos, la característica de la predicación de Felipe queda manifestada en “</w:t>
      </w:r>
      <w:r w:rsidRPr="00BF3BE0">
        <w:rPr>
          <w:rFonts w:ascii="Arial" w:eastAsia="Times New Roman" w:hAnsi="Arial" w:cs="Arial"/>
          <w:i/>
          <w:iCs/>
          <w:color w:val="222222"/>
          <w:sz w:val="24"/>
          <w:szCs w:val="24"/>
          <w:lang w:val="es-UY" w:eastAsia="es-UY"/>
        </w:rPr>
        <w:t>signos</w:t>
      </w:r>
      <w:r w:rsidRPr="00BF3BE0">
        <w:rPr>
          <w:rFonts w:ascii="Arial" w:eastAsia="Times New Roman" w:hAnsi="Arial" w:cs="Arial"/>
          <w:color w:val="222222"/>
          <w:sz w:val="24"/>
          <w:szCs w:val="24"/>
          <w:lang w:val="es-UY" w:eastAsia="es-UY"/>
        </w:rPr>
        <w:t>” (v.7.13) y estos mueven a la conversión. Es importante recordar que la fórmula “signos y prodigios” (acá insinuada en “</w:t>
      </w:r>
      <w:r w:rsidRPr="00BF3BE0">
        <w:rPr>
          <w:rFonts w:ascii="Arial" w:eastAsia="Times New Roman" w:hAnsi="Arial" w:cs="Arial"/>
          <w:i/>
          <w:iCs/>
          <w:color w:val="222222"/>
          <w:sz w:val="24"/>
          <w:szCs w:val="24"/>
          <w:lang w:val="es-UY" w:eastAsia="es-UY"/>
        </w:rPr>
        <w:t>signos</w:t>
      </w:r>
      <w:r w:rsidRPr="00BF3BE0">
        <w:rPr>
          <w:rFonts w:ascii="Arial" w:eastAsia="Times New Roman" w:hAnsi="Arial" w:cs="Arial"/>
          <w:color w:val="222222"/>
          <w:sz w:val="24"/>
          <w:szCs w:val="24"/>
          <w:lang w:val="es-UY" w:eastAsia="es-UY"/>
        </w:rPr>
        <w:t>”, y “</w:t>
      </w:r>
      <w:r w:rsidRPr="00BF3BE0">
        <w:rPr>
          <w:rFonts w:ascii="Arial" w:eastAsia="Times New Roman" w:hAnsi="Arial" w:cs="Arial"/>
          <w:i/>
          <w:iCs/>
          <w:color w:val="222222"/>
          <w:sz w:val="24"/>
          <w:szCs w:val="24"/>
          <w:lang w:val="es-UY" w:eastAsia="es-UY"/>
        </w:rPr>
        <w:t>milagros</w:t>
      </w:r>
      <w:r w:rsidRPr="00BF3BE0">
        <w:rPr>
          <w:rFonts w:ascii="Arial" w:eastAsia="Times New Roman" w:hAnsi="Arial" w:cs="Arial"/>
          <w:color w:val="222222"/>
          <w:sz w:val="24"/>
          <w:szCs w:val="24"/>
          <w:lang w:val="es-UY" w:eastAsia="es-UY"/>
        </w:rPr>
        <w:t>” aunque no expresamente presentada) alude a la vocación profética de la Iglesia.</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Los signos que Felipe realiza son “conocidos”: expulsa espíritus impuros, los paralíticos son curados, y hay una “</w:t>
      </w:r>
      <w:r w:rsidRPr="00BF3BE0">
        <w:rPr>
          <w:rFonts w:ascii="Arial" w:eastAsia="Times New Roman" w:hAnsi="Arial" w:cs="Arial"/>
          <w:i/>
          <w:iCs/>
          <w:color w:val="222222"/>
          <w:sz w:val="24"/>
          <w:szCs w:val="24"/>
          <w:lang w:val="es-UY" w:eastAsia="es-UY"/>
        </w:rPr>
        <w:t>gran alegría</w:t>
      </w:r>
      <w:r w:rsidRPr="00BF3BE0">
        <w:rPr>
          <w:rFonts w:ascii="Arial" w:eastAsia="Times New Roman" w:hAnsi="Arial" w:cs="Arial"/>
          <w:color w:val="222222"/>
          <w:sz w:val="24"/>
          <w:szCs w:val="24"/>
          <w:lang w:val="es-UY" w:eastAsia="es-UY"/>
        </w:rPr>
        <w:t xml:space="preserve">”; sin duda los Siete, como antes los Doce, y luego Pablo manifiestan una clara continuidad con el mensaje </w:t>
      </w:r>
      <w:r w:rsidRPr="00BF3BE0">
        <w:rPr>
          <w:rFonts w:ascii="Arial" w:eastAsia="Times New Roman" w:hAnsi="Arial" w:cs="Arial"/>
          <w:color w:val="222222"/>
          <w:sz w:val="24"/>
          <w:szCs w:val="24"/>
          <w:lang w:val="es-UY" w:eastAsia="es-UY"/>
        </w:rPr>
        <w:lastRenderedPageBreak/>
        <w:t>profético, con los signos de Jesús, y su clásica consecuencia en Lucas: la gran alegría (</w:t>
      </w:r>
      <w:proofErr w:type="spellStart"/>
      <w:r w:rsidRPr="00BF3BE0">
        <w:rPr>
          <w:rFonts w:ascii="Arial" w:eastAsia="Times New Roman" w:hAnsi="Arial" w:cs="Arial"/>
          <w:color w:val="222222"/>
          <w:sz w:val="24"/>
          <w:szCs w:val="24"/>
          <w:lang w:val="es-UY" w:eastAsia="es-UY"/>
        </w:rPr>
        <w:t>Lc</w:t>
      </w:r>
      <w:proofErr w:type="spellEnd"/>
      <w:r w:rsidRPr="00BF3BE0">
        <w:rPr>
          <w:rFonts w:ascii="Arial" w:eastAsia="Times New Roman" w:hAnsi="Arial" w:cs="Arial"/>
          <w:color w:val="222222"/>
          <w:sz w:val="24"/>
          <w:szCs w:val="24"/>
          <w:lang w:val="es-UY" w:eastAsia="es-UY"/>
        </w:rPr>
        <w:t xml:space="preserve"> 2,10; </w:t>
      </w:r>
      <w:proofErr w:type="spellStart"/>
      <w:r w:rsidRPr="00BF3BE0">
        <w:rPr>
          <w:rFonts w:ascii="Arial" w:eastAsia="Times New Roman" w:hAnsi="Arial" w:cs="Arial"/>
          <w:color w:val="222222"/>
          <w:sz w:val="24"/>
          <w:szCs w:val="24"/>
          <w:lang w:val="es-UY" w:eastAsia="es-UY"/>
        </w:rPr>
        <w:t>Hch</w:t>
      </w:r>
      <w:proofErr w:type="spellEnd"/>
      <w:r w:rsidRPr="00BF3BE0">
        <w:rPr>
          <w:rFonts w:ascii="Arial" w:eastAsia="Times New Roman" w:hAnsi="Arial" w:cs="Arial"/>
          <w:color w:val="222222"/>
          <w:sz w:val="24"/>
          <w:szCs w:val="24"/>
          <w:lang w:val="es-UY" w:eastAsia="es-UY"/>
        </w:rPr>
        <w:t xml:space="preserve"> 15,13).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Como se ve, Lucas presenta simplemente un sumario en la primera parte señalando de un modo genérico la predicación de Felipe (cf. 5,12-16; 11,19-21), más adelante lo hará con Pablo, quien también se enfrenta con un mago (13,4-12) y realiza signos y prodigios (15,12).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Enterados de esto, los apóstoles (que en Lucas son “los Doce”) envían delegados: en este caso Pedro y Juan. Si la misión empieza a partir de la donación del Espíritu, estos serán los encargados de orar “</w:t>
      </w:r>
      <w:r w:rsidRPr="00BF3BE0">
        <w:rPr>
          <w:rFonts w:ascii="Arial" w:eastAsia="Times New Roman" w:hAnsi="Arial" w:cs="Arial"/>
          <w:i/>
          <w:iCs/>
          <w:color w:val="222222"/>
          <w:sz w:val="24"/>
          <w:szCs w:val="24"/>
          <w:lang w:val="es-UY" w:eastAsia="es-UY"/>
        </w:rPr>
        <w:t>para que recibieran el Espíritu</w:t>
      </w:r>
      <w:r w:rsidRPr="00BF3BE0">
        <w:rPr>
          <w:rFonts w:ascii="Arial" w:eastAsia="Times New Roman" w:hAnsi="Arial" w:cs="Arial"/>
          <w:color w:val="222222"/>
          <w:sz w:val="24"/>
          <w:szCs w:val="24"/>
          <w:lang w:val="es-UY" w:eastAsia="es-UY"/>
        </w:rPr>
        <w:t>” (v.15). Como se vio la semana pasada, esto ocurre por la imposición de las manos.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Un tema importante el Hechos que está supuesto aquí es la centralidad de la Iglesia de Jerusalén. No sólo de allí sale la misión, sino que, cuando se generan nuevas comunidades, los Apóstoles se ven en la obligación de enviar delegados para dar una suerte de “aval” a lo que viene sucediendo (Jerusalén pide cuentas a Pedro por su obrar con Cornelio, 11,1-3), envía a Bernabé a ver lo que ocurre en Antioquía (11,22) reúne a los apóstoles con Pedro, Bernabé y otros para ver qué hacer con los paganos que reciben el bautismo sin exigirles la circuncisión (15,1-2)... Recién en el final del ministerio paulino Jerusalén habrá dejado su rol centralizador (28,25-29).</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240" w:line="240" w:lineRule="auto"/>
        <w:rPr>
          <w:rFonts w:ascii="Arial" w:eastAsia="Times New Roman" w:hAnsi="Arial" w:cs="Arial"/>
          <w:color w:val="222222"/>
          <w:sz w:val="24"/>
          <w:szCs w:val="24"/>
          <w:lang w:val="es-UY" w:eastAsia="es-UY"/>
        </w:rPr>
      </w:pPr>
      <w:r w:rsidRPr="00BF3BE0">
        <w:rPr>
          <w:rFonts w:ascii="Arial" w:eastAsia="Times New Roman" w:hAnsi="Arial" w:cs="Arial"/>
          <w:b/>
          <w:bCs/>
          <w:color w:val="222222"/>
          <w:sz w:val="24"/>
          <w:szCs w:val="24"/>
          <w:lang w:val="es-UY" w:eastAsia="es-UY"/>
        </w:rPr>
        <w:t>Lectura de la primera carta del apóstol san Pedro</w:t>
      </w:r>
      <w:r w:rsidRPr="00BF3BE0">
        <w:rPr>
          <w:rFonts w:ascii="Arial" w:eastAsia="Times New Roman" w:hAnsi="Arial" w:cs="Arial"/>
          <w:color w:val="222222"/>
          <w:sz w:val="24"/>
          <w:szCs w:val="24"/>
          <w:lang w:val="es-UY" w:eastAsia="es-UY"/>
        </w:rPr>
        <w:t>     3, 15-18</w:t>
      </w:r>
      <w:r w:rsidRPr="00BF3BE0">
        <w:rPr>
          <w:rFonts w:ascii="Arial" w:eastAsia="Times New Roman" w:hAnsi="Arial" w:cs="Arial"/>
          <w:color w:val="222222"/>
          <w:sz w:val="24"/>
          <w:szCs w:val="24"/>
          <w:lang w:val="es-UY" w:eastAsia="es-UY"/>
        </w:rPr>
        <w:br/>
      </w:r>
      <w:r w:rsidRPr="00BF3BE0">
        <w:rPr>
          <w:rFonts w:ascii="Arial" w:eastAsia="Times New Roman" w:hAnsi="Arial" w:cs="Arial"/>
          <w:color w:val="222222"/>
          <w:sz w:val="24"/>
          <w:szCs w:val="24"/>
          <w:lang w:val="es-UY" w:eastAsia="es-UY"/>
        </w:rPr>
        <w:br/>
      </w:r>
      <w:r w:rsidRPr="00BF3BE0">
        <w:rPr>
          <w:rFonts w:ascii="Arial" w:eastAsia="Times New Roman" w:hAnsi="Arial" w:cs="Arial"/>
          <w:i/>
          <w:iCs/>
          <w:color w:val="222222"/>
          <w:sz w:val="24"/>
          <w:szCs w:val="24"/>
          <w:lang w:val="es-UY" w:eastAsia="es-UY"/>
        </w:rPr>
        <w:t>Resumen: El autor invita a los destinatarios a una constante búsqueda del “bien”, aunque esto provoque sufrimiento. En este caso, será a semejanza de Cristo que fue matado, pero a su vez resucitado. Viviendo de ese modo, los creyentes harán visible y explícita la esperanza que los motiva.</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La unidad comienza en v.13 con una pregunta retórica que tiene en v.14 su respuesta en tono de bienaventuranza. El tema central (que es clave en toda la unidad) es “obrar el bien” (3,10.11.13.16[x2].17.21), esto implica una actitud de resistencia para no amoldarse a los comportamientos del medio ambiente y los poderosos a quienes se debe enfrentar desde la verdad, rechazando todo lo que oprima a las personas.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xml:space="preserve">Esto es calificado (literalmente) como “a Cristo Señor santificar en los corazones” (cf. </w:t>
      </w:r>
      <w:proofErr w:type="spellStart"/>
      <w:r w:rsidRPr="00BF3BE0">
        <w:rPr>
          <w:rFonts w:ascii="Arial" w:eastAsia="Times New Roman" w:hAnsi="Arial" w:cs="Arial"/>
          <w:color w:val="222222"/>
          <w:sz w:val="24"/>
          <w:szCs w:val="24"/>
          <w:lang w:val="es-UY" w:eastAsia="es-UY"/>
        </w:rPr>
        <w:t>Is</w:t>
      </w:r>
      <w:proofErr w:type="spellEnd"/>
      <w:r w:rsidRPr="00BF3BE0">
        <w:rPr>
          <w:rFonts w:ascii="Arial" w:eastAsia="Times New Roman" w:hAnsi="Arial" w:cs="Arial"/>
          <w:color w:val="222222"/>
          <w:sz w:val="24"/>
          <w:szCs w:val="24"/>
          <w:lang w:val="es-UY" w:eastAsia="es-UY"/>
        </w:rPr>
        <w:t xml:space="preserve"> 8,13). Notemos brevemente una comparación entre el texto de Isaías (en hebreo y en griego) y el texto de Pedro (desde el v.14)</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tbl>
      <w:tblPr>
        <w:tblW w:w="0" w:type="auto"/>
        <w:shd w:val="clear" w:color="auto" w:fill="FFFFFF"/>
        <w:tblCellMar>
          <w:left w:w="0" w:type="dxa"/>
          <w:right w:w="0" w:type="dxa"/>
        </w:tblCellMar>
        <w:tblLook w:val="04A0" w:firstRow="1" w:lastRow="0" w:firstColumn="1" w:lastColumn="0" w:noHBand="0" w:noVBand="1"/>
      </w:tblPr>
      <w:tblGrid>
        <w:gridCol w:w="2828"/>
        <w:gridCol w:w="2828"/>
        <w:gridCol w:w="2828"/>
      </w:tblGrid>
      <w:tr w:rsidR="00BF3BE0" w:rsidRPr="00BF3BE0" w:rsidTr="00BF3BE0">
        <w:tc>
          <w:tcPr>
            <w:tcW w:w="283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F3BE0" w:rsidRPr="00BF3BE0" w:rsidRDefault="00BF3BE0" w:rsidP="00BF3BE0">
            <w:pPr>
              <w:spacing w:after="0" w:line="240" w:lineRule="auto"/>
              <w:jc w:val="center"/>
              <w:rPr>
                <w:rFonts w:ascii="Helvetica" w:eastAsia="Times New Roman" w:hAnsi="Helvetica" w:cs="Helvetica"/>
                <w:color w:val="222222"/>
                <w:sz w:val="24"/>
                <w:szCs w:val="24"/>
                <w:lang w:val="es-UY" w:eastAsia="es-UY"/>
              </w:rPr>
            </w:pPr>
            <w:proofErr w:type="spellStart"/>
            <w:r w:rsidRPr="00BF3BE0">
              <w:rPr>
                <w:rFonts w:ascii="Arial" w:eastAsia="Times New Roman" w:hAnsi="Arial" w:cs="Arial"/>
                <w:color w:val="222222"/>
                <w:sz w:val="24"/>
                <w:szCs w:val="24"/>
                <w:lang w:val="es-UY" w:eastAsia="es-UY"/>
              </w:rPr>
              <w:t>Is</w:t>
            </w:r>
            <w:proofErr w:type="spellEnd"/>
            <w:r w:rsidRPr="00BF3BE0">
              <w:rPr>
                <w:rFonts w:ascii="Arial" w:eastAsia="Times New Roman" w:hAnsi="Arial" w:cs="Arial"/>
                <w:color w:val="222222"/>
                <w:sz w:val="24"/>
                <w:szCs w:val="24"/>
                <w:lang w:val="es-UY" w:eastAsia="es-UY"/>
              </w:rPr>
              <w:t xml:space="preserve"> 8,13 (hebreo)</w:t>
            </w:r>
          </w:p>
        </w:tc>
        <w:tc>
          <w:tcPr>
            <w:tcW w:w="283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BF3BE0" w:rsidRPr="00BF3BE0" w:rsidRDefault="00BF3BE0" w:rsidP="00BF3BE0">
            <w:pPr>
              <w:spacing w:after="0" w:line="240" w:lineRule="auto"/>
              <w:jc w:val="center"/>
              <w:rPr>
                <w:rFonts w:ascii="Helvetica" w:eastAsia="Times New Roman" w:hAnsi="Helvetica" w:cs="Helvetica"/>
                <w:color w:val="222222"/>
                <w:sz w:val="24"/>
                <w:szCs w:val="24"/>
                <w:lang w:val="es-UY" w:eastAsia="es-UY"/>
              </w:rPr>
            </w:pPr>
            <w:proofErr w:type="spellStart"/>
            <w:r w:rsidRPr="00BF3BE0">
              <w:rPr>
                <w:rFonts w:ascii="Arial" w:eastAsia="Times New Roman" w:hAnsi="Arial" w:cs="Arial"/>
                <w:color w:val="222222"/>
                <w:sz w:val="24"/>
                <w:szCs w:val="24"/>
                <w:lang w:val="es-UY" w:eastAsia="es-UY"/>
              </w:rPr>
              <w:t>Is</w:t>
            </w:r>
            <w:proofErr w:type="spellEnd"/>
            <w:r w:rsidRPr="00BF3BE0">
              <w:rPr>
                <w:rFonts w:ascii="Arial" w:eastAsia="Times New Roman" w:hAnsi="Arial" w:cs="Arial"/>
                <w:color w:val="222222"/>
                <w:sz w:val="24"/>
                <w:szCs w:val="24"/>
                <w:lang w:val="es-UY" w:eastAsia="es-UY"/>
              </w:rPr>
              <w:t xml:space="preserve"> 8,13 (griego)</w:t>
            </w:r>
          </w:p>
        </w:tc>
        <w:tc>
          <w:tcPr>
            <w:tcW w:w="283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BF3BE0" w:rsidRPr="00BF3BE0" w:rsidRDefault="00BF3BE0" w:rsidP="00BF3BE0">
            <w:pPr>
              <w:spacing w:after="0" w:line="240" w:lineRule="auto"/>
              <w:jc w:val="center"/>
              <w:rPr>
                <w:rFonts w:ascii="Helvetica" w:eastAsia="Times New Roman" w:hAnsi="Helvetica" w:cs="Helvetica"/>
                <w:color w:val="222222"/>
                <w:sz w:val="24"/>
                <w:szCs w:val="24"/>
                <w:lang w:val="es-UY" w:eastAsia="es-UY"/>
              </w:rPr>
            </w:pPr>
            <w:r w:rsidRPr="00BF3BE0">
              <w:rPr>
                <w:rFonts w:ascii="Arial" w:eastAsia="Times New Roman" w:hAnsi="Arial" w:cs="Arial"/>
                <w:color w:val="222222"/>
                <w:sz w:val="24"/>
                <w:szCs w:val="24"/>
                <w:lang w:val="es-UY" w:eastAsia="es-UY"/>
              </w:rPr>
              <w:t>1 Pe 3,14-15</w:t>
            </w:r>
          </w:p>
        </w:tc>
      </w:tr>
      <w:tr w:rsidR="00BF3BE0" w:rsidRPr="00BF3BE0" w:rsidTr="00BF3BE0">
        <w:tc>
          <w:tcPr>
            <w:tcW w:w="28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F3BE0" w:rsidRPr="00BF3BE0" w:rsidRDefault="00BF3BE0" w:rsidP="00BF3BE0">
            <w:pPr>
              <w:spacing w:after="0" w:line="240" w:lineRule="auto"/>
              <w:jc w:val="both"/>
              <w:rPr>
                <w:rFonts w:ascii="Helvetica" w:eastAsia="Times New Roman" w:hAnsi="Helvetica" w:cs="Helvetica"/>
                <w:color w:val="222222"/>
                <w:sz w:val="24"/>
                <w:szCs w:val="24"/>
                <w:lang w:val="es-UY" w:eastAsia="es-UY"/>
              </w:rPr>
            </w:pPr>
            <w:r w:rsidRPr="00BF3BE0">
              <w:rPr>
                <w:rFonts w:ascii="Arial" w:eastAsia="Times New Roman" w:hAnsi="Arial" w:cs="Arial"/>
                <w:color w:val="222222"/>
                <w:sz w:val="24"/>
                <w:szCs w:val="24"/>
                <w:lang w:val="es-UY" w:eastAsia="es-UY"/>
              </w:rPr>
              <w:t xml:space="preserve">A Yahvé </w:t>
            </w:r>
            <w:proofErr w:type="spellStart"/>
            <w:r w:rsidRPr="00BF3BE0">
              <w:rPr>
                <w:rFonts w:ascii="Arial" w:eastAsia="Times New Roman" w:hAnsi="Arial" w:cs="Arial"/>
                <w:color w:val="222222"/>
                <w:sz w:val="24"/>
                <w:szCs w:val="24"/>
                <w:lang w:val="es-UY" w:eastAsia="es-UY"/>
              </w:rPr>
              <w:t>Sebaot</w:t>
            </w:r>
            <w:proofErr w:type="spellEnd"/>
            <w:r w:rsidRPr="00BF3BE0">
              <w:rPr>
                <w:rFonts w:ascii="Arial" w:eastAsia="Times New Roman" w:hAnsi="Arial" w:cs="Arial"/>
                <w:color w:val="222222"/>
                <w:sz w:val="24"/>
                <w:szCs w:val="24"/>
                <w:lang w:val="es-UY" w:eastAsia="es-UY"/>
              </w:rPr>
              <w:t xml:space="preserve"> tengan por santo (</w:t>
            </w:r>
            <w:proofErr w:type="spellStart"/>
            <w:r w:rsidRPr="00BF3BE0">
              <w:rPr>
                <w:rFonts w:ascii="Arial" w:eastAsia="Times New Roman" w:hAnsi="Arial" w:cs="Arial"/>
                <w:color w:val="222222"/>
                <w:sz w:val="24"/>
                <w:szCs w:val="24"/>
                <w:lang w:val="es-UY" w:eastAsia="es-UY"/>
              </w:rPr>
              <w:t>kadôs</w:t>
            </w:r>
            <w:proofErr w:type="spellEnd"/>
            <w:r w:rsidRPr="00BF3BE0">
              <w:rPr>
                <w:rFonts w:ascii="Arial" w:eastAsia="Times New Roman" w:hAnsi="Arial" w:cs="Arial"/>
                <w:color w:val="222222"/>
                <w:sz w:val="24"/>
                <w:szCs w:val="24"/>
                <w:lang w:val="es-UY" w:eastAsia="es-UY"/>
              </w:rPr>
              <w:t>) y él sea el temor y el temblor de ustedes [</w:t>
            </w:r>
            <w:r w:rsidRPr="00BF3BE0">
              <w:rPr>
                <w:rFonts w:ascii="Arial" w:eastAsia="Times New Roman" w:hAnsi="Arial" w:cs="Arial"/>
                <w:i/>
                <w:iCs/>
                <w:color w:val="222222"/>
                <w:sz w:val="24"/>
                <w:szCs w:val="24"/>
                <w:lang w:val="es-UY" w:eastAsia="es-UY"/>
              </w:rPr>
              <w:t>ambos términos hebreos frecuentemente son traducidos al griego como “</w:t>
            </w:r>
            <w:proofErr w:type="spellStart"/>
            <w:r w:rsidRPr="00BF3BE0">
              <w:rPr>
                <w:rFonts w:ascii="Arial" w:eastAsia="Times New Roman" w:hAnsi="Arial" w:cs="Arial"/>
                <w:i/>
                <w:iCs/>
                <w:color w:val="222222"/>
                <w:sz w:val="24"/>
                <w:szCs w:val="24"/>
                <w:lang w:val="es-UY" w:eastAsia="es-UY"/>
              </w:rPr>
              <w:t>fóbos</w:t>
            </w:r>
            <w:proofErr w:type="spellEnd"/>
            <w:r w:rsidRPr="00BF3BE0">
              <w:rPr>
                <w:rFonts w:ascii="Arial" w:eastAsia="Times New Roman" w:hAnsi="Arial" w:cs="Arial"/>
                <w:i/>
                <w:iCs/>
                <w:color w:val="222222"/>
                <w:sz w:val="24"/>
                <w:szCs w:val="24"/>
                <w:lang w:val="es-UY" w:eastAsia="es-UY"/>
              </w:rPr>
              <w:t>”</w:t>
            </w:r>
            <w:r w:rsidRPr="00BF3BE0">
              <w:rPr>
                <w:rFonts w:ascii="Arial" w:eastAsia="Times New Roman" w:hAnsi="Arial" w:cs="Arial"/>
                <w:color w:val="222222"/>
                <w:sz w:val="24"/>
                <w:szCs w:val="24"/>
                <w:lang w:val="es-UY" w:eastAsia="es-UY"/>
              </w:rPr>
              <w:t>].</w:t>
            </w:r>
          </w:p>
        </w:tc>
        <w:tc>
          <w:tcPr>
            <w:tcW w:w="283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F3BE0" w:rsidRPr="00BF3BE0" w:rsidRDefault="00BF3BE0" w:rsidP="00BF3BE0">
            <w:pPr>
              <w:spacing w:after="0" w:line="240" w:lineRule="auto"/>
              <w:jc w:val="both"/>
              <w:rPr>
                <w:rFonts w:ascii="Helvetica" w:eastAsia="Times New Roman" w:hAnsi="Helvetica" w:cs="Helvetica"/>
                <w:color w:val="222222"/>
                <w:sz w:val="24"/>
                <w:szCs w:val="24"/>
                <w:lang w:val="es-UY" w:eastAsia="es-UY"/>
              </w:rPr>
            </w:pPr>
            <w:r w:rsidRPr="00BF3BE0">
              <w:rPr>
                <w:rFonts w:ascii="Arial" w:eastAsia="Times New Roman" w:hAnsi="Arial" w:cs="Arial"/>
                <w:color w:val="222222"/>
                <w:sz w:val="24"/>
                <w:szCs w:val="24"/>
                <w:lang w:val="es-UY" w:eastAsia="es-UY"/>
              </w:rPr>
              <w:t>Al Señor santifíquenlo (</w:t>
            </w:r>
            <w:proofErr w:type="spellStart"/>
            <w:r w:rsidRPr="00BF3BE0">
              <w:rPr>
                <w:rFonts w:ascii="Arial" w:eastAsia="Times New Roman" w:hAnsi="Arial" w:cs="Arial"/>
                <w:i/>
                <w:iCs/>
                <w:color w:val="222222"/>
                <w:sz w:val="24"/>
                <w:szCs w:val="24"/>
                <w:lang w:val="es-UY" w:eastAsia="es-UY"/>
              </w:rPr>
              <w:t>hagiásate</w:t>
            </w:r>
            <w:proofErr w:type="spellEnd"/>
            <w:r w:rsidRPr="00BF3BE0">
              <w:rPr>
                <w:rFonts w:ascii="Arial" w:eastAsia="Times New Roman" w:hAnsi="Arial" w:cs="Arial"/>
                <w:color w:val="222222"/>
                <w:sz w:val="24"/>
                <w:szCs w:val="24"/>
                <w:lang w:val="es-UY" w:eastAsia="es-UY"/>
              </w:rPr>
              <w:t>) y él sea el temor (</w:t>
            </w:r>
            <w:proofErr w:type="spellStart"/>
            <w:r w:rsidRPr="00BF3BE0">
              <w:rPr>
                <w:rFonts w:ascii="Arial" w:eastAsia="Times New Roman" w:hAnsi="Arial" w:cs="Arial"/>
                <w:i/>
                <w:iCs/>
                <w:color w:val="222222"/>
                <w:sz w:val="24"/>
                <w:szCs w:val="24"/>
                <w:lang w:val="es-UY" w:eastAsia="es-UY"/>
              </w:rPr>
              <w:t>fóbos</w:t>
            </w:r>
            <w:proofErr w:type="spellEnd"/>
            <w:r w:rsidRPr="00BF3BE0">
              <w:rPr>
                <w:rFonts w:ascii="Arial" w:eastAsia="Times New Roman" w:hAnsi="Arial" w:cs="Arial"/>
                <w:color w:val="222222"/>
                <w:sz w:val="24"/>
                <w:szCs w:val="24"/>
                <w:lang w:val="es-UY" w:eastAsia="es-UY"/>
              </w:rPr>
              <w:t>) de ustedes</w:t>
            </w:r>
          </w:p>
        </w:tc>
        <w:tc>
          <w:tcPr>
            <w:tcW w:w="28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F3BE0" w:rsidRPr="00BF3BE0" w:rsidRDefault="00BF3BE0" w:rsidP="00BF3BE0">
            <w:pPr>
              <w:spacing w:after="0" w:line="240" w:lineRule="auto"/>
              <w:jc w:val="both"/>
              <w:rPr>
                <w:rFonts w:ascii="Helvetica" w:eastAsia="Times New Roman" w:hAnsi="Helvetica" w:cs="Helvetica"/>
                <w:color w:val="222222"/>
                <w:sz w:val="24"/>
                <w:szCs w:val="24"/>
                <w:lang w:val="es-UY" w:eastAsia="es-UY"/>
              </w:rPr>
            </w:pPr>
            <w:r w:rsidRPr="00BF3BE0">
              <w:rPr>
                <w:rFonts w:ascii="Arial" w:eastAsia="Times New Roman" w:hAnsi="Arial" w:cs="Arial"/>
                <w:color w:val="222222"/>
                <w:sz w:val="24"/>
                <w:szCs w:val="24"/>
                <w:lang w:val="es-UY" w:eastAsia="es-UY"/>
              </w:rPr>
              <w:t>… no les tengan ningún miedo (</w:t>
            </w:r>
            <w:proofErr w:type="spellStart"/>
            <w:r w:rsidRPr="00BF3BE0">
              <w:rPr>
                <w:rFonts w:ascii="Arial" w:eastAsia="Times New Roman" w:hAnsi="Arial" w:cs="Arial"/>
                <w:i/>
                <w:iCs/>
                <w:color w:val="222222"/>
                <w:sz w:val="24"/>
                <w:szCs w:val="24"/>
                <w:lang w:val="es-UY" w:eastAsia="es-UY"/>
              </w:rPr>
              <w:t>fobêthête</w:t>
            </w:r>
            <w:proofErr w:type="spellEnd"/>
            <w:r w:rsidRPr="00BF3BE0">
              <w:rPr>
                <w:rFonts w:ascii="Arial" w:eastAsia="Times New Roman" w:hAnsi="Arial" w:cs="Arial"/>
                <w:color w:val="222222"/>
                <w:sz w:val="24"/>
                <w:szCs w:val="24"/>
                <w:lang w:val="es-UY" w:eastAsia="es-UY"/>
              </w:rPr>
              <w:t>) ni se turben (</w:t>
            </w:r>
            <w:proofErr w:type="spellStart"/>
            <w:r w:rsidRPr="00BF3BE0">
              <w:rPr>
                <w:rFonts w:ascii="Arial" w:eastAsia="Times New Roman" w:hAnsi="Arial" w:cs="Arial"/>
                <w:i/>
                <w:iCs/>
                <w:color w:val="222222"/>
                <w:sz w:val="24"/>
                <w:szCs w:val="24"/>
                <w:lang w:val="es-UY" w:eastAsia="es-UY"/>
              </w:rPr>
              <w:t>tarajthête</w:t>
            </w:r>
            <w:proofErr w:type="spellEnd"/>
            <w:r w:rsidRPr="00BF3BE0">
              <w:rPr>
                <w:rFonts w:ascii="Arial" w:eastAsia="Times New Roman" w:hAnsi="Arial" w:cs="Arial"/>
                <w:color w:val="222222"/>
                <w:sz w:val="24"/>
                <w:szCs w:val="24"/>
                <w:lang w:val="es-UY" w:eastAsia="es-UY"/>
              </w:rPr>
              <w:t>), al contrario, al Señor Cristo santifiquen (</w:t>
            </w:r>
            <w:proofErr w:type="spellStart"/>
            <w:r w:rsidRPr="00BF3BE0">
              <w:rPr>
                <w:rFonts w:ascii="Arial" w:eastAsia="Times New Roman" w:hAnsi="Arial" w:cs="Arial"/>
                <w:i/>
                <w:iCs/>
                <w:color w:val="222222"/>
                <w:sz w:val="24"/>
                <w:szCs w:val="24"/>
                <w:lang w:val="es-UY" w:eastAsia="es-UY"/>
              </w:rPr>
              <w:t>hagiásate</w:t>
            </w:r>
            <w:proofErr w:type="spellEnd"/>
            <w:r w:rsidRPr="00BF3BE0">
              <w:rPr>
                <w:rFonts w:ascii="Arial" w:eastAsia="Times New Roman" w:hAnsi="Arial" w:cs="Arial"/>
                <w:color w:val="222222"/>
                <w:sz w:val="24"/>
                <w:szCs w:val="24"/>
                <w:lang w:val="es-UY" w:eastAsia="es-UY"/>
              </w:rPr>
              <w:t>) en sus corazones”</w:t>
            </w:r>
          </w:p>
        </w:tc>
      </w:tr>
    </w:tbl>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w:t>
      </w:r>
      <w:r w:rsidRPr="00BF3BE0">
        <w:rPr>
          <w:rFonts w:ascii="Arial" w:eastAsia="Times New Roman" w:hAnsi="Arial" w:cs="Arial"/>
          <w:i/>
          <w:iCs/>
          <w:color w:val="222222"/>
          <w:sz w:val="24"/>
          <w:szCs w:val="24"/>
          <w:lang w:val="es-UY" w:eastAsia="es-UY"/>
        </w:rPr>
        <w:t>Santificar</w:t>
      </w:r>
      <w:r w:rsidRPr="00BF3BE0">
        <w:rPr>
          <w:rFonts w:ascii="Arial" w:eastAsia="Times New Roman" w:hAnsi="Arial" w:cs="Arial"/>
          <w:color w:val="222222"/>
          <w:sz w:val="24"/>
          <w:szCs w:val="24"/>
          <w:lang w:val="es-UY" w:eastAsia="es-UY"/>
        </w:rPr>
        <w:t>” a quien es santo (y por parte de quienes no lo son) ha de entenderse en el sentido del Padrenuestro (“</w:t>
      </w:r>
      <w:r w:rsidRPr="00BF3BE0">
        <w:rPr>
          <w:rFonts w:ascii="Arial" w:eastAsia="Times New Roman" w:hAnsi="Arial" w:cs="Arial"/>
          <w:i/>
          <w:iCs/>
          <w:color w:val="222222"/>
          <w:sz w:val="24"/>
          <w:szCs w:val="24"/>
          <w:lang w:val="es-UY" w:eastAsia="es-UY"/>
        </w:rPr>
        <w:t>santificado sea tu nombre</w:t>
      </w:r>
      <w:r w:rsidRPr="00BF3BE0">
        <w:rPr>
          <w:rFonts w:ascii="Arial" w:eastAsia="Times New Roman" w:hAnsi="Arial" w:cs="Arial"/>
          <w:color w:val="222222"/>
          <w:sz w:val="24"/>
          <w:szCs w:val="24"/>
          <w:lang w:val="es-UY" w:eastAsia="es-UY"/>
        </w:rPr>
        <w:t>”), por lo que suele –correctamente- leerse como “glorificar”, es reconocer su gloria en la vida diaria, la historia humana. El modo concreto de santificarlo es “dar, a quien la pida, razón de la esperanza (</w:t>
      </w:r>
      <w:proofErr w:type="spellStart"/>
      <w:r w:rsidRPr="00BF3BE0">
        <w:rPr>
          <w:rFonts w:ascii="Arial" w:eastAsia="Times New Roman" w:hAnsi="Arial" w:cs="Arial"/>
          <w:i/>
          <w:iCs/>
          <w:color w:val="222222"/>
          <w:sz w:val="24"/>
          <w:szCs w:val="24"/>
          <w:lang w:val="es-UY" w:eastAsia="es-UY"/>
        </w:rPr>
        <w:t>elpis</w:t>
      </w:r>
      <w:proofErr w:type="spellEnd"/>
      <w:r w:rsidRPr="00BF3BE0">
        <w:rPr>
          <w:rFonts w:ascii="Arial" w:eastAsia="Times New Roman" w:hAnsi="Arial" w:cs="Arial"/>
          <w:color w:val="222222"/>
          <w:sz w:val="24"/>
          <w:szCs w:val="24"/>
          <w:lang w:val="es-UY" w:eastAsia="es-UY"/>
        </w:rPr>
        <w:t>)” (v.15); se refiere al testimonio de la obra salvadora de Dios (1,3) y de la virtud (1,21) que el ser humano recibe y manifiesta, algo que debe ser no solamente manifestado (con una “buena conducta” (v.16) sino también “explicado” (v.15, </w:t>
      </w:r>
      <w:r w:rsidRPr="00BF3BE0">
        <w:rPr>
          <w:rFonts w:ascii="Arial" w:eastAsia="Times New Roman" w:hAnsi="Arial" w:cs="Arial"/>
          <w:i/>
          <w:iCs/>
          <w:color w:val="222222"/>
          <w:sz w:val="24"/>
          <w:szCs w:val="24"/>
          <w:lang w:val="es-UY" w:eastAsia="es-UY"/>
        </w:rPr>
        <w:t>apología</w:t>
      </w: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Una nota sobre la “</w:t>
      </w:r>
      <w:r w:rsidRPr="00BF3BE0">
        <w:rPr>
          <w:rFonts w:ascii="Arial" w:eastAsia="Times New Roman" w:hAnsi="Arial" w:cs="Arial"/>
          <w:i/>
          <w:iCs/>
          <w:color w:val="222222"/>
          <w:sz w:val="24"/>
          <w:szCs w:val="24"/>
          <w:lang w:val="es-UY" w:eastAsia="es-UY"/>
        </w:rPr>
        <w:t>explicación</w:t>
      </w:r>
      <w:r w:rsidRPr="00BF3BE0">
        <w:rPr>
          <w:rFonts w:ascii="Arial" w:eastAsia="Times New Roman" w:hAnsi="Arial" w:cs="Arial"/>
          <w:color w:val="222222"/>
          <w:sz w:val="24"/>
          <w:szCs w:val="24"/>
          <w:lang w:val="es-UY" w:eastAsia="es-UY"/>
        </w:rPr>
        <w:t>”. La teología se ha presentado con frecuencia como “</w:t>
      </w:r>
      <w:r w:rsidRPr="00BF3BE0">
        <w:rPr>
          <w:rFonts w:ascii="Arial" w:eastAsia="Times New Roman" w:hAnsi="Arial" w:cs="Arial"/>
          <w:i/>
          <w:iCs/>
          <w:color w:val="222222"/>
          <w:sz w:val="24"/>
          <w:szCs w:val="24"/>
          <w:lang w:val="es-UY" w:eastAsia="es-UY"/>
        </w:rPr>
        <w:t>fe que busca comprender</w:t>
      </w:r>
      <w:r w:rsidRPr="00BF3BE0">
        <w:rPr>
          <w:rFonts w:ascii="Arial" w:eastAsia="Times New Roman" w:hAnsi="Arial" w:cs="Arial"/>
          <w:color w:val="222222"/>
          <w:sz w:val="24"/>
          <w:szCs w:val="24"/>
          <w:lang w:val="es-UY" w:eastAsia="es-UY"/>
        </w:rPr>
        <w:t>” (</w:t>
      </w:r>
      <w:proofErr w:type="spellStart"/>
      <w:r w:rsidRPr="00BF3BE0">
        <w:rPr>
          <w:rFonts w:ascii="Arial" w:eastAsia="Times New Roman" w:hAnsi="Arial" w:cs="Arial"/>
          <w:i/>
          <w:iCs/>
          <w:color w:val="222222"/>
          <w:sz w:val="24"/>
          <w:szCs w:val="24"/>
          <w:lang w:val="es-UY" w:eastAsia="es-UY"/>
        </w:rPr>
        <w:t>fides</w:t>
      </w:r>
      <w:proofErr w:type="spellEnd"/>
      <w:r w:rsidRPr="00BF3BE0">
        <w:rPr>
          <w:rFonts w:ascii="Arial" w:eastAsia="Times New Roman" w:hAnsi="Arial" w:cs="Arial"/>
          <w:i/>
          <w:iCs/>
          <w:color w:val="222222"/>
          <w:sz w:val="24"/>
          <w:szCs w:val="24"/>
          <w:lang w:val="es-UY" w:eastAsia="es-UY"/>
        </w:rPr>
        <w:t xml:space="preserve"> </w:t>
      </w:r>
      <w:proofErr w:type="spellStart"/>
      <w:r w:rsidRPr="00BF3BE0">
        <w:rPr>
          <w:rFonts w:ascii="Arial" w:eastAsia="Times New Roman" w:hAnsi="Arial" w:cs="Arial"/>
          <w:i/>
          <w:iCs/>
          <w:color w:val="222222"/>
          <w:sz w:val="24"/>
          <w:szCs w:val="24"/>
          <w:lang w:val="es-UY" w:eastAsia="es-UY"/>
        </w:rPr>
        <w:t>quaerens</w:t>
      </w:r>
      <w:proofErr w:type="spellEnd"/>
      <w:r w:rsidRPr="00BF3BE0">
        <w:rPr>
          <w:rFonts w:ascii="Arial" w:eastAsia="Times New Roman" w:hAnsi="Arial" w:cs="Arial"/>
          <w:i/>
          <w:iCs/>
          <w:color w:val="222222"/>
          <w:sz w:val="24"/>
          <w:szCs w:val="24"/>
          <w:lang w:val="es-UY" w:eastAsia="es-UY"/>
        </w:rPr>
        <w:t xml:space="preserve"> </w:t>
      </w:r>
      <w:proofErr w:type="spellStart"/>
      <w:r w:rsidRPr="00BF3BE0">
        <w:rPr>
          <w:rFonts w:ascii="Arial" w:eastAsia="Times New Roman" w:hAnsi="Arial" w:cs="Arial"/>
          <w:i/>
          <w:iCs/>
          <w:color w:val="222222"/>
          <w:sz w:val="24"/>
          <w:szCs w:val="24"/>
          <w:lang w:val="es-UY" w:eastAsia="es-UY"/>
        </w:rPr>
        <w:t>intellectum</w:t>
      </w:r>
      <w:proofErr w:type="spellEnd"/>
      <w:r w:rsidRPr="00BF3BE0">
        <w:rPr>
          <w:rFonts w:ascii="Arial" w:eastAsia="Times New Roman" w:hAnsi="Arial" w:cs="Arial"/>
          <w:color w:val="222222"/>
          <w:sz w:val="24"/>
          <w:szCs w:val="24"/>
          <w:lang w:val="es-UY" w:eastAsia="es-UY"/>
        </w:rPr>
        <w:t>, expresado explícitamente por san Anselmo). Precisamente aquí encuentra su fundamentación bíblica: dar una palabra razonable sobre la fe y la esperanza en ambientes frecuentemente desfavorables.</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La esperanza que se manifiesta y explica no tiene su origen en quien se ve como poseedor de “la verdad”, sino quien manifiesta en su vida una convicción, una “buena conciencia” (“</w:t>
      </w:r>
      <w:r w:rsidRPr="00BF3BE0">
        <w:rPr>
          <w:rFonts w:ascii="Arial" w:eastAsia="Times New Roman" w:hAnsi="Arial" w:cs="Arial"/>
          <w:i/>
          <w:iCs/>
          <w:color w:val="222222"/>
          <w:sz w:val="24"/>
          <w:szCs w:val="24"/>
          <w:lang w:val="es-UY" w:eastAsia="es-UY"/>
        </w:rPr>
        <w:t>dulzura, respeto, buena conciencia</w:t>
      </w:r>
      <w:r w:rsidRPr="00BF3BE0">
        <w:rPr>
          <w:rFonts w:ascii="Arial" w:eastAsia="Times New Roman" w:hAnsi="Arial" w:cs="Arial"/>
          <w:color w:val="222222"/>
          <w:sz w:val="24"/>
          <w:szCs w:val="24"/>
          <w:lang w:val="es-UY" w:eastAsia="es-UY"/>
        </w:rPr>
        <w:t>”) con lo que resistirán el mal y provocarán hacia el bien.</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La referencia a sufrimiento no aparece como algo que se debe desear, sino reconocer que lo que se debe buscar es la realización de la voluntad de Dios, lo cual puede implicar de parte de los poderosos, de los poderes hegemónicos someter a sufrimientos a los cristianos. Éstos están invitados a ver ese sufrimiento en continuidad o semejanza con el sufrimiento de Cristo. La voluntad de Dios no es que alguien sufra, sino que haga el bien. Lo que se dice del sufrimiento de Cristo tienes estas características:</w:t>
      </w:r>
    </w:p>
    <w:p w:rsidR="00BF3BE0" w:rsidRPr="00BF3BE0" w:rsidRDefault="00BF3BE0" w:rsidP="00BF3BE0">
      <w:pPr>
        <w:shd w:val="clear" w:color="auto" w:fill="FFFFFF"/>
        <w:spacing w:after="0" w:line="240" w:lineRule="auto"/>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Murió “una vez” (</w:t>
      </w:r>
      <w:r w:rsidRPr="00BF3BE0">
        <w:rPr>
          <w:rFonts w:ascii="Arial" w:eastAsia="Times New Roman" w:hAnsi="Arial" w:cs="Arial"/>
          <w:i/>
          <w:iCs/>
          <w:color w:val="222222"/>
          <w:sz w:val="24"/>
          <w:szCs w:val="24"/>
          <w:lang w:val="es-UY" w:eastAsia="es-UY"/>
        </w:rPr>
        <w:t>hápax</w:t>
      </w:r>
      <w:r w:rsidRPr="00BF3BE0">
        <w:rPr>
          <w:rFonts w:ascii="Arial" w:eastAsia="Times New Roman" w:hAnsi="Arial" w:cs="Arial"/>
          <w:color w:val="222222"/>
          <w:sz w:val="24"/>
          <w:szCs w:val="24"/>
          <w:lang w:val="es-UY" w:eastAsia="es-UY"/>
        </w:rPr>
        <w:t>) indica la consecuencia definitiva de su obra salvadora (”por los pecados”) de modo que no es necesario nada más (tema habitual en Hebreos, 8x). Lo absoluto de su muerte enseña el “extremo” del amor de Jesús al que los cristianos se encuentran llamados.</w:t>
      </w:r>
    </w:p>
    <w:p w:rsidR="00BF3BE0" w:rsidRPr="00BF3BE0" w:rsidRDefault="00BF3BE0" w:rsidP="00BF3BE0">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xml:space="preserve">“Por nuestros pecados”: el sentido de la muerte “por” es un tema característico en el primer cristianismo (1 </w:t>
      </w:r>
      <w:proofErr w:type="spellStart"/>
      <w:r w:rsidRPr="00BF3BE0">
        <w:rPr>
          <w:rFonts w:ascii="Arial" w:eastAsia="Times New Roman" w:hAnsi="Arial" w:cs="Arial"/>
          <w:color w:val="222222"/>
          <w:sz w:val="24"/>
          <w:szCs w:val="24"/>
          <w:lang w:val="es-UY" w:eastAsia="es-UY"/>
        </w:rPr>
        <w:t>Cor</w:t>
      </w:r>
      <w:proofErr w:type="spellEnd"/>
      <w:r w:rsidRPr="00BF3BE0">
        <w:rPr>
          <w:rFonts w:ascii="Arial" w:eastAsia="Times New Roman" w:hAnsi="Arial" w:cs="Arial"/>
          <w:color w:val="222222"/>
          <w:sz w:val="24"/>
          <w:szCs w:val="24"/>
          <w:lang w:val="es-UY" w:eastAsia="es-UY"/>
        </w:rPr>
        <w:t xml:space="preserve"> 15,3; Gal 1,4; </w:t>
      </w:r>
      <w:proofErr w:type="spellStart"/>
      <w:r w:rsidRPr="00BF3BE0">
        <w:rPr>
          <w:rFonts w:ascii="Arial" w:eastAsia="Times New Roman" w:hAnsi="Arial" w:cs="Arial"/>
          <w:color w:val="222222"/>
          <w:sz w:val="24"/>
          <w:szCs w:val="24"/>
          <w:lang w:val="es-UY" w:eastAsia="es-UY"/>
        </w:rPr>
        <w:t>Heb</w:t>
      </w:r>
      <w:proofErr w:type="spellEnd"/>
      <w:r w:rsidRPr="00BF3BE0">
        <w:rPr>
          <w:rFonts w:ascii="Arial" w:eastAsia="Times New Roman" w:hAnsi="Arial" w:cs="Arial"/>
          <w:color w:val="222222"/>
          <w:sz w:val="24"/>
          <w:szCs w:val="24"/>
          <w:lang w:val="es-UY" w:eastAsia="es-UY"/>
        </w:rPr>
        <w:t xml:space="preserve"> 10,12; 1 </w:t>
      </w:r>
      <w:proofErr w:type="spellStart"/>
      <w:r w:rsidRPr="00BF3BE0">
        <w:rPr>
          <w:rFonts w:ascii="Arial" w:eastAsia="Times New Roman" w:hAnsi="Arial" w:cs="Arial"/>
          <w:color w:val="222222"/>
          <w:sz w:val="24"/>
          <w:szCs w:val="24"/>
          <w:lang w:val="es-UY" w:eastAsia="es-UY"/>
        </w:rPr>
        <w:t>Jn</w:t>
      </w:r>
      <w:proofErr w:type="spellEnd"/>
      <w:r w:rsidRPr="00BF3BE0">
        <w:rPr>
          <w:rFonts w:ascii="Arial" w:eastAsia="Times New Roman" w:hAnsi="Arial" w:cs="Arial"/>
          <w:color w:val="222222"/>
          <w:sz w:val="24"/>
          <w:szCs w:val="24"/>
          <w:lang w:val="es-UY" w:eastAsia="es-UY"/>
        </w:rPr>
        <w:t xml:space="preserve"> 2,2; 4,10). La salvación que trae ha derrotado la fuerza del pecado de un modo universal.</w:t>
      </w:r>
    </w:p>
    <w:p w:rsidR="00BF3BE0" w:rsidRPr="00BF3BE0" w:rsidRDefault="00BF3BE0" w:rsidP="00BF3BE0">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Es “justo”, algo que en la carta aparece ligado al cumplimiento de la voluntad de Dios  (2,23; 3,12.18) como se ve en el paralelo. Por otra parte, la relación con el “Justo” sufriente de Isaías 53 (frecuente en 1 Pe, cf. 1,18-21; 2,21-25; 3,18-22) revela un sentido “cristológico”</w:t>
      </w:r>
    </w:p>
    <w:p w:rsidR="00BF3BE0" w:rsidRPr="00BF3BE0" w:rsidRDefault="00BF3BE0" w:rsidP="00BF3BE0">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Muerto en la carne y vivificado en el espíritu alude a la muerte violenta que otros le infligen (ligada a “sufrir”) y la “vivificación” que el espíritu le provoca, en este caso referida a la resurrección. “Fue matado” -  “fue vivificado”, en lo que el “espíritu de Dios" juega el rol principal lo que, dado el paralelo con los cristianos “sufrientes” anuncia la concreción de la esperanza en la vida definitiva.</w:t>
      </w:r>
    </w:p>
    <w:p w:rsidR="00BF3BE0" w:rsidRPr="00BF3BE0" w:rsidRDefault="00BF3BE0" w:rsidP="00BF3BE0">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Todo esto tiene como finalidad “conducirlos a Dios” (v.18). el acceso a Dios ha quedado abierto, la comunión con Cristo lleva a la comunión con Dios (4,13; 1,8; 2,4).</w:t>
      </w:r>
    </w:p>
    <w:p w:rsidR="00BF3BE0" w:rsidRPr="00BF3BE0" w:rsidRDefault="00BF3BE0" w:rsidP="00BF3BE0">
      <w:pPr>
        <w:shd w:val="clear" w:color="auto" w:fill="FFFFFF"/>
        <w:spacing w:after="0" w:line="240" w:lineRule="auto"/>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240" w:line="240" w:lineRule="auto"/>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r w:rsidRPr="00BF3BE0">
        <w:rPr>
          <w:rFonts w:ascii="Arial" w:eastAsia="Times New Roman" w:hAnsi="Arial" w:cs="Arial"/>
          <w:b/>
          <w:bCs/>
          <w:color w:val="222222"/>
          <w:sz w:val="24"/>
          <w:szCs w:val="24"/>
          <w:lang w:val="es-UY" w:eastAsia="es-UY"/>
        </w:rPr>
        <w:t>Evangelio según san Juan</w:t>
      </w:r>
      <w:r w:rsidRPr="00BF3BE0">
        <w:rPr>
          <w:rFonts w:ascii="Arial" w:eastAsia="Times New Roman" w:hAnsi="Arial" w:cs="Arial"/>
          <w:color w:val="222222"/>
          <w:sz w:val="24"/>
          <w:szCs w:val="24"/>
          <w:lang w:val="es-UY" w:eastAsia="es-UY"/>
        </w:rPr>
        <w:t>     14, 15-21</w:t>
      </w:r>
      <w:r w:rsidRPr="00BF3BE0">
        <w:rPr>
          <w:rFonts w:ascii="Arial" w:eastAsia="Times New Roman" w:hAnsi="Arial" w:cs="Arial"/>
          <w:color w:val="222222"/>
          <w:sz w:val="24"/>
          <w:szCs w:val="24"/>
          <w:lang w:val="es-UY" w:eastAsia="es-UY"/>
        </w:rPr>
        <w:br/>
      </w:r>
      <w:r w:rsidRPr="00BF3BE0">
        <w:rPr>
          <w:rFonts w:ascii="Arial" w:eastAsia="Times New Roman" w:hAnsi="Arial" w:cs="Arial"/>
          <w:color w:val="222222"/>
          <w:sz w:val="24"/>
          <w:szCs w:val="24"/>
          <w:lang w:val="es-UY" w:eastAsia="es-UY"/>
        </w:rPr>
        <w:br/>
      </w:r>
      <w:r w:rsidRPr="00BF3BE0">
        <w:rPr>
          <w:rFonts w:ascii="Arial" w:eastAsia="Times New Roman" w:hAnsi="Arial" w:cs="Arial"/>
          <w:i/>
          <w:iCs/>
          <w:color w:val="222222"/>
          <w:sz w:val="24"/>
          <w:szCs w:val="24"/>
          <w:lang w:val="es-UY" w:eastAsia="es-UY"/>
        </w:rPr>
        <w:t>Resumen: Jesús está anunciando su partida, pero anuncia a su vez el envío de un personaje, al que llama “Paráclito” que continuará entre los discípulos, la obra que Jesús venía realizando entre ellos.</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Desde hace ya bastante tiempo muchas traducciones, en general, han renunciado a traducir el término griego “</w:t>
      </w:r>
      <w:proofErr w:type="spellStart"/>
      <w:r w:rsidRPr="00BF3BE0">
        <w:rPr>
          <w:rFonts w:ascii="Arial" w:eastAsia="Times New Roman" w:hAnsi="Arial" w:cs="Arial"/>
          <w:i/>
          <w:iCs/>
          <w:color w:val="222222"/>
          <w:sz w:val="24"/>
          <w:szCs w:val="24"/>
          <w:lang w:val="es-UY" w:eastAsia="es-UY"/>
        </w:rPr>
        <w:t>paráklêtos</w:t>
      </w:r>
      <w:proofErr w:type="spellEnd"/>
      <w:r w:rsidRPr="00BF3BE0">
        <w:rPr>
          <w:rFonts w:ascii="Arial" w:eastAsia="Times New Roman" w:hAnsi="Arial" w:cs="Arial"/>
          <w:color w:val="222222"/>
          <w:sz w:val="24"/>
          <w:szCs w:val="24"/>
          <w:lang w:val="es-UY" w:eastAsia="es-UY"/>
        </w:rPr>
        <w:t>”, que antes era transcrito como “consolador”, “abogado”, “defensor”, “intercesor”, y directamente han optado por transliterar el griego y dejar “</w:t>
      </w:r>
      <w:r w:rsidRPr="00BF3BE0">
        <w:rPr>
          <w:rFonts w:ascii="Arial" w:eastAsia="Times New Roman" w:hAnsi="Arial" w:cs="Arial"/>
          <w:i/>
          <w:iCs/>
          <w:color w:val="222222"/>
          <w:sz w:val="24"/>
          <w:szCs w:val="24"/>
          <w:lang w:val="es-UY" w:eastAsia="es-UY"/>
        </w:rPr>
        <w:t>paráclito</w:t>
      </w:r>
      <w:r w:rsidRPr="00BF3BE0">
        <w:rPr>
          <w:rFonts w:ascii="Arial" w:eastAsia="Times New Roman" w:hAnsi="Arial" w:cs="Arial"/>
          <w:color w:val="222222"/>
          <w:sz w:val="24"/>
          <w:szCs w:val="24"/>
          <w:lang w:val="es-UY" w:eastAsia="es-UY"/>
        </w:rPr>
        <w:t>” siendo que el término griego (originado en el verbo “</w:t>
      </w:r>
      <w:proofErr w:type="spellStart"/>
      <w:r w:rsidRPr="00BF3BE0">
        <w:rPr>
          <w:rFonts w:ascii="Arial" w:eastAsia="Times New Roman" w:hAnsi="Arial" w:cs="Arial"/>
          <w:i/>
          <w:iCs/>
          <w:color w:val="222222"/>
          <w:sz w:val="24"/>
          <w:szCs w:val="24"/>
          <w:lang w:val="es-UY" w:eastAsia="es-UY"/>
        </w:rPr>
        <w:t>parakaléô</w:t>
      </w:r>
      <w:proofErr w:type="spellEnd"/>
      <w:r w:rsidRPr="00BF3BE0">
        <w:rPr>
          <w:rFonts w:ascii="Arial" w:eastAsia="Times New Roman" w:hAnsi="Arial" w:cs="Arial"/>
          <w:color w:val="222222"/>
          <w:sz w:val="24"/>
          <w:szCs w:val="24"/>
          <w:lang w:val="es-UY" w:eastAsia="es-UY"/>
        </w:rPr>
        <w:t>”) significa todo eso además de “interrogar”, “exhortar”, “implorar”, “confortar”, “conciliar”… como se ve, el término tiene que ver con la palabra, en una relación afectiva hacia el otro, de cercanía. En ese sentido, será importante, según el contexto, descubrir qué se dice de este “paráclito” a fin de entender su rol.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En el caso del Evangelio de hoy, la primera de las cuatro veces que el término se encuentra en el Cuarto Evangelio (único de los Evangelios donde se lo encuentra) se afirma, desde el inicio dos cosas: que es enviado por el Padre puesto que ya que lo aman guardan sus mandamientos.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xml:space="preserve">“Guardar” es tener en custodia, preservar, pero también prestar atención, obedecer. Jesús afirma que “guarda la Palabra” del Padre (8,55) e invita a “guardar su palabra” (8,51), a Jesús lo acusan de “no guardar el sábado” (9,16). En los discursos de </w:t>
      </w:r>
      <w:proofErr w:type="gramStart"/>
      <w:r w:rsidRPr="00BF3BE0">
        <w:rPr>
          <w:rFonts w:ascii="Arial" w:eastAsia="Times New Roman" w:hAnsi="Arial" w:cs="Arial"/>
          <w:color w:val="222222"/>
          <w:sz w:val="24"/>
          <w:szCs w:val="24"/>
          <w:lang w:val="es-UY" w:eastAsia="es-UY"/>
        </w:rPr>
        <w:t>adiós</w:t>
      </w:r>
      <w:proofErr w:type="gramEnd"/>
      <w:r w:rsidRPr="00BF3BE0">
        <w:rPr>
          <w:rFonts w:ascii="Arial" w:eastAsia="Times New Roman" w:hAnsi="Arial" w:cs="Arial"/>
          <w:color w:val="222222"/>
          <w:sz w:val="24"/>
          <w:szCs w:val="24"/>
          <w:lang w:val="es-UY" w:eastAsia="es-UY"/>
        </w:rPr>
        <w:t xml:space="preserve"> Jesús alude a “guardar los mandamientos”, lo que dice directa relación con el amor mutuo entre Jesús, el Padre y los discípulos (14,21) o con las “moradas” [recordar lo dicho el domingo pasado de la relación entre “morada” y la importancia del verbo “permanecer” en Juan]. Porque Jesús “guarda” los mandamientos  de su Padre, “permanece” en su amor. Jesús sabe que son sus discípulos los que “guardan” la Palabra del Padre (17,11) por eso pide que los “guarde” del maligno (17,15).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Los “mandamientos” (</w:t>
      </w:r>
      <w:proofErr w:type="spellStart"/>
      <w:r w:rsidRPr="00BF3BE0">
        <w:rPr>
          <w:rFonts w:ascii="Arial" w:eastAsia="Times New Roman" w:hAnsi="Arial" w:cs="Arial"/>
          <w:i/>
          <w:iCs/>
          <w:color w:val="222222"/>
          <w:sz w:val="24"/>
          <w:szCs w:val="24"/>
          <w:lang w:val="es-UY" w:eastAsia="es-UY"/>
        </w:rPr>
        <w:t>entolê</w:t>
      </w:r>
      <w:proofErr w:type="spellEnd"/>
      <w:r w:rsidRPr="00BF3BE0">
        <w:rPr>
          <w:rFonts w:ascii="Arial" w:eastAsia="Times New Roman" w:hAnsi="Arial" w:cs="Arial"/>
          <w:color w:val="222222"/>
          <w:sz w:val="24"/>
          <w:szCs w:val="24"/>
          <w:lang w:val="es-UY" w:eastAsia="es-UY"/>
        </w:rPr>
        <w:t>) comienzan por el “mandamiento” que Jesús ha recibido del Padre, “que dé su vida, y que la recobre” (10,18), lo que Jesús dice y hace es lo que Dios le ha “mandado” decir (12,49) y su “mandamiento” es vida eterna (12,50). A partir de la segunda parte del Evangelio, Jesús comienza a hablar de “su mandamiento” (ya no del Padre, aunque se trata de lo mismo): “amarse los unos a los otros como yo los he amado” (13,34; 15,12), la relación estrecha está dada entre el mandamiento y el amor (14,21); no se refiere a los “mandamientos antiguos” (por ejemplo, “</w:t>
      </w:r>
      <w:proofErr w:type="spellStart"/>
      <w:r w:rsidRPr="00BF3BE0">
        <w:rPr>
          <w:rFonts w:ascii="Arial" w:eastAsia="Times New Roman" w:hAnsi="Arial" w:cs="Arial"/>
          <w:i/>
          <w:iCs/>
          <w:color w:val="222222"/>
          <w:sz w:val="24"/>
          <w:szCs w:val="24"/>
          <w:lang w:val="es-UY" w:eastAsia="es-UY"/>
        </w:rPr>
        <w:t>entolê</w:t>
      </w:r>
      <w:proofErr w:type="spellEnd"/>
      <w:r w:rsidRPr="00BF3BE0">
        <w:rPr>
          <w:rFonts w:ascii="Arial" w:eastAsia="Times New Roman" w:hAnsi="Arial" w:cs="Arial"/>
          <w:color w:val="222222"/>
          <w:sz w:val="24"/>
          <w:szCs w:val="24"/>
          <w:lang w:val="es-UY" w:eastAsia="es-UY"/>
        </w:rPr>
        <w:t> se encuentra 40x en Deuteronomio), sino a un mandamiento “nuevo”.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El amor (</w:t>
      </w:r>
      <w:proofErr w:type="spellStart"/>
      <w:r w:rsidRPr="00BF3BE0">
        <w:rPr>
          <w:rFonts w:ascii="Arial" w:eastAsia="Times New Roman" w:hAnsi="Arial" w:cs="Arial"/>
          <w:i/>
          <w:iCs/>
          <w:color w:val="222222"/>
          <w:sz w:val="24"/>
          <w:szCs w:val="24"/>
          <w:lang w:val="es-UY" w:eastAsia="es-UY"/>
        </w:rPr>
        <w:t>agapê</w:t>
      </w:r>
      <w:proofErr w:type="spellEnd"/>
      <w:r w:rsidRPr="00BF3BE0">
        <w:rPr>
          <w:rFonts w:ascii="Arial" w:eastAsia="Times New Roman" w:hAnsi="Arial" w:cs="Arial"/>
          <w:color w:val="222222"/>
          <w:sz w:val="24"/>
          <w:szCs w:val="24"/>
          <w:lang w:val="es-UY" w:eastAsia="es-UY"/>
        </w:rPr>
        <w:t xml:space="preserve">) es término preferido, particularmente en la segunda parte, del Evangelio de Juan (36 de un total de 44 del </w:t>
      </w:r>
      <w:proofErr w:type="spellStart"/>
      <w:r w:rsidRPr="00BF3BE0">
        <w:rPr>
          <w:rFonts w:ascii="Arial" w:eastAsia="Times New Roman" w:hAnsi="Arial" w:cs="Arial"/>
          <w:color w:val="222222"/>
          <w:sz w:val="24"/>
          <w:szCs w:val="24"/>
          <w:lang w:val="es-UY" w:eastAsia="es-UY"/>
        </w:rPr>
        <w:t>EvJn</w:t>
      </w:r>
      <w:proofErr w:type="spellEnd"/>
      <w:r w:rsidRPr="00BF3BE0">
        <w:rPr>
          <w:rFonts w:ascii="Arial" w:eastAsia="Times New Roman" w:hAnsi="Arial" w:cs="Arial"/>
          <w:color w:val="222222"/>
          <w:sz w:val="24"/>
          <w:szCs w:val="24"/>
          <w:lang w:val="es-UY" w:eastAsia="es-UY"/>
        </w:rPr>
        <w:t>) y supone un amor “como yo”, es decir, “hasta el extremo” (13,1) arriesgando la vida (</w:t>
      </w:r>
      <w:proofErr w:type="spellStart"/>
      <w:r w:rsidRPr="00BF3BE0">
        <w:rPr>
          <w:rFonts w:ascii="Arial" w:eastAsia="Times New Roman" w:hAnsi="Arial" w:cs="Arial"/>
          <w:i/>
          <w:iCs/>
          <w:color w:val="222222"/>
          <w:sz w:val="24"/>
          <w:szCs w:val="24"/>
          <w:lang w:val="es-UY" w:eastAsia="es-UY"/>
        </w:rPr>
        <w:t>psyjê</w:t>
      </w:r>
      <w:proofErr w:type="spellEnd"/>
      <w:r w:rsidRPr="00BF3BE0">
        <w:rPr>
          <w:rFonts w:ascii="Arial" w:eastAsia="Times New Roman" w:hAnsi="Arial" w:cs="Arial"/>
          <w:color w:val="222222"/>
          <w:sz w:val="24"/>
          <w:szCs w:val="24"/>
          <w:lang w:val="es-UY" w:eastAsia="es-UY"/>
        </w:rPr>
        <w:t>, 15,13)  y el amor mutuo resultará una suerte de “test” del discipulado (13,35) y repercutirá en la unidad de los cristianos (17,23).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xml:space="preserve">Lo curioso del Paráclito enunciado es que se trata de “otro”. Es posible –como diremos- que el paráclito anterior sea el mismo Jesús, como se afirma en 1 </w:t>
      </w:r>
      <w:proofErr w:type="spellStart"/>
      <w:r w:rsidRPr="00BF3BE0">
        <w:rPr>
          <w:rFonts w:ascii="Arial" w:eastAsia="Times New Roman" w:hAnsi="Arial" w:cs="Arial"/>
          <w:color w:val="222222"/>
          <w:sz w:val="24"/>
          <w:szCs w:val="24"/>
          <w:lang w:val="es-UY" w:eastAsia="es-UY"/>
        </w:rPr>
        <w:t>Jn</w:t>
      </w:r>
      <w:proofErr w:type="spellEnd"/>
      <w:r w:rsidRPr="00BF3BE0">
        <w:rPr>
          <w:rFonts w:ascii="Arial" w:eastAsia="Times New Roman" w:hAnsi="Arial" w:cs="Arial"/>
          <w:color w:val="222222"/>
          <w:sz w:val="24"/>
          <w:szCs w:val="24"/>
          <w:lang w:val="es-UY" w:eastAsia="es-UY"/>
        </w:rPr>
        <w:t xml:space="preserve"> 2,1: “</w:t>
      </w:r>
      <w:r w:rsidRPr="00BF3BE0">
        <w:rPr>
          <w:rFonts w:ascii="Arial" w:eastAsia="Times New Roman" w:hAnsi="Arial" w:cs="Arial"/>
          <w:i/>
          <w:iCs/>
          <w:color w:val="222222"/>
          <w:sz w:val="24"/>
          <w:szCs w:val="24"/>
          <w:lang w:val="es-UY" w:eastAsia="es-UY"/>
        </w:rPr>
        <w:t>Pero si alguno peca, tenemos a un Paráclito ante el Padre: a Jesucristo, el Justo</w:t>
      </w:r>
      <w:r w:rsidRPr="00BF3BE0">
        <w:rPr>
          <w:rFonts w:ascii="Arial" w:eastAsia="Times New Roman" w:hAnsi="Arial" w:cs="Arial"/>
          <w:color w:val="222222"/>
          <w:sz w:val="24"/>
          <w:szCs w:val="24"/>
          <w:lang w:val="es-UY" w:eastAsia="es-UY"/>
        </w:rPr>
        <w:t>”.</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xml:space="preserve">A </w:t>
      </w:r>
      <w:proofErr w:type="gramStart"/>
      <w:r w:rsidRPr="00BF3BE0">
        <w:rPr>
          <w:rFonts w:ascii="Arial" w:eastAsia="Times New Roman" w:hAnsi="Arial" w:cs="Arial"/>
          <w:color w:val="222222"/>
          <w:sz w:val="24"/>
          <w:szCs w:val="24"/>
          <w:lang w:val="es-UY" w:eastAsia="es-UY"/>
        </w:rPr>
        <w:t>continuación</w:t>
      </w:r>
      <w:proofErr w:type="gramEnd"/>
      <w:r w:rsidRPr="00BF3BE0">
        <w:rPr>
          <w:rFonts w:ascii="Arial" w:eastAsia="Times New Roman" w:hAnsi="Arial" w:cs="Arial"/>
          <w:color w:val="222222"/>
          <w:sz w:val="24"/>
          <w:szCs w:val="24"/>
          <w:lang w:val="es-UY" w:eastAsia="es-UY"/>
        </w:rPr>
        <w:t xml:space="preserve"> el texto continúa “presentando” a este Paráclito: es espíritu “de la verdad”, el “mundo” no puede recibir, ya que no lo ve ni lo conoce, “permanece” y estará con los discípulos (v.17). Aquí se interrumpe la referencia a este personaje que retomará en v.26; 15,26 y 16,7. Mirando estos textos podemos señalar cuatro elementos </w:t>
      </w:r>
      <w:proofErr w:type="gramStart"/>
      <w:r w:rsidRPr="00BF3BE0">
        <w:rPr>
          <w:rFonts w:ascii="Arial" w:eastAsia="Times New Roman" w:hAnsi="Arial" w:cs="Arial"/>
          <w:color w:val="222222"/>
          <w:sz w:val="24"/>
          <w:szCs w:val="24"/>
          <w:lang w:val="es-UY" w:eastAsia="es-UY"/>
        </w:rPr>
        <w:t>a</w:t>
      </w:r>
      <w:proofErr w:type="gramEnd"/>
      <w:r w:rsidRPr="00BF3BE0">
        <w:rPr>
          <w:rFonts w:ascii="Arial" w:eastAsia="Times New Roman" w:hAnsi="Arial" w:cs="Arial"/>
          <w:color w:val="222222"/>
          <w:sz w:val="24"/>
          <w:szCs w:val="24"/>
          <w:lang w:val="es-UY" w:eastAsia="es-UY"/>
        </w:rPr>
        <w:t xml:space="preserve"> tener en cuenta:</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tbl>
      <w:tblPr>
        <w:tblW w:w="0" w:type="auto"/>
        <w:shd w:val="clear" w:color="auto" w:fill="FFFFFF"/>
        <w:tblCellMar>
          <w:left w:w="0" w:type="dxa"/>
          <w:right w:w="0" w:type="dxa"/>
        </w:tblCellMar>
        <w:tblLook w:val="04A0" w:firstRow="1" w:lastRow="0" w:firstColumn="1" w:lastColumn="0" w:noHBand="0" w:noVBand="1"/>
      </w:tblPr>
      <w:tblGrid>
        <w:gridCol w:w="4244"/>
        <w:gridCol w:w="4240"/>
      </w:tblGrid>
      <w:tr w:rsidR="00BF3BE0" w:rsidRPr="00BF3BE0" w:rsidTr="00BF3BE0">
        <w:tc>
          <w:tcPr>
            <w:tcW w:w="424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F3BE0" w:rsidRPr="00BF3BE0" w:rsidRDefault="00BF3BE0" w:rsidP="00BF3BE0">
            <w:pPr>
              <w:spacing w:after="0" w:line="240" w:lineRule="auto"/>
              <w:jc w:val="center"/>
              <w:rPr>
                <w:rFonts w:ascii="Helvetica" w:eastAsia="Times New Roman" w:hAnsi="Helvetica" w:cs="Helvetica"/>
                <w:color w:val="222222"/>
                <w:sz w:val="24"/>
                <w:szCs w:val="24"/>
                <w:lang w:val="es-UY" w:eastAsia="es-UY"/>
              </w:rPr>
            </w:pPr>
            <w:r w:rsidRPr="00BF3BE0">
              <w:rPr>
                <w:rFonts w:ascii="Arial" w:eastAsia="Times New Roman" w:hAnsi="Arial" w:cs="Arial"/>
                <w:i/>
                <w:iCs/>
                <w:color w:val="222222"/>
                <w:sz w:val="24"/>
                <w:szCs w:val="24"/>
                <w:lang w:val="es-UY" w:eastAsia="es-UY"/>
              </w:rPr>
              <w:t>El Paráclito</w:t>
            </w:r>
          </w:p>
        </w:tc>
        <w:tc>
          <w:tcPr>
            <w:tcW w:w="424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BF3BE0" w:rsidRPr="00BF3BE0" w:rsidRDefault="00BF3BE0" w:rsidP="00BF3BE0">
            <w:pPr>
              <w:spacing w:after="0" w:line="240" w:lineRule="auto"/>
              <w:jc w:val="center"/>
              <w:rPr>
                <w:rFonts w:ascii="Helvetica" w:eastAsia="Times New Roman" w:hAnsi="Helvetica" w:cs="Helvetica"/>
                <w:color w:val="222222"/>
                <w:sz w:val="24"/>
                <w:szCs w:val="24"/>
                <w:lang w:val="es-UY" w:eastAsia="es-UY"/>
              </w:rPr>
            </w:pPr>
            <w:r w:rsidRPr="00BF3BE0">
              <w:rPr>
                <w:rFonts w:ascii="Arial" w:eastAsia="Times New Roman" w:hAnsi="Arial" w:cs="Arial"/>
                <w:i/>
                <w:iCs/>
                <w:color w:val="222222"/>
                <w:sz w:val="24"/>
                <w:szCs w:val="24"/>
                <w:lang w:val="es-UY" w:eastAsia="es-UY"/>
              </w:rPr>
              <w:t>Jesús</w:t>
            </w:r>
          </w:p>
        </w:tc>
      </w:tr>
      <w:tr w:rsidR="00BF3BE0" w:rsidRPr="00BF3BE0" w:rsidTr="00BF3BE0">
        <w:tc>
          <w:tcPr>
            <w:tcW w:w="424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F3BE0" w:rsidRPr="00BF3BE0" w:rsidRDefault="00BF3BE0" w:rsidP="00BF3BE0">
            <w:pPr>
              <w:spacing w:after="0" w:line="240" w:lineRule="auto"/>
              <w:jc w:val="both"/>
              <w:rPr>
                <w:rFonts w:ascii="Helvetica" w:eastAsia="Times New Roman" w:hAnsi="Helvetica" w:cs="Helvetica"/>
                <w:color w:val="222222"/>
                <w:sz w:val="24"/>
                <w:szCs w:val="24"/>
                <w:lang w:val="es-UY" w:eastAsia="es-UY"/>
              </w:rPr>
            </w:pPr>
            <w:r w:rsidRPr="00BF3BE0">
              <w:rPr>
                <w:rFonts w:ascii="Arial" w:eastAsia="Times New Roman" w:hAnsi="Arial" w:cs="Arial"/>
                <w:color w:val="222222"/>
                <w:sz w:val="24"/>
                <w:szCs w:val="24"/>
                <w:lang w:val="es-UY" w:eastAsia="es-UY"/>
              </w:rPr>
              <w:t>“</w:t>
            </w:r>
            <w:r w:rsidRPr="00BF3BE0">
              <w:rPr>
                <w:rFonts w:ascii="Arial" w:eastAsia="Times New Roman" w:hAnsi="Arial" w:cs="Arial"/>
                <w:i/>
                <w:iCs/>
                <w:color w:val="222222"/>
                <w:sz w:val="24"/>
                <w:szCs w:val="24"/>
                <w:lang w:val="es-UY" w:eastAsia="es-UY"/>
              </w:rPr>
              <w:t>vendrá</w:t>
            </w:r>
            <w:r w:rsidRPr="00BF3BE0">
              <w:rPr>
                <w:rFonts w:ascii="Arial" w:eastAsia="Times New Roman" w:hAnsi="Arial" w:cs="Arial"/>
                <w:color w:val="222222"/>
                <w:sz w:val="24"/>
                <w:szCs w:val="24"/>
                <w:lang w:val="es-UY" w:eastAsia="es-UY"/>
              </w:rPr>
              <w:t>” (15,26; 16,7.8.13), “</w:t>
            </w:r>
            <w:r w:rsidRPr="00BF3BE0">
              <w:rPr>
                <w:rFonts w:ascii="Arial" w:eastAsia="Times New Roman" w:hAnsi="Arial" w:cs="Arial"/>
                <w:i/>
                <w:iCs/>
                <w:color w:val="222222"/>
                <w:sz w:val="24"/>
                <w:szCs w:val="24"/>
                <w:lang w:val="es-UY" w:eastAsia="es-UY"/>
              </w:rPr>
              <w:t>salido</w:t>
            </w:r>
            <w:r w:rsidRPr="00BF3BE0">
              <w:rPr>
                <w:rFonts w:ascii="Arial" w:eastAsia="Times New Roman" w:hAnsi="Arial" w:cs="Arial"/>
                <w:color w:val="222222"/>
                <w:sz w:val="24"/>
                <w:szCs w:val="24"/>
                <w:lang w:val="es-UY" w:eastAsia="es-UY"/>
              </w:rPr>
              <w:t> del Padre” (15,26), el Padre  lo “</w:t>
            </w:r>
            <w:r w:rsidRPr="00BF3BE0">
              <w:rPr>
                <w:rFonts w:ascii="Arial" w:eastAsia="Times New Roman" w:hAnsi="Arial" w:cs="Arial"/>
                <w:i/>
                <w:iCs/>
                <w:color w:val="222222"/>
                <w:sz w:val="24"/>
                <w:szCs w:val="24"/>
                <w:lang w:val="es-UY" w:eastAsia="es-UY"/>
              </w:rPr>
              <w:t>dará</w:t>
            </w:r>
            <w:r w:rsidRPr="00BF3BE0">
              <w:rPr>
                <w:rFonts w:ascii="Arial" w:eastAsia="Times New Roman" w:hAnsi="Arial" w:cs="Arial"/>
                <w:color w:val="222222"/>
                <w:sz w:val="24"/>
                <w:szCs w:val="24"/>
                <w:lang w:val="es-UY" w:eastAsia="es-UY"/>
              </w:rPr>
              <w:t>” (14,16), “</w:t>
            </w:r>
            <w:r w:rsidRPr="00BF3BE0">
              <w:rPr>
                <w:rFonts w:ascii="Arial" w:eastAsia="Times New Roman" w:hAnsi="Arial" w:cs="Arial"/>
                <w:i/>
                <w:iCs/>
                <w:color w:val="222222"/>
                <w:sz w:val="24"/>
                <w:szCs w:val="24"/>
                <w:lang w:val="es-UY" w:eastAsia="es-UY"/>
              </w:rPr>
              <w:t>enviará</w:t>
            </w:r>
            <w:r w:rsidRPr="00BF3BE0">
              <w:rPr>
                <w:rFonts w:ascii="Arial" w:eastAsia="Times New Roman" w:hAnsi="Arial" w:cs="Arial"/>
                <w:color w:val="222222"/>
                <w:sz w:val="24"/>
                <w:szCs w:val="24"/>
                <w:lang w:val="es-UY" w:eastAsia="es-UY"/>
              </w:rPr>
              <w:t>” (15,26; 16,7), “en </w:t>
            </w:r>
            <w:r w:rsidRPr="00BF3BE0">
              <w:rPr>
                <w:rFonts w:ascii="Arial" w:eastAsia="Times New Roman" w:hAnsi="Arial" w:cs="Arial"/>
                <w:i/>
                <w:iCs/>
                <w:color w:val="222222"/>
                <w:sz w:val="24"/>
                <w:szCs w:val="24"/>
                <w:lang w:val="es-UY" w:eastAsia="es-UY"/>
              </w:rPr>
              <w:t>nombre</w:t>
            </w:r>
            <w:r w:rsidRPr="00BF3BE0">
              <w:rPr>
                <w:rFonts w:ascii="Arial" w:eastAsia="Times New Roman" w:hAnsi="Arial" w:cs="Arial"/>
                <w:color w:val="222222"/>
                <w:sz w:val="24"/>
                <w:szCs w:val="24"/>
                <w:lang w:val="es-UY" w:eastAsia="es-UY"/>
              </w:rPr>
              <w:t>” de Jesús (14,26)</w:t>
            </w:r>
          </w:p>
        </w:tc>
        <w:tc>
          <w:tcPr>
            <w:tcW w:w="4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F3BE0" w:rsidRPr="00BF3BE0" w:rsidRDefault="00BF3BE0" w:rsidP="00BF3BE0">
            <w:pPr>
              <w:spacing w:after="0" w:line="240" w:lineRule="auto"/>
              <w:jc w:val="both"/>
              <w:rPr>
                <w:rFonts w:ascii="Helvetica" w:eastAsia="Times New Roman" w:hAnsi="Helvetica" w:cs="Helvetica"/>
                <w:color w:val="222222"/>
                <w:sz w:val="24"/>
                <w:szCs w:val="24"/>
                <w:lang w:val="es-UY" w:eastAsia="es-UY"/>
              </w:rPr>
            </w:pPr>
            <w:r w:rsidRPr="00BF3BE0">
              <w:rPr>
                <w:rFonts w:ascii="Arial" w:eastAsia="Times New Roman" w:hAnsi="Arial" w:cs="Arial"/>
                <w:color w:val="222222"/>
                <w:sz w:val="24"/>
                <w:szCs w:val="24"/>
                <w:lang w:val="es-UY" w:eastAsia="es-UY"/>
              </w:rPr>
              <w:t>Ha </w:t>
            </w:r>
            <w:r w:rsidRPr="00BF3BE0">
              <w:rPr>
                <w:rFonts w:ascii="Arial" w:eastAsia="Times New Roman" w:hAnsi="Arial" w:cs="Arial"/>
                <w:i/>
                <w:iCs/>
                <w:color w:val="222222"/>
                <w:sz w:val="24"/>
                <w:szCs w:val="24"/>
                <w:lang w:val="es-UY" w:eastAsia="es-UY"/>
              </w:rPr>
              <w:t>venido</w:t>
            </w:r>
            <w:r w:rsidRPr="00BF3BE0">
              <w:rPr>
                <w:rFonts w:ascii="Arial" w:eastAsia="Times New Roman" w:hAnsi="Arial" w:cs="Arial"/>
                <w:color w:val="222222"/>
                <w:sz w:val="24"/>
                <w:szCs w:val="24"/>
                <w:lang w:val="es-UY" w:eastAsia="es-UY"/>
              </w:rPr>
              <w:t> (5,43; 16,28; 18,37) </w:t>
            </w:r>
            <w:r w:rsidRPr="00BF3BE0">
              <w:rPr>
                <w:rFonts w:ascii="Arial" w:eastAsia="Times New Roman" w:hAnsi="Arial" w:cs="Arial"/>
                <w:i/>
                <w:iCs/>
                <w:color w:val="222222"/>
                <w:sz w:val="24"/>
                <w:szCs w:val="24"/>
                <w:lang w:val="es-UY" w:eastAsia="es-UY"/>
              </w:rPr>
              <w:t>procedente</w:t>
            </w:r>
            <w:r w:rsidRPr="00BF3BE0">
              <w:rPr>
                <w:rFonts w:ascii="Arial" w:eastAsia="Times New Roman" w:hAnsi="Arial" w:cs="Arial"/>
                <w:color w:val="222222"/>
                <w:sz w:val="24"/>
                <w:szCs w:val="24"/>
                <w:lang w:val="es-UY" w:eastAsia="es-UY"/>
              </w:rPr>
              <w:t> del Padre (8,42; 13,3), el Padre “</w:t>
            </w:r>
            <w:r w:rsidRPr="00BF3BE0">
              <w:rPr>
                <w:rFonts w:ascii="Arial" w:eastAsia="Times New Roman" w:hAnsi="Arial" w:cs="Arial"/>
                <w:i/>
                <w:iCs/>
                <w:color w:val="222222"/>
                <w:sz w:val="24"/>
                <w:szCs w:val="24"/>
                <w:lang w:val="es-UY" w:eastAsia="es-UY"/>
              </w:rPr>
              <w:t>dio</w:t>
            </w:r>
            <w:r w:rsidRPr="00BF3BE0">
              <w:rPr>
                <w:rFonts w:ascii="Arial" w:eastAsia="Times New Roman" w:hAnsi="Arial" w:cs="Arial"/>
                <w:color w:val="222222"/>
                <w:sz w:val="24"/>
                <w:szCs w:val="24"/>
                <w:lang w:val="es-UY" w:eastAsia="es-UY"/>
              </w:rPr>
              <w:t>” a su hijo (3,16), “</w:t>
            </w:r>
            <w:r w:rsidRPr="00BF3BE0">
              <w:rPr>
                <w:rFonts w:ascii="Arial" w:eastAsia="Times New Roman" w:hAnsi="Arial" w:cs="Arial"/>
                <w:i/>
                <w:iCs/>
                <w:color w:val="222222"/>
                <w:sz w:val="24"/>
                <w:szCs w:val="24"/>
                <w:lang w:val="es-UY" w:eastAsia="es-UY"/>
              </w:rPr>
              <w:t>enviado</w:t>
            </w:r>
            <w:r w:rsidRPr="00BF3BE0">
              <w:rPr>
                <w:rFonts w:ascii="Arial" w:eastAsia="Times New Roman" w:hAnsi="Arial" w:cs="Arial"/>
                <w:color w:val="222222"/>
                <w:sz w:val="24"/>
                <w:szCs w:val="24"/>
                <w:lang w:val="es-UY" w:eastAsia="es-UY"/>
              </w:rPr>
              <w:t> del Padre” (3,17…), Jesús actúa “en el </w:t>
            </w:r>
            <w:r w:rsidRPr="00BF3BE0">
              <w:rPr>
                <w:rFonts w:ascii="Arial" w:eastAsia="Times New Roman" w:hAnsi="Arial" w:cs="Arial"/>
                <w:i/>
                <w:iCs/>
                <w:color w:val="222222"/>
                <w:sz w:val="24"/>
                <w:szCs w:val="24"/>
                <w:lang w:val="es-UY" w:eastAsia="es-UY"/>
              </w:rPr>
              <w:t>nombre</w:t>
            </w:r>
            <w:r w:rsidRPr="00BF3BE0">
              <w:rPr>
                <w:rFonts w:ascii="Arial" w:eastAsia="Times New Roman" w:hAnsi="Arial" w:cs="Arial"/>
                <w:color w:val="222222"/>
                <w:sz w:val="24"/>
                <w:szCs w:val="24"/>
                <w:lang w:val="es-UY" w:eastAsia="es-UY"/>
              </w:rPr>
              <w:t> del Padre” (5,43)</w:t>
            </w:r>
          </w:p>
        </w:tc>
      </w:tr>
      <w:tr w:rsidR="00BF3BE0" w:rsidRPr="00BF3BE0" w:rsidTr="00BF3BE0">
        <w:tc>
          <w:tcPr>
            <w:tcW w:w="424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F3BE0" w:rsidRPr="00BF3BE0" w:rsidRDefault="00BF3BE0" w:rsidP="00BF3BE0">
            <w:pPr>
              <w:spacing w:after="0" w:line="240" w:lineRule="auto"/>
              <w:jc w:val="both"/>
              <w:rPr>
                <w:rFonts w:ascii="Helvetica" w:eastAsia="Times New Roman" w:hAnsi="Helvetica" w:cs="Helvetica"/>
                <w:color w:val="222222"/>
                <w:sz w:val="24"/>
                <w:szCs w:val="24"/>
                <w:lang w:val="es-UY" w:eastAsia="es-UY"/>
              </w:rPr>
            </w:pPr>
            <w:r w:rsidRPr="00BF3BE0">
              <w:rPr>
                <w:rFonts w:ascii="Arial" w:eastAsia="Times New Roman" w:hAnsi="Arial" w:cs="Arial"/>
                <w:color w:val="222222"/>
                <w:sz w:val="24"/>
                <w:szCs w:val="24"/>
                <w:lang w:val="es-UY" w:eastAsia="es-UY"/>
              </w:rPr>
              <w:t>Es “otro” paráclito (14,16), es de “la </w:t>
            </w:r>
            <w:r w:rsidRPr="00BF3BE0">
              <w:rPr>
                <w:rFonts w:ascii="Arial" w:eastAsia="Times New Roman" w:hAnsi="Arial" w:cs="Arial"/>
                <w:i/>
                <w:iCs/>
                <w:color w:val="222222"/>
                <w:sz w:val="24"/>
                <w:szCs w:val="24"/>
                <w:lang w:val="es-UY" w:eastAsia="es-UY"/>
              </w:rPr>
              <w:t>verdad</w:t>
            </w:r>
            <w:r w:rsidRPr="00BF3BE0">
              <w:rPr>
                <w:rFonts w:ascii="Arial" w:eastAsia="Times New Roman" w:hAnsi="Arial" w:cs="Arial"/>
                <w:color w:val="222222"/>
                <w:sz w:val="24"/>
                <w:szCs w:val="24"/>
                <w:lang w:val="es-UY" w:eastAsia="es-UY"/>
              </w:rPr>
              <w:t>” (14,17; 15,26; 16,13), es “Espíritu </w:t>
            </w:r>
            <w:r w:rsidRPr="00BF3BE0">
              <w:rPr>
                <w:rFonts w:ascii="Arial" w:eastAsia="Times New Roman" w:hAnsi="Arial" w:cs="Arial"/>
                <w:i/>
                <w:iCs/>
                <w:color w:val="222222"/>
                <w:sz w:val="24"/>
                <w:szCs w:val="24"/>
                <w:lang w:val="es-UY" w:eastAsia="es-UY"/>
              </w:rPr>
              <w:t>Santo</w:t>
            </w:r>
            <w:r w:rsidRPr="00BF3BE0">
              <w:rPr>
                <w:rFonts w:ascii="Arial" w:eastAsia="Times New Roman" w:hAnsi="Arial" w:cs="Arial"/>
                <w:color w:val="222222"/>
                <w:sz w:val="24"/>
                <w:szCs w:val="24"/>
                <w:lang w:val="es-UY" w:eastAsia="es-UY"/>
              </w:rPr>
              <w:t>” (14,26)</w:t>
            </w:r>
          </w:p>
        </w:tc>
        <w:tc>
          <w:tcPr>
            <w:tcW w:w="4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F3BE0" w:rsidRPr="00BF3BE0" w:rsidRDefault="00BF3BE0" w:rsidP="00BF3BE0">
            <w:pPr>
              <w:spacing w:after="0" w:line="240" w:lineRule="auto"/>
              <w:jc w:val="both"/>
              <w:rPr>
                <w:rFonts w:ascii="Helvetica" w:eastAsia="Times New Roman" w:hAnsi="Helvetica" w:cs="Helvetica"/>
                <w:color w:val="222222"/>
                <w:sz w:val="24"/>
                <w:szCs w:val="24"/>
                <w:lang w:val="es-UY" w:eastAsia="es-UY"/>
              </w:rPr>
            </w:pPr>
            <w:r w:rsidRPr="00BF3BE0">
              <w:rPr>
                <w:rFonts w:ascii="Arial" w:eastAsia="Times New Roman" w:hAnsi="Arial" w:cs="Arial"/>
                <w:color w:val="222222"/>
                <w:sz w:val="24"/>
                <w:szCs w:val="24"/>
                <w:lang w:val="es-UY" w:eastAsia="es-UY"/>
              </w:rPr>
              <w:t xml:space="preserve">Es el “primer paráclito” (cf. 1 </w:t>
            </w:r>
            <w:proofErr w:type="spellStart"/>
            <w:r w:rsidRPr="00BF3BE0">
              <w:rPr>
                <w:rFonts w:ascii="Arial" w:eastAsia="Times New Roman" w:hAnsi="Arial" w:cs="Arial"/>
                <w:color w:val="222222"/>
                <w:sz w:val="24"/>
                <w:szCs w:val="24"/>
                <w:lang w:val="es-UY" w:eastAsia="es-UY"/>
              </w:rPr>
              <w:t>Jn</w:t>
            </w:r>
            <w:proofErr w:type="spellEnd"/>
            <w:r w:rsidRPr="00BF3BE0">
              <w:rPr>
                <w:rFonts w:ascii="Arial" w:eastAsia="Times New Roman" w:hAnsi="Arial" w:cs="Arial"/>
                <w:color w:val="222222"/>
                <w:sz w:val="24"/>
                <w:szCs w:val="24"/>
                <w:lang w:val="es-UY" w:eastAsia="es-UY"/>
              </w:rPr>
              <w:t xml:space="preserve"> 2,1), es la </w:t>
            </w:r>
            <w:r w:rsidRPr="00BF3BE0">
              <w:rPr>
                <w:rFonts w:ascii="Arial" w:eastAsia="Times New Roman" w:hAnsi="Arial" w:cs="Arial"/>
                <w:i/>
                <w:iCs/>
                <w:color w:val="222222"/>
                <w:sz w:val="24"/>
                <w:szCs w:val="24"/>
                <w:lang w:val="es-UY" w:eastAsia="es-UY"/>
              </w:rPr>
              <w:t>verdad</w:t>
            </w:r>
            <w:r w:rsidRPr="00BF3BE0">
              <w:rPr>
                <w:rFonts w:ascii="Arial" w:eastAsia="Times New Roman" w:hAnsi="Arial" w:cs="Arial"/>
                <w:color w:val="222222"/>
                <w:sz w:val="24"/>
                <w:szCs w:val="24"/>
                <w:lang w:val="es-UY" w:eastAsia="es-UY"/>
              </w:rPr>
              <w:t> (14,6), es el “</w:t>
            </w:r>
            <w:r w:rsidRPr="00BF3BE0">
              <w:rPr>
                <w:rFonts w:ascii="Arial" w:eastAsia="Times New Roman" w:hAnsi="Arial" w:cs="Arial"/>
                <w:i/>
                <w:iCs/>
                <w:color w:val="222222"/>
                <w:sz w:val="24"/>
                <w:szCs w:val="24"/>
                <w:lang w:val="es-UY" w:eastAsia="es-UY"/>
              </w:rPr>
              <w:t>Santo</w:t>
            </w:r>
            <w:r w:rsidRPr="00BF3BE0">
              <w:rPr>
                <w:rFonts w:ascii="Arial" w:eastAsia="Times New Roman" w:hAnsi="Arial" w:cs="Arial"/>
                <w:color w:val="222222"/>
                <w:sz w:val="24"/>
                <w:szCs w:val="24"/>
                <w:lang w:val="es-UY" w:eastAsia="es-UY"/>
              </w:rPr>
              <w:t> de Dios” (6,69)</w:t>
            </w:r>
          </w:p>
        </w:tc>
      </w:tr>
      <w:tr w:rsidR="00BF3BE0" w:rsidRPr="00BF3BE0" w:rsidTr="00BF3BE0">
        <w:tc>
          <w:tcPr>
            <w:tcW w:w="424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F3BE0" w:rsidRPr="00BF3BE0" w:rsidRDefault="00BF3BE0" w:rsidP="00BF3BE0">
            <w:pPr>
              <w:spacing w:after="0" w:line="240" w:lineRule="auto"/>
              <w:jc w:val="both"/>
              <w:rPr>
                <w:rFonts w:ascii="Helvetica" w:eastAsia="Times New Roman" w:hAnsi="Helvetica" w:cs="Helvetica"/>
                <w:color w:val="222222"/>
                <w:sz w:val="24"/>
                <w:szCs w:val="24"/>
                <w:lang w:val="es-UY" w:eastAsia="es-UY"/>
              </w:rPr>
            </w:pPr>
            <w:r w:rsidRPr="00BF3BE0">
              <w:rPr>
                <w:rFonts w:ascii="Arial" w:eastAsia="Times New Roman" w:hAnsi="Arial" w:cs="Arial"/>
                <w:color w:val="222222"/>
                <w:sz w:val="24"/>
                <w:szCs w:val="24"/>
                <w:lang w:val="es-UY" w:eastAsia="es-UY"/>
              </w:rPr>
              <w:t>“</w:t>
            </w:r>
            <w:r w:rsidRPr="00BF3BE0">
              <w:rPr>
                <w:rFonts w:ascii="Arial" w:eastAsia="Times New Roman" w:hAnsi="Arial" w:cs="Arial"/>
                <w:i/>
                <w:iCs/>
                <w:color w:val="222222"/>
                <w:sz w:val="24"/>
                <w:szCs w:val="24"/>
                <w:lang w:val="es-UY" w:eastAsia="es-UY"/>
              </w:rPr>
              <w:t>conocerán</w:t>
            </w:r>
            <w:r w:rsidRPr="00BF3BE0">
              <w:rPr>
                <w:rFonts w:ascii="Arial" w:eastAsia="Times New Roman" w:hAnsi="Arial" w:cs="Arial"/>
                <w:color w:val="222222"/>
                <w:sz w:val="24"/>
                <w:szCs w:val="24"/>
                <w:lang w:val="es-UY" w:eastAsia="es-UY"/>
              </w:rPr>
              <w:t>” (14,17), “</w:t>
            </w:r>
            <w:r w:rsidRPr="00BF3BE0">
              <w:rPr>
                <w:rFonts w:ascii="Arial" w:eastAsia="Times New Roman" w:hAnsi="Arial" w:cs="Arial"/>
                <w:i/>
                <w:iCs/>
                <w:color w:val="222222"/>
                <w:sz w:val="24"/>
                <w:szCs w:val="24"/>
                <w:lang w:val="es-UY" w:eastAsia="es-UY"/>
              </w:rPr>
              <w:t>permanecerá</w:t>
            </w:r>
            <w:r w:rsidRPr="00BF3BE0">
              <w:rPr>
                <w:rFonts w:ascii="Arial" w:eastAsia="Times New Roman" w:hAnsi="Arial" w:cs="Arial"/>
                <w:color w:val="222222"/>
                <w:sz w:val="24"/>
                <w:szCs w:val="24"/>
                <w:lang w:val="es-UY" w:eastAsia="es-UY"/>
              </w:rPr>
              <w:t>” (14,17), “</w:t>
            </w:r>
            <w:r w:rsidRPr="00BF3BE0">
              <w:rPr>
                <w:rFonts w:ascii="Arial" w:eastAsia="Times New Roman" w:hAnsi="Arial" w:cs="Arial"/>
                <w:i/>
                <w:iCs/>
                <w:color w:val="222222"/>
                <w:sz w:val="24"/>
                <w:szCs w:val="24"/>
                <w:lang w:val="es-UY" w:eastAsia="es-UY"/>
              </w:rPr>
              <w:t>enseñará</w:t>
            </w:r>
            <w:r w:rsidRPr="00BF3BE0">
              <w:rPr>
                <w:rFonts w:ascii="Arial" w:eastAsia="Times New Roman" w:hAnsi="Arial" w:cs="Arial"/>
                <w:color w:val="222222"/>
                <w:sz w:val="24"/>
                <w:szCs w:val="24"/>
                <w:lang w:val="es-UY" w:eastAsia="es-UY"/>
              </w:rPr>
              <w:t> (14,26), </w:t>
            </w:r>
            <w:r w:rsidRPr="00BF3BE0">
              <w:rPr>
                <w:rFonts w:ascii="Arial" w:eastAsia="Times New Roman" w:hAnsi="Arial" w:cs="Arial"/>
                <w:i/>
                <w:iCs/>
                <w:color w:val="222222"/>
                <w:sz w:val="24"/>
                <w:szCs w:val="24"/>
                <w:lang w:val="es-UY" w:eastAsia="es-UY"/>
              </w:rPr>
              <w:t>guiará</w:t>
            </w:r>
            <w:r w:rsidRPr="00BF3BE0">
              <w:rPr>
                <w:rFonts w:ascii="Arial" w:eastAsia="Times New Roman" w:hAnsi="Arial" w:cs="Arial"/>
                <w:color w:val="222222"/>
                <w:sz w:val="24"/>
                <w:szCs w:val="24"/>
                <w:lang w:val="es-UY" w:eastAsia="es-UY"/>
              </w:rPr>
              <w:t> hacia la verdad (16,13), </w:t>
            </w:r>
            <w:r w:rsidRPr="00BF3BE0">
              <w:rPr>
                <w:rFonts w:ascii="Arial" w:eastAsia="Times New Roman" w:hAnsi="Arial" w:cs="Arial"/>
                <w:i/>
                <w:iCs/>
                <w:color w:val="222222"/>
                <w:sz w:val="24"/>
                <w:szCs w:val="24"/>
                <w:lang w:val="es-UY" w:eastAsia="es-UY"/>
              </w:rPr>
              <w:t>glorificará</w:t>
            </w:r>
            <w:r w:rsidRPr="00BF3BE0">
              <w:rPr>
                <w:rFonts w:ascii="Arial" w:eastAsia="Times New Roman" w:hAnsi="Arial" w:cs="Arial"/>
                <w:color w:val="222222"/>
                <w:sz w:val="24"/>
                <w:szCs w:val="24"/>
                <w:lang w:val="es-UY" w:eastAsia="es-UY"/>
              </w:rPr>
              <w:t> a Jesús (16,14), dará “</w:t>
            </w:r>
            <w:r w:rsidRPr="00BF3BE0">
              <w:rPr>
                <w:rFonts w:ascii="Arial" w:eastAsia="Times New Roman" w:hAnsi="Arial" w:cs="Arial"/>
                <w:i/>
                <w:iCs/>
                <w:color w:val="222222"/>
                <w:sz w:val="24"/>
                <w:szCs w:val="24"/>
                <w:lang w:val="es-UY" w:eastAsia="es-UY"/>
              </w:rPr>
              <w:t>testimonio</w:t>
            </w:r>
            <w:r w:rsidRPr="00BF3BE0">
              <w:rPr>
                <w:rFonts w:ascii="Arial" w:eastAsia="Times New Roman" w:hAnsi="Arial" w:cs="Arial"/>
                <w:color w:val="222222"/>
                <w:sz w:val="24"/>
                <w:szCs w:val="24"/>
                <w:lang w:val="es-UY" w:eastAsia="es-UY"/>
              </w:rPr>
              <w:t> de Jesús” (15,26-27), recordará lo </w:t>
            </w:r>
            <w:r w:rsidRPr="00BF3BE0">
              <w:rPr>
                <w:rFonts w:ascii="Arial" w:eastAsia="Times New Roman" w:hAnsi="Arial" w:cs="Arial"/>
                <w:i/>
                <w:iCs/>
                <w:color w:val="222222"/>
                <w:sz w:val="24"/>
                <w:szCs w:val="24"/>
                <w:lang w:val="es-UY" w:eastAsia="es-UY"/>
              </w:rPr>
              <w:t>dicho por Jesús</w:t>
            </w:r>
            <w:r w:rsidRPr="00BF3BE0">
              <w:rPr>
                <w:rFonts w:ascii="Arial" w:eastAsia="Times New Roman" w:hAnsi="Arial" w:cs="Arial"/>
                <w:color w:val="222222"/>
                <w:sz w:val="24"/>
                <w:szCs w:val="24"/>
                <w:lang w:val="es-UY" w:eastAsia="es-UY"/>
              </w:rPr>
              <w:t> (14,26), hablará lo que oiga, no por su cuenta (16,13)</w:t>
            </w:r>
          </w:p>
        </w:tc>
        <w:tc>
          <w:tcPr>
            <w:tcW w:w="4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F3BE0" w:rsidRPr="00BF3BE0" w:rsidRDefault="00BF3BE0" w:rsidP="00BF3BE0">
            <w:pPr>
              <w:spacing w:after="0" w:line="240" w:lineRule="auto"/>
              <w:jc w:val="both"/>
              <w:rPr>
                <w:rFonts w:ascii="Helvetica" w:eastAsia="Times New Roman" w:hAnsi="Helvetica" w:cs="Helvetica"/>
                <w:color w:val="222222"/>
                <w:sz w:val="24"/>
                <w:szCs w:val="24"/>
                <w:lang w:val="es-UY" w:eastAsia="es-UY"/>
              </w:rPr>
            </w:pPr>
            <w:r w:rsidRPr="00BF3BE0">
              <w:rPr>
                <w:rFonts w:ascii="Arial" w:eastAsia="Times New Roman" w:hAnsi="Arial" w:cs="Arial"/>
                <w:color w:val="222222"/>
                <w:sz w:val="24"/>
                <w:szCs w:val="24"/>
                <w:lang w:val="es-UY" w:eastAsia="es-UY"/>
              </w:rPr>
              <w:t>Lo </w:t>
            </w:r>
            <w:r w:rsidRPr="00BF3BE0">
              <w:rPr>
                <w:rFonts w:ascii="Arial" w:eastAsia="Times New Roman" w:hAnsi="Arial" w:cs="Arial"/>
                <w:i/>
                <w:iCs/>
                <w:color w:val="222222"/>
                <w:sz w:val="24"/>
                <w:szCs w:val="24"/>
                <w:lang w:val="es-UY" w:eastAsia="es-UY"/>
              </w:rPr>
              <w:t>conocerán</w:t>
            </w:r>
            <w:r w:rsidRPr="00BF3BE0">
              <w:rPr>
                <w:rFonts w:ascii="Arial" w:eastAsia="Times New Roman" w:hAnsi="Arial" w:cs="Arial"/>
                <w:color w:val="222222"/>
                <w:sz w:val="24"/>
                <w:szCs w:val="24"/>
                <w:lang w:val="es-UY" w:eastAsia="es-UY"/>
              </w:rPr>
              <w:t> (14,7.9), “</w:t>
            </w:r>
            <w:r w:rsidRPr="00BF3BE0">
              <w:rPr>
                <w:rFonts w:ascii="Arial" w:eastAsia="Times New Roman" w:hAnsi="Arial" w:cs="Arial"/>
                <w:i/>
                <w:iCs/>
                <w:color w:val="222222"/>
                <w:sz w:val="24"/>
                <w:szCs w:val="24"/>
                <w:lang w:val="es-UY" w:eastAsia="es-UY"/>
              </w:rPr>
              <w:t>estará</w:t>
            </w:r>
            <w:r w:rsidRPr="00BF3BE0">
              <w:rPr>
                <w:rFonts w:ascii="Arial" w:eastAsia="Times New Roman" w:hAnsi="Arial" w:cs="Arial"/>
                <w:color w:val="222222"/>
                <w:sz w:val="24"/>
                <w:szCs w:val="24"/>
                <w:lang w:val="es-UY" w:eastAsia="es-UY"/>
              </w:rPr>
              <w:t> en y con los discípulos (14,20.23; 15,4.5; 17,23.26), Jesús es el “</w:t>
            </w:r>
            <w:r w:rsidRPr="00BF3BE0">
              <w:rPr>
                <w:rFonts w:ascii="Arial" w:eastAsia="Times New Roman" w:hAnsi="Arial" w:cs="Arial"/>
                <w:i/>
                <w:iCs/>
                <w:color w:val="222222"/>
                <w:sz w:val="24"/>
                <w:szCs w:val="24"/>
                <w:lang w:val="es-UY" w:eastAsia="es-UY"/>
              </w:rPr>
              <w:t>camino</w:t>
            </w:r>
            <w:r w:rsidRPr="00BF3BE0">
              <w:rPr>
                <w:rFonts w:ascii="Arial" w:eastAsia="Times New Roman" w:hAnsi="Arial" w:cs="Arial"/>
                <w:color w:val="222222"/>
                <w:sz w:val="24"/>
                <w:szCs w:val="24"/>
                <w:lang w:val="es-UY" w:eastAsia="es-UY"/>
              </w:rPr>
              <w:t> y la </w:t>
            </w:r>
            <w:r w:rsidRPr="00BF3BE0">
              <w:rPr>
                <w:rFonts w:ascii="Arial" w:eastAsia="Times New Roman" w:hAnsi="Arial" w:cs="Arial"/>
                <w:i/>
                <w:iCs/>
                <w:color w:val="222222"/>
                <w:sz w:val="24"/>
                <w:szCs w:val="24"/>
                <w:lang w:val="es-UY" w:eastAsia="es-UY"/>
              </w:rPr>
              <w:t>verdad</w:t>
            </w:r>
            <w:r w:rsidRPr="00BF3BE0">
              <w:rPr>
                <w:rFonts w:ascii="Arial" w:eastAsia="Times New Roman" w:hAnsi="Arial" w:cs="Arial"/>
                <w:color w:val="222222"/>
                <w:sz w:val="24"/>
                <w:szCs w:val="24"/>
                <w:lang w:val="es-UY" w:eastAsia="es-UY"/>
              </w:rPr>
              <w:t>” (14,6), enseña (6,59; 7,14.18; 8,20), da </w:t>
            </w:r>
            <w:r w:rsidRPr="00BF3BE0">
              <w:rPr>
                <w:rFonts w:ascii="Arial" w:eastAsia="Times New Roman" w:hAnsi="Arial" w:cs="Arial"/>
                <w:i/>
                <w:iCs/>
                <w:color w:val="222222"/>
                <w:sz w:val="24"/>
                <w:szCs w:val="24"/>
                <w:lang w:val="es-UY" w:eastAsia="es-UY"/>
              </w:rPr>
              <w:t>testimonio</w:t>
            </w:r>
            <w:r w:rsidRPr="00BF3BE0">
              <w:rPr>
                <w:rFonts w:ascii="Arial" w:eastAsia="Times New Roman" w:hAnsi="Arial" w:cs="Arial"/>
                <w:color w:val="222222"/>
                <w:sz w:val="24"/>
                <w:szCs w:val="24"/>
                <w:lang w:val="es-UY" w:eastAsia="es-UY"/>
              </w:rPr>
              <w:t>(8,14) y </w:t>
            </w:r>
            <w:r w:rsidRPr="00BF3BE0">
              <w:rPr>
                <w:rFonts w:ascii="Arial" w:eastAsia="Times New Roman" w:hAnsi="Arial" w:cs="Arial"/>
                <w:i/>
                <w:iCs/>
                <w:color w:val="222222"/>
                <w:sz w:val="24"/>
                <w:szCs w:val="24"/>
                <w:lang w:val="es-UY" w:eastAsia="es-UY"/>
              </w:rPr>
              <w:t>glorifica</w:t>
            </w:r>
            <w:r w:rsidRPr="00BF3BE0">
              <w:rPr>
                <w:rFonts w:ascii="Arial" w:eastAsia="Times New Roman" w:hAnsi="Arial" w:cs="Arial"/>
                <w:color w:val="222222"/>
                <w:sz w:val="24"/>
                <w:szCs w:val="24"/>
                <w:lang w:val="es-UY" w:eastAsia="es-UY"/>
              </w:rPr>
              <w:t> al Padre (8,29; 12,27-28; 14,13; 17,4), dice lo que ha </w:t>
            </w:r>
            <w:r w:rsidRPr="00BF3BE0">
              <w:rPr>
                <w:rFonts w:ascii="Arial" w:eastAsia="Times New Roman" w:hAnsi="Arial" w:cs="Arial"/>
                <w:i/>
                <w:iCs/>
                <w:color w:val="222222"/>
                <w:sz w:val="24"/>
                <w:szCs w:val="24"/>
                <w:lang w:val="es-UY" w:eastAsia="es-UY"/>
              </w:rPr>
              <w:t>dicho el Padre</w:t>
            </w:r>
            <w:r w:rsidRPr="00BF3BE0">
              <w:rPr>
                <w:rFonts w:ascii="Arial" w:eastAsia="Times New Roman" w:hAnsi="Arial" w:cs="Arial"/>
                <w:color w:val="222222"/>
                <w:sz w:val="24"/>
                <w:szCs w:val="24"/>
                <w:lang w:val="es-UY" w:eastAsia="es-UY"/>
              </w:rPr>
              <w:t> (12,50), </w:t>
            </w:r>
            <w:r w:rsidRPr="00BF3BE0">
              <w:rPr>
                <w:rFonts w:ascii="Arial" w:eastAsia="Times New Roman" w:hAnsi="Arial" w:cs="Arial"/>
                <w:i/>
                <w:iCs/>
                <w:color w:val="222222"/>
                <w:sz w:val="24"/>
                <w:szCs w:val="24"/>
                <w:lang w:val="es-UY" w:eastAsia="es-UY"/>
              </w:rPr>
              <w:t>no obra por su cuenta</w:t>
            </w:r>
            <w:r w:rsidRPr="00BF3BE0">
              <w:rPr>
                <w:rFonts w:ascii="Arial" w:eastAsia="Times New Roman" w:hAnsi="Arial" w:cs="Arial"/>
                <w:color w:val="222222"/>
                <w:sz w:val="24"/>
                <w:szCs w:val="24"/>
                <w:lang w:val="es-UY" w:eastAsia="es-UY"/>
              </w:rPr>
              <w:t> (5,19.30; 8,28…)</w:t>
            </w:r>
          </w:p>
        </w:tc>
      </w:tr>
      <w:tr w:rsidR="00BF3BE0" w:rsidRPr="00BF3BE0" w:rsidTr="00BF3BE0">
        <w:tc>
          <w:tcPr>
            <w:tcW w:w="424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F3BE0" w:rsidRPr="00BF3BE0" w:rsidRDefault="00BF3BE0" w:rsidP="00BF3BE0">
            <w:pPr>
              <w:spacing w:after="0" w:line="240" w:lineRule="auto"/>
              <w:jc w:val="both"/>
              <w:rPr>
                <w:rFonts w:ascii="Helvetica" w:eastAsia="Times New Roman" w:hAnsi="Helvetica" w:cs="Helvetica"/>
                <w:color w:val="222222"/>
                <w:sz w:val="24"/>
                <w:szCs w:val="24"/>
                <w:lang w:val="es-UY" w:eastAsia="es-UY"/>
              </w:rPr>
            </w:pPr>
            <w:r w:rsidRPr="00BF3BE0">
              <w:rPr>
                <w:rFonts w:ascii="Arial" w:eastAsia="Times New Roman" w:hAnsi="Arial" w:cs="Arial"/>
                <w:color w:val="222222"/>
                <w:sz w:val="24"/>
                <w:szCs w:val="24"/>
                <w:lang w:val="es-UY" w:eastAsia="es-UY"/>
              </w:rPr>
              <w:t>El mundo </w:t>
            </w:r>
            <w:r w:rsidRPr="00BF3BE0">
              <w:rPr>
                <w:rFonts w:ascii="Arial" w:eastAsia="Times New Roman" w:hAnsi="Arial" w:cs="Arial"/>
                <w:i/>
                <w:iCs/>
                <w:color w:val="222222"/>
                <w:sz w:val="24"/>
                <w:szCs w:val="24"/>
                <w:lang w:val="es-UY" w:eastAsia="es-UY"/>
              </w:rPr>
              <w:t>no lo acepta</w:t>
            </w:r>
            <w:r w:rsidRPr="00BF3BE0">
              <w:rPr>
                <w:rFonts w:ascii="Arial" w:eastAsia="Times New Roman" w:hAnsi="Arial" w:cs="Arial"/>
                <w:color w:val="222222"/>
                <w:sz w:val="24"/>
                <w:szCs w:val="24"/>
                <w:lang w:val="es-UY" w:eastAsia="es-UY"/>
              </w:rPr>
              <w:t> (14,17) </w:t>
            </w:r>
            <w:r w:rsidRPr="00BF3BE0">
              <w:rPr>
                <w:rFonts w:ascii="Arial" w:eastAsia="Times New Roman" w:hAnsi="Arial" w:cs="Arial"/>
                <w:i/>
                <w:iCs/>
                <w:color w:val="222222"/>
                <w:sz w:val="24"/>
                <w:szCs w:val="24"/>
                <w:lang w:val="es-UY" w:eastAsia="es-UY"/>
              </w:rPr>
              <w:t>no lo ve ni reconoce</w:t>
            </w:r>
            <w:r w:rsidRPr="00BF3BE0">
              <w:rPr>
                <w:rFonts w:ascii="Arial" w:eastAsia="Times New Roman" w:hAnsi="Arial" w:cs="Arial"/>
                <w:color w:val="222222"/>
                <w:sz w:val="24"/>
                <w:szCs w:val="24"/>
                <w:lang w:val="es-UY" w:eastAsia="es-UY"/>
              </w:rPr>
              <w:t> (14,17), dará </w:t>
            </w:r>
            <w:r w:rsidRPr="00BF3BE0">
              <w:rPr>
                <w:rFonts w:ascii="Arial" w:eastAsia="Times New Roman" w:hAnsi="Arial" w:cs="Arial"/>
                <w:i/>
                <w:iCs/>
                <w:color w:val="222222"/>
                <w:sz w:val="24"/>
                <w:szCs w:val="24"/>
                <w:lang w:val="es-UY" w:eastAsia="es-UY"/>
              </w:rPr>
              <w:t>testimonio</w:t>
            </w:r>
            <w:r w:rsidRPr="00BF3BE0">
              <w:rPr>
                <w:rFonts w:ascii="Arial" w:eastAsia="Times New Roman" w:hAnsi="Arial" w:cs="Arial"/>
                <w:color w:val="222222"/>
                <w:sz w:val="24"/>
                <w:szCs w:val="24"/>
                <w:lang w:val="es-UY" w:eastAsia="es-UY"/>
              </w:rPr>
              <w:t> de Jesús frente al odio del </w:t>
            </w:r>
            <w:r w:rsidRPr="00BF3BE0">
              <w:rPr>
                <w:rFonts w:ascii="Arial" w:eastAsia="Times New Roman" w:hAnsi="Arial" w:cs="Arial"/>
                <w:i/>
                <w:iCs/>
                <w:color w:val="222222"/>
                <w:sz w:val="24"/>
                <w:szCs w:val="24"/>
                <w:lang w:val="es-UY" w:eastAsia="es-UY"/>
              </w:rPr>
              <w:t>mundo</w:t>
            </w:r>
            <w:r w:rsidRPr="00BF3BE0">
              <w:rPr>
                <w:rFonts w:ascii="Arial" w:eastAsia="Times New Roman" w:hAnsi="Arial" w:cs="Arial"/>
                <w:color w:val="222222"/>
                <w:sz w:val="24"/>
                <w:szCs w:val="24"/>
                <w:lang w:val="es-UY" w:eastAsia="es-UY"/>
              </w:rPr>
              <w:t> (15,26), convencerá al mundo (16,8-11)</w:t>
            </w:r>
          </w:p>
        </w:tc>
        <w:tc>
          <w:tcPr>
            <w:tcW w:w="4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F3BE0" w:rsidRPr="00BF3BE0" w:rsidRDefault="00BF3BE0" w:rsidP="00BF3BE0">
            <w:pPr>
              <w:spacing w:after="0" w:line="240" w:lineRule="auto"/>
              <w:jc w:val="both"/>
              <w:rPr>
                <w:rFonts w:ascii="Helvetica" w:eastAsia="Times New Roman" w:hAnsi="Helvetica" w:cs="Helvetica"/>
                <w:color w:val="222222"/>
                <w:sz w:val="24"/>
                <w:szCs w:val="24"/>
                <w:lang w:val="es-UY" w:eastAsia="es-UY"/>
              </w:rPr>
            </w:pPr>
            <w:r w:rsidRPr="00BF3BE0">
              <w:rPr>
                <w:rFonts w:ascii="Arial" w:eastAsia="Times New Roman" w:hAnsi="Arial" w:cs="Arial"/>
                <w:color w:val="222222"/>
                <w:sz w:val="24"/>
                <w:szCs w:val="24"/>
                <w:lang w:val="es-UY" w:eastAsia="es-UY"/>
              </w:rPr>
              <w:t>Jesús </w:t>
            </w:r>
            <w:r w:rsidRPr="00BF3BE0">
              <w:rPr>
                <w:rFonts w:ascii="Arial" w:eastAsia="Times New Roman" w:hAnsi="Arial" w:cs="Arial"/>
                <w:i/>
                <w:iCs/>
                <w:color w:val="222222"/>
                <w:sz w:val="24"/>
                <w:szCs w:val="24"/>
                <w:lang w:val="es-UY" w:eastAsia="es-UY"/>
              </w:rPr>
              <w:t>no es aceptado</w:t>
            </w:r>
            <w:r w:rsidRPr="00BF3BE0">
              <w:rPr>
                <w:rFonts w:ascii="Arial" w:eastAsia="Times New Roman" w:hAnsi="Arial" w:cs="Arial"/>
                <w:color w:val="222222"/>
                <w:sz w:val="24"/>
                <w:szCs w:val="24"/>
                <w:lang w:val="es-UY" w:eastAsia="es-UY"/>
              </w:rPr>
              <w:t> (5,43;12,48), a Jesús </w:t>
            </w:r>
            <w:r w:rsidRPr="00BF3BE0">
              <w:rPr>
                <w:rFonts w:ascii="Arial" w:eastAsia="Times New Roman" w:hAnsi="Arial" w:cs="Arial"/>
                <w:i/>
                <w:iCs/>
                <w:color w:val="222222"/>
                <w:sz w:val="24"/>
                <w:szCs w:val="24"/>
                <w:lang w:val="es-UY" w:eastAsia="es-UY"/>
              </w:rPr>
              <w:t>no lo verán</w:t>
            </w:r>
            <w:r w:rsidRPr="00BF3BE0">
              <w:rPr>
                <w:rFonts w:ascii="Arial" w:eastAsia="Times New Roman" w:hAnsi="Arial" w:cs="Arial"/>
                <w:color w:val="222222"/>
                <w:sz w:val="24"/>
                <w:szCs w:val="24"/>
                <w:lang w:val="es-UY" w:eastAsia="es-UY"/>
              </w:rPr>
              <w:t> (16,16) y </w:t>
            </w:r>
            <w:r w:rsidRPr="00BF3BE0">
              <w:rPr>
                <w:rFonts w:ascii="Arial" w:eastAsia="Times New Roman" w:hAnsi="Arial" w:cs="Arial"/>
                <w:i/>
                <w:iCs/>
                <w:color w:val="222222"/>
                <w:sz w:val="24"/>
                <w:szCs w:val="24"/>
                <w:lang w:val="es-UY" w:eastAsia="es-UY"/>
              </w:rPr>
              <w:t>no lo conoce</w:t>
            </w:r>
            <w:r w:rsidRPr="00BF3BE0">
              <w:rPr>
                <w:rFonts w:ascii="Arial" w:eastAsia="Times New Roman" w:hAnsi="Arial" w:cs="Arial"/>
                <w:color w:val="222222"/>
                <w:sz w:val="24"/>
                <w:szCs w:val="24"/>
                <w:lang w:val="es-UY" w:eastAsia="es-UY"/>
              </w:rPr>
              <w:t> (16,3; ver 7,28; 8,14.19; 14,7), da </w:t>
            </w:r>
            <w:r w:rsidRPr="00BF3BE0">
              <w:rPr>
                <w:rFonts w:ascii="Arial" w:eastAsia="Times New Roman" w:hAnsi="Arial" w:cs="Arial"/>
                <w:i/>
                <w:iCs/>
                <w:color w:val="222222"/>
                <w:sz w:val="24"/>
                <w:szCs w:val="24"/>
                <w:lang w:val="es-UY" w:eastAsia="es-UY"/>
              </w:rPr>
              <w:t>testimonio contra el mundo</w:t>
            </w:r>
            <w:r w:rsidRPr="00BF3BE0">
              <w:rPr>
                <w:rFonts w:ascii="Arial" w:eastAsia="Times New Roman" w:hAnsi="Arial" w:cs="Arial"/>
                <w:color w:val="222222"/>
                <w:sz w:val="24"/>
                <w:szCs w:val="24"/>
                <w:lang w:val="es-UY" w:eastAsia="es-UY"/>
              </w:rPr>
              <w:t> (7,7)</w:t>
            </w:r>
          </w:p>
        </w:tc>
      </w:tr>
    </w:tbl>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Como es evidente hay una estrecha relación entre Jesús y el Paráclito. Podemos decir que la relación que hay entre Jesús y el Padre se replica en la relación del Paráclito y Jesús una vez que este se haya “</w:t>
      </w:r>
      <w:r w:rsidRPr="00BF3BE0">
        <w:rPr>
          <w:rFonts w:ascii="Arial" w:eastAsia="Times New Roman" w:hAnsi="Arial" w:cs="Arial"/>
          <w:i/>
          <w:iCs/>
          <w:color w:val="222222"/>
          <w:sz w:val="24"/>
          <w:szCs w:val="24"/>
          <w:lang w:val="es-UY" w:eastAsia="es-UY"/>
        </w:rPr>
        <w:t>ido</w:t>
      </w:r>
      <w:r w:rsidRPr="00BF3BE0">
        <w:rPr>
          <w:rFonts w:ascii="Arial" w:eastAsia="Times New Roman" w:hAnsi="Arial" w:cs="Arial"/>
          <w:color w:val="222222"/>
          <w:sz w:val="24"/>
          <w:szCs w:val="24"/>
          <w:lang w:val="es-UY" w:eastAsia="es-UY"/>
        </w:rPr>
        <w:t>”. Seguramente ese “volver” del que habla Jesús (v.18) se refiera a su nuevo modo de presencia en el Paráclito. De ese modo lo “verán”, “estará” y podrá ser amado (vv.19.20).</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0" w:line="240" w:lineRule="auto"/>
        <w:jc w:val="both"/>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La liturgia prepara así los dos próximos “acontecimientos”, la ida de Jesús (Ascensión) y la venida del Espíritu Santo (Pentecostés) de los próximos domingos.</w:t>
      </w:r>
    </w:p>
    <w:p w:rsidR="00BF3BE0" w:rsidRPr="00BF3BE0" w:rsidRDefault="00BF3BE0" w:rsidP="00BF3BE0">
      <w:pPr>
        <w:shd w:val="clear" w:color="auto" w:fill="FFFFFF"/>
        <w:spacing w:after="0" w:line="240" w:lineRule="auto"/>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0" w:line="240" w:lineRule="auto"/>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 </w:t>
      </w:r>
    </w:p>
    <w:p w:rsidR="00BF3BE0" w:rsidRPr="00BF3BE0" w:rsidRDefault="00BF3BE0" w:rsidP="00BF3BE0">
      <w:pPr>
        <w:shd w:val="clear" w:color="auto" w:fill="FFFFFF"/>
        <w:spacing w:after="0" w:line="240" w:lineRule="auto"/>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t>Foto tomada de </w:t>
      </w:r>
      <w:hyperlink r:id="rId7" w:tgtFrame="_blank" w:history="1">
        <w:r w:rsidRPr="00BF3BE0">
          <w:rPr>
            <w:rFonts w:ascii="Arial" w:eastAsia="Times New Roman" w:hAnsi="Arial" w:cs="Arial"/>
            <w:color w:val="1155CC"/>
            <w:sz w:val="24"/>
            <w:szCs w:val="24"/>
            <w:u w:val="single"/>
            <w:lang w:val="es-UY" w:eastAsia="es-UY"/>
          </w:rPr>
          <w:t>www.conocereisdeverdad.org</w:t>
        </w:r>
      </w:hyperlink>
    </w:p>
    <w:p w:rsidR="00BF3BE0" w:rsidRPr="00BF3BE0" w:rsidRDefault="00BF3BE0" w:rsidP="00BF3BE0">
      <w:pPr>
        <w:shd w:val="clear" w:color="auto" w:fill="FFFFFF"/>
        <w:spacing w:after="0" w:line="240" w:lineRule="auto"/>
        <w:rPr>
          <w:rFonts w:ascii="Arial" w:eastAsia="Times New Roman" w:hAnsi="Arial" w:cs="Arial"/>
          <w:color w:val="222222"/>
          <w:sz w:val="24"/>
          <w:szCs w:val="24"/>
          <w:lang w:val="es-UY" w:eastAsia="es-UY"/>
        </w:rPr>
      </w:pPr>
      <w:r w:rsidRPr="00BF3BE0">
        <w:rPr>
          <w:rFonts w:ascii="Arial" w:eastAsia="Times New Roman" w:hAnsi="Arial" w:cs="Arial"/>
          <w:color w:val="222222"/>
          <w:sz w:val="24"/>
          <w:szCs w:val="24"/>
          <w:lang w:val="es-UY" w:eastAsia="es-UY"/>
        </w:rPr>
        <w:br/>
      </w:r>
      <w:r w:rsidRPr="00BF3BE0">
        <w:rPr>
          <w:rFonts w:ascii="Arial" w:eastAsia="Times New Roman" w:hAnsi="Arial" w:cs="Arial"/>
          <w:color w:val="222222"/>
          <w:sz w:val="24"/>
          <w:szCs w:val="24"/>
          <w:lang w:val="es-UY" w:eastAsia="es-UY"/>
        </w:rPr>
        <w:br/>
        <w:t>--</w:t>
      </w:r>
      <w:r w:rsidRPr="00BF3BE0">
        <w:rPr>
          <w:rFonts w:ascii="Arial" w:eastAsia="Times New Roman" w:hAnsi="Arial" w:cs="Arial"/>
          <w:color w:val="222222"/>
          <w:sz w:val="24"/>
          <w:szCs w:val="24"/>
          <w:lang w:val="es-UY" w:eastAsia="es-UY"/>
        </w:rPr>
        <w:br/>
        <w:t>Publicado por Blog de Eduardo en </w:t>
      </w:r>
      <w:hyperlink r:id="rId8" w:tgtFrame="_blank" w:history="1">
        <w:r w:rsidRPr="00BF3BE0">
          <w:rPr>
            <w:rFonts w:ascii="Arial" w:eastAsia="Times New Roman" w:hAnsi="Arial" w:cs="Arial"/>
            <w:color w:val="1155CC"/>
            <w:sz w:val="24"/>
            <w:szCs w:val="24"/>
            <w:u w:val="single"/>
            <w:lang w:val="es-UY" w:eastAsia="es-UY"/>
          </w:rPr>
          <w:t>2º Blog de Eduardo de la Serna</w:t>
        </w:r>
      </w:hyperlink>
      <w:r w:rsidRPr="00BF3BE0">
        <w:rPr>
          <w:rFonts w:ascii="Arial" w:eastAsia="Times New Roman" w:hAnsi="Arial" w:cs="Arial"/>
          <w:color w:val="222222"/>
          <w:sz w:val="24"/>
          <w:szCs w:val="24"/>
          <w:lang w:val="es-UY" w:eastAsia="es-UY"/>
        </w:rPr>
        <w:t> el 5/12/2020 06:00:00 a.m.</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9B1070"/>
    <w:multiLevelType w:val="multilevel"/>
    <w:tmpl w:val="79229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BE0"/>
    <w:rsid w:val="002E2F5B"/>
    <w:rsid w:val="00BF3BE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9FEC48-8C7D-4CD7-BE1D-D430EAE89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0861575">
      <w:bodyDiv w:val="1"/>
      <w:marLeft w:val="0"/>
      <w:marRight w:val="0"/>
      <w:marTop w:val="0"/>
      <w:marBottom w:val="0"/>
      <w:divBdr>
        <w:top w:val="none" w:sz="0" w:space="0" w:color="auto"/>
        <w:left w:val="none" w:sz="0" w:space="0" w:color="auto"/>
        <w:bottom w:val="none" w:sz="0" w:space="0" w:color="auto"/>
        <w:right w:val="none" w:sz="0" w:space="0" w:color="auto"/>
      </w:divBdr>
      <w:divsChild>
        <w:div w:id="402676321">
          <w:marLeft w:val="360"/>
          <w:marRight w:val="0"/>
          <w:marTop w:val="0"/>
          <w:marBottom w:val="0"/>
          <w:divBdr>
            <w:top w:val="none" w:sz="0" w:space="0" w:color="auto"/>
            <w:left w:val="none" w:sz="0" w:space="0" w:color="auto"/>
            <w:bottom w:val="none" w:sz="0" w:space="0" w:color="auto"/>
            <w:right w:val="none" w:sz="0" w:space="0" w:color="auto"/>
          </w:divBdr>
        </w:div>
        <w:div w:id="1793396378">
          <w:marLeft w:val="360"/>
          <w:marRight w:val="0"/>
          <w:marTop w:val="0"/>
          <w:marBottom w:val="0"/>
          <w:divBdr>
            <w:top w:val="none" w:sz="0" w:space="0" w:color="auto"/>
            <w:left w:val="none" w:sz="0" w:space="0" w:color="auto"/>
            <w:bottom w:val="none" w:sz="0" w:space="0" w:color="auto"/>
            <w:right w:val="none" w:sz="0" w:space="0" w:color="auto"/>
          </w:divBdr>
        </w:div>
        <w:div w:id="1017075305">
          <w:marLeft w:val="360"/>
          <w:marRight w:val="0"/>
          <w:marTop w:val="0"/>
          <w:marBottom w:val="0"/>
          <w:divBdr>
            <w:top w:val="none" w:sz="0" w:space="0" w:color="auto"/>
            <w:left w:val="none" w:sz="0" w:space="0" w:color="auto"/>
            <w:bottom w:val="none" w:sz="0" w:space="0" w:color="auto"/>
            <w:right w:val="none" w:sz="0" w:space="0" w:color="auto"/>
          </w:divBdr>
        </w:div>
        <w:div w:id="1765372518">
          <w:marLeft w:val="0"/>
          <w:marRight w:val="0"/>
          <w:marTop w:val="0"/>
          <w:marBottom w:val="0"/>
          <w:divBdr>
            <w:top w:val="none" w:sz="0" w:space="0" w:color="auto"/>
            <w:left w:val="none" w:sz="0" w:space="0" w:color="auto"/>
            <w:bottom w:val="none" w:sz="0" w:space="0" w:color="auto"/>
            <w:right w:val="none" w:sz="0" w:space="0" w:color="auto"/>
          </w:divBdr>
        </w:div>
        <w:div w:id="1607496072">
          <w:marLeft w:val="0"/>
          <w:marRight w:val="0"/>
          <w:marTop w:val="0"/>
          <w:marBottom w:val="0"/>
          <w:divBdr>
            <w:top w:val="none" w:sz="0" w:space="0" w:color="auto"/>
            <w:left w:val="none" w:sz="0" w:space="0" w:color="auto"/>
            <w:bottom w:val="none" w:sz="0" w:space="0" w:color="auto"/>
            <w:right w:val="none" w:sz="0" w:space="0" w:color="auto"/>
          </w:divBdr>
        </w:div>
        <w:div w:id="5643399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geduopp1.blogspot.com/2020/05/comentario-pascua-6a.html" TargetMode="External"/><Relationship Id="rId3" Type="http://schemas.openxmlformats.org/officeDocument/2006/relationships/settings" Target="settings.xml"/><Relationship Id="rId7" Type="http://schemas.openxmlformats.org/officeDocument/2006/relationships/hyperlink" Target="http://www.google.com.ar/url?sa=i&amp;rct=j&amp;q=&amp;esrc=s&amp;source=images&amp;cd=&amp;cad=rja&amp;uact=8&amp;docid=ycmzklyOvI6bWM&amp;tbnid=pjR-DxNgd7695M:&amp;ved=0CAQQjB0&amp;url=http%3A%2F%2Fwww.conocereisdeverdad.org%2Fwebsite%2Findex.php%3Fid%3D4365&amp;ei=N8xmU7n-CciDogSlpYGwBQ&amp;bvm=bv.65788261,d.cGU&amp;psig=AFQjCNEC3E2DuEZWGqmJf_rWvCMZbyd8UA&amp;ust=13993321331963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1.bp.blogspot.com/-3gwcUvx_ovM/U3ti2QvRfGI/AAAAAAAADbI/pC_TpunsZfA/s1600/Pascua+6A.jp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2130</Words>
  <Characters>11720</Characters>
  <Application>Microsoft Office Word</Application>
  <DocSecurity>0</DocSecurity>
  <Lines>97</Lines>
  <Paragraphs>27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El Espíritu es anunciado, el Pueblo no quedará solo</vt:lpstr>
    </vt:vector>
  </TitlesOfParts>
  <Company/>
  <LinksUpToDate>false</LinksUpToDate>
  <CharactersWithSpaces>13823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2020-05-13T16:49:00Z</dcterms:created>
  <dcterms:modified xsi:type="dcterms:W3CDTF">2020-05-13T16:50:00Z</dcterms:modified>
</cp:coreProperties>
</file>