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316" w:rsidRDefault="00EF4316" w:rsidP="00EF431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F4316">
        <w:rPr>
          <w:rFonts w:ascii="Arial" w:eastAsia="Times New Roman" w:hAnsi="Arial" w:cs="Arial"/>
          <w:b/>
          <w:bCs/>
          <w:i/>
          <w:iCs/>
          <w:color w:val="D49400"/>
          <w:kern w:val="36"/>
          <w:sz w:val="21"/>
          <w:szCs w:val="21"/>
          <w:lang w:val="es-UY" w:eastAsia="es-UY"/>
        </w:rPr>
        <w:t>Denunció "la mentira ideológica de las apariencias democráticas" del capitalismo</w:t>
      </w:r>
    </w:p>
    <w:p w:rsidR="00EF4316" w:rsidRPr="00EF4316" w:rsidRDefault="00EF4316" w:rsidP="00EF431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EF4316">
        <w:rPr>
          <w:rFonts w:ascii="Arial" w:eastAsia="Times New Roman" w:hAnsi="Arial" w:cs="Arial"/>
          <w:b/>
          <w:bCs/>
          <w:color w:val="333333"/>
          <w:kern w:val="36"/>
          <w:sz w:val="38"/>
          <w:szCs w:val="38"/>
          <w:lang w:val="es-UY" w:eastAsia="es-UY"/>
        </w:rPr>
        <w:t>Ignacio Ellacuría: Filosofía de la realidad histórica y teología de la liberación</w:t>
      </w:r>
    </w:p>
    <w:p w:rsidR="00EF4316" w:rsidRPr="00EF4316" w:rsidRDefault="00EF4316" w:rsidP="00EF4316">
      <w:pPr>
        <w:shd w:val="clear" w:color="auto" w:fill="FFFFFF"/>
        <w:spacing w:after="0" w:line="240" w:lineRule="auto"/>
        <w:rPr>
          <w:rFonts w:ascii="Arial" w:eastAsia="Times New Roman" w:hAnsi="Arial" w:cs="Arial"/>
          <w:color w:val="000000"/>
          <w:sz w:val="21"/>
          <w:szCs w:val="21"/>
          <w:lang w:val="es-UY" w:eastAsia="es-UY"/>
        </w:rPr>
      </w:pPr>
      <w:r w:rsidRPr="00EF4316">
        <w:rPr>
          <w:rFonts w:ascii="Arial" w:eastAsia="Times New Roman" w:hAnsi="Arial" w:cs="Arial"/>
          <w:noProof/>
          <w:color w:val="000000"/>
          <w:sz w:val="21"/>
          <w:szCs w:val="21"/>
          <w:lang w:val="es-UY" w:eastAsia="es-UY"/>
        </w:rPr>
        <w:drawing>
          <wp:inline distT="0" distB="0" distL="0" distR="0" wp14:anchorId="080B2CFC" wp14:editId="2C992B67">
            <wp:extent cx="5873750" cy="3298793"/>
            <wp:effectExtent l="0" t="0" r="0" b="0"/>
            <wp:docPr id="1" name="Imagen 1" descr="Ellacu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lacur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1208" cy="3302982"/>
                    </a:xfrm>
                    <a:prstGeom prst="rect">
                      <a:avLst/>
                    </a:prstGeom>
                    <a:noFill/>
                    <a:ln>
                      <a:noFill/>
                    </a:ln>
                  </pic:spPr>
                </pic:pic>
              </a:graphicData>
            </a:graphic>
          </wp:inline>
        </w:drawing>
      </w:r>
    </w:p>
    <w:p w:rsidR="00EF4316" w:rsidRPr="00EF4316" w:rsidRDefault="00EF4316" w:rsidP="00EF4316">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EF4316">
        <w:rPr>
          <w:rFonts w:ascii="Arial" w:eastAsia="Times New Roman" w:hAnsi="Arial" w:cs="Arial"/>
          <w:b/>
          <w:bCs/>
          <w:color w:val="474747"/>
          <w:sz w:val="26"/>
          <w:szCs w:val="26"/>
          <w:lang w:val="es-UY" w:eastAsia="es-UY"/>
        </w:rPr>
        <w:t>El que fuera rector de la UCA "30 años después de su asesinato sigue vivo y activo en sus obras, muchas de ellas publicadas póstumamente"</w:t>
      </w:r>
    </w:p>
    <w:p w:rsidR="00EF4316" w:rsidRPr="00EF4316" w:rsidRDefault="00EF4316" w:rsidP="00EF4316">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EF4316">
        <w:rPr>
          <w:rFonts w:ascii="Arial" w:eastAsia="Times New Roman" w:hAnsi="Arial" w:cs="Arial"/>
          <w:b/>
          <w:bCs/>
          <w:color w:val="474747"/>
          <w:sz w:val="26"/>
          <w:szCs w:val="26"/>
          <w:lang w:val="es-UY" w:eastAsia="es-UY"/>
        </w:rPr>
        <w:t>"Era jesuita, científico social, analista político e impulsor de la teoría crítica de los derechos humanos"</w:t>
      </w:r>
    </w:p>
    <w:p w:rsidR="00EF4316" w:rsidRPr="00EF4316" w:rsidRDefault="00EF4316" w:rsidP="00EF4316">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EF4316">
        <w:rPr>
          <w:rFonts w:ascii="Arial" w:eastAsia="Times New Roman" w:hAnsi="Arial" w:cs="Arial"/>
          <w:b/>
          <w:bCs/>
          <w:color w:val="474747"/>
          <w:sz w:val="26"/>
          <w:szCs w:val="26"/>
          <w:lang w:val="es-UY" w:eastAsia="es-UY"/>
        </w:rPr>
        <w:t>"Para el teólogo hispano-salvadoreño, la ética es la teología primera y el profetismo la manifestación crítico-pública de la ética"</w:t>
      </w:r>
    </w:p>
    <w:p w:rsidR="00EF4316" w:rsidRPr="00EF4316" w:rsidRDefault="00EF4316" w:rsidP="00EF4316">
      <w:pPr>
        <w:shd w:val="clear" w:color="auto" w:fill="FFFFFF"/>
        <w:spacing w:after="150" w:line="240" w:lineRule="auto"/>
        <w:rPr>
          <w:rFonts w:ascii="inherit" w:eastAsia="Times New Roman" w:hAnsi="inherit" w:cs="Arial"/>
          <w:b/>
          <w:bCs/>
          <w:i/>
          <w:iCs/>
          <w:color w:val="333333"/>
          <w:sz w:val="20"/>
          <w:szCs w:val="20"/>
          <w:lang w:val="es-UY" w:eastAsia="es-UY"/>
        </w:rPr>
      </w:pPr>
      <w:r w:rsidRPr="00EF4316">
        <w:rPr>
          <w:rFonts w:ascii="inherit" w:eastAsia="Times New Roman" w:hAnsi="inherit" w:cs="Arial"/>
          <w:b/>
          <w:bCs/>
          <w:i/>
          <w:iCs/>
          <w:color w:val="333333"/>
          <w:sz w:val="20"/>
          <w:szCs w:val="20"/>
          <w:lang w:val="es-UY" w:eastAsia="es-UY"/>
        </w:rPr>
        <w:t>16.11.2019 | Juan José Tamayo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b/>
          <w:bCs/>
          <w:color w:val="474747"/>
          <w:sz w:val="24"/>
          <w:szCs w:val="24"/>
          <w:lang w:val="es-UY" w:eastAsia="es-UY"/>
        </w:rPr>
        <w:t xml:space="preserve">“Ellacuría debe ser eliminado y no quiero testigos”. Fue la orden que dio el coronel René Emilio Ponce al batallón </w:t>
      </w:r>
      <w:proofErr w:type="spellStart"/>
      <w:r w:rsidRPr="00EF4316">
        <w:rPr>
          <w:rFonts w:ascii="Arial" w:eastAsia="Times New Roman" w:hAnsi="Arial" w:cs="Arial"/>
          <w:b/>
          <w:bCs/>
          <w:color w:val="474747"/>
          <w:sz w:val="24"/>
          <w:szCs w:val="24"/>
          <w:lang w:val="es-UY" w:eastAsia="es-UY"/>
        </w:rPr>
        <w:t>Atlacatl</w:t>
      </w:r>
      <w:proofErr w:type="spellEnd"/>
      <w:r w:rsidRPr="00EF4316">
        <w:rPr>
          <w:rFonts w:ascii="Arial" w:eastAsia="Times New Roman" w:hAnsi="Arial" w:cs="Arial"/>
          <w:color w:val="333333"/>
          <w:sz w:val="24"/>
          <w:szCs w:val="24"/>
          <w:lang w:val="es-UY" w:eastAsia="es-UY"/>
        </w:rPr>
        <w:t xml:space="preserve">, el más sanguinario del ejército salvadoreño. La orden se cumplió </w:t>
      </w:r>
      <w:proofErr w:type="gramStart"/>
      <w:r w:rsidRPr="00EF4316">
        <w:rPr>
          <w:rFonts w:ascii="Arial" w:eastAsia="Times New Roman" w:hAnsi="Arial" w:cs="Arial"/>
          <w:color w:val="333333"/>
          <w:sz w:val="24"/>
          <w:szCs w:val="24"/>
          <w:lang w:val="es-UY" w:eastAsia="es-UY"/>
        </w:rPr>
        <w:t>el noche</w:t>
      </w:r>
      <w:proofErr w:type="gramEnd"/>
      <w:r w:rsidRPr="00EF4316">
        <w:rPr>
          <w:rFonts w:ascii="Arial" w:eastAsia="Times New Roman" w:hAnsi="Arial" w:cs="Arial"/>
          <w:color w:val="333333"/>
          <w:sz w:val="24"/>
          <w:szCs w:val="24"/>
          <w:lang w:val="es-UY" w:eastAsia="es-UY"/>
        </w:rPr>
        <w:t xml:space="preserve"> del 16 de noviembre de 1989 en que fueron asesinados con premeditación, nocturnidad y alevosía seis jesuitas y dos mujeres, Elba Ramos, trabajadora doméstica, y su hija Celina, de 15 años, en la Universidad Centroamericana “José Simeón Cañas”, de San Salvador (UCA). Entre los asesinados se encontraba el jesuita vasco, nacionalizado salvadoreño, Ignacio Ellacuría, rector de la UCA, discípulo de Rahner y de Zubiri, estrecho colaborador de este y editor de algunas de sus obras. Era filósofo y teólogo de la liberación, científico social, analista político e impulsor de la teoría crítica de los derechos humanos, dimensiones que son difíciles de encontrar y de armonizar en una sola persona, pero, en este caso, convivieron no sin conflictos internos y externos, y se </w:t>
      </w:r>
      <w:proofErr w:type="gramStart"/>
      <w:r w:rsidRPr="00EF4316">
        <w:rPr>
          <w:rFonts w:ascii="Arial" w:eastAsia="Times New Roman" w:hAnsi="Arial" w:cs="Arial"/>
          <w:color w:val="333333"/>
          <w:sz w:val="24"/>
          <w:szCs w:val="24"/>
          <w:lang w:val="es-UY" w:eastAsia="es-UY"/>
        </w:rPr>
        <w:t>desarrollaron  con</w:t>
      </w:r>
      <w:proofErr w:type="gramEnd"/>
      <w:r w:rsidRPr="00EF4316">
        <w:rPr>
          <w:rFonts w:ascii="Arial" w:eastAsia="Times New Roman" w:hAnsi="Arial" w:cs="Arial"/>
          <w:color w:val="333333"/>
          <w:sz w:val="24"/>
          <w:szCs w:val="24"/>
          <w:lang w:val="es-UY" w:eastAsia="es-UY"/>
        </w:rPr>
        <w:t xml:space="preserve"> lucidez intelectual y coherencia vital.</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lastRenderedPageBreak/>
        <w:t>“Revertir la historia, </w:t>
      </w:r>
      <w:r w:rsidRPr="00EF4316">
        <w:rPr>
          <w:rFonts w:ascii="Arial" w:eastAsia="Times New Roman" w:hAnsi="Arial" w:cs="Arial"/>
          <w:b/>
          <w:bCs/>
          <w:color w:val="474747"/>
          <w:sz w:val="24"/>
          <w:szCs w:val="24"/>
          <w:lang w:val="es-UY" w:eastAsia="es-UY"/>
        </w:rPr>
        <w:t>subvertirla y lanzarla en otra dirección</w:t>
      </w:r>
      <w:r w:rsidRPr="00EF4316">
        <w:rPr>
          <w:rFonts w:ascii="Arial" w:eastAsia="Times New Roman" w:hAnsi="Arial" w:cs="Arial"/>
          <w:color w:val="333333"/>
          <w:sz w:val="24"/>
          <w:szCs w:val="24"/>
          <w:lang w:val="es-UY" w:eastAsia="es-UY"/>
        </w:rPr>
        <w:t>”; “sanar la civilización enferma”, “superar la civilización del capital”; “evitar un desenlace fatídico y fatal”, “bajar a los crucificados de la cruz”, “solo una Iglesia que se deja invadir por el Espíritu renovador y que está atenta a los signos de los tiempos puede convertirse en el cielo nuevo que necesitan el ser humano y la tierra nuevos”; denunció “la maldad intrínseca del sistema capitalista y la mentira ideológica de las apariencias democráticas que lo acompañan” (son afirmaciones suyas): estos fueron los grandes desafíos a los que quiso responder con la palabra y la escritura, el compromiso político y la vivencia religiosa. Y lo pagó con su vida.   </w:t>
      </w:r>
    </w:p>
    <w:p w:rsidR="00EF4316" w:rsidRPr="00EF4316" w:rsidRDefault="00EF4316" w:rsidP="00EF4316">
      <w:pPr>
        <w:shd w:val="clear" w:color="auto" w:fill="FFFFFF"/>
        <w:spacing w:after="0" w:line="240" w:lineRule="auto"/>
        <w:rPr>
          <w:rFonts w:ascii="inherit" w:eastAsia="Times New Roman" w:hAnsi="inherit" w:cs="Arial"/>
          <w:color w:val="000000"/>
          <w:sz w:val="21"/>
          <w:szCs w:val="21"/>
          <w:lang w:val="es-UY" w:eastAsia="es-UY"/>
        </w:rPr>
      </w:pPr>
      <w:r w:rsidRPr="00EF4316">
        <w:rPr>
          <w:rFonts w:ascii="inherit" w:eastAsia="Times New Roman" w:hAnsi="inherit" w:cs="Arial"/>
          <w:noProof/>
          <w:color w:val="000000"/>
          <w:sz w:val="21"/>
          <w:szCs w:val="21"/>
          <w:lang w:val="es-UY" w:eastAsia="es-UY"/>
        </w:rPr>
        <w:drawing>
          <wp:inline distT="0" distB="0" distL="0" distR="0" wp14:anchorId="2FC963BD" wp14:editId="36A55AF1">
            <wp:extent cx="5677736" cy="3187700"/>
            <wp:effectExtent l="0" t="0" r="0" b="0"/>
            <wp:docPr id="2" name="Imagen 2" descr="El día que mataron a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día que mataron a Ellacur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6350" cy="3192536"/>
                    </a:xfrm>
                    <a:prstGeom prst="rect">
                      <a:avLst/>
                    </a:prstGeom>
                    <a:noFill/>
                    <a:ln>
                      <a:noFill/>
                    </a:ln>
                  </pic:spPr>
                </pic:pic>
              </a:graphicData>
            </a:graphic>
          </wp:inline>
        </w:drawing>
      </w:r>
    </w:p>
    <w:p w:rsidR="00EF4316" w:rsidRPr="00EF4316" w:rsidRDefault="00EF4316" w:rsidP="00EF4316">
      <w:pPr>
        <w:shd w:val="clear" w:color="auto" w:fill="FFFFFF"/>
        <w:spacing w:line="240" w:lineRule="auto"/>
        <w:rPr>
          <w:rFonts w:ascii="inherit" w:eastAsia="Times New Roman" w:hAnsi="inherit" w:cs="Arial"/>
          <w:color w:val="000000"/>
          <w:sz w:val="21"/>
          <w:szCs w:val="21"/>
          <w:lang w:val="es-UY" w:eastAsia="es-UY"/>
        </w:rPr>
      </w:pPr>
      <w:r w:rsidRPr="00EF4316">
        <w:rPr>
          <w:rFonts w:ascii="inherit" w:eastAsia="Times New Roman" w:hAnsi="inherit" w:cs="Arial"/>
          <w:color w:val="000000"/>
          <w:sz w:val="21"/>
          <w:szCs w:val="21"/>
          <w:lang w:val="es-UY" w:eastAsia="es-UY"/>
        </w:rPr>
        <w:t>El día que mataron a Ellacuría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30 años después de su asesinato Ellacuría sigue vivo y activo en sus obras, muchas de ellas publicadas póstumamente. En 1990 y 1991 aparecieron dos de sus libros mayores: </w:t>
      </w:r>
      <w:r w:rsidRPr="00EF4316">
        <w:rPr>
          <w:rFonts w:ascii="Arial" w:eastAsia="Times New Roman" w:hAnsi="Arial" w:cs="Arial"/>
          <w:i/>
          <w:iCs/>
          <w:color w:val="474747"/>
          <w:sz w:val="24"/>
          <w:szCs w:val="24"/>
          <w:lang w:val="es-UY" w:eastAsia="es-UY"/>
        </w:rPr>
        <w:t>Conceptos fundamentales de la teología de la liberación</w:t>
      </w:r>
      <w:r w:rsidRPr="00EF4316">
        <w:rPr>
          <w:rFonts w:ascii="Arial" w:eastAsia="Times New Roman" w:hAnsi="Arial" w:cs="Arial"/>
          <w:color w:val="333333"/>
          <w:sz w:val="24"/>
          <w:szCs w:val="24"/>
          <w:lang w:val="es-UY" w:eastAsia="es-UY"/>
        </w:rPr>
        <w:t>, de la que es editor junto con </w:t>
      </w:r>
      <w:r w:rsidRPr="00EF4316">
        <w:rPr>
          <w:rFonts w:ascii="Arial" w:eastAsia="Times New Roman" w:hAnsi="Arial" w:cs="Arial"/>
          <w:b/>
          <w:bCs/>
          <w:color w:val="474747"/>
          <w:sz w:val="24"/>
          <w:szCs w:val="24"/>
          <w:lang w:val="es-UY" w:eastAsia="es-UY"/>
        </w:rPr>
        <w:t>su compañero Jon Sobrino</w:t>
      </w:r>
      <w:r w:rsidRPr="00EF4316">
        <w:rPr>
          <w:rFonts w:ascii="Arial" w:eastAsia="Times New Roman" w:hAnsi="Arial" w:cs="Arial"/>
          <w:color w:val="333333"/>
          <w:sz w:val="24"/>
          <w:szCs w:val="24"/>
          <w:lang w:val="es-UY" w:eastAsia="es-UY"/>
        </w:rPr>
        <w:t>, entonces la mejor y más completa visión global de dicha corriente teológica latinoamericana, y </w:t>
      </w:r>
      <w:r w:rsidRPr="00EF4316">
        <w:rPr>
          <w:rFonts w:ascii="Arial" w:eastAsia="Times New Roman" w:hAnsi="Arial" w:cs="Arial"/>
          <w:i/>
          <w:iCs/>
          <w:color w:val="474747"/>
          <w:sz w:val="24"/>
          <w:szCs w:val="24"/>
          <w:lang w:val="es-UY" w:eastAsia="es-UY"/>
        </w:rPr>
        <w:t>Filosofía de la realidad histórica</w:t>
      </w:r>
      <w:r w:rsidRPr="00EF4316">
        <w:rPr>
          <w:rFonts w:ascii="Arial" w:eastAsia="Times New Roman" w:hAnsi="Arial" w:cs="Arial"/>
          <w:color w:val="333333"/>
          <w:sz w:val="24"/>
          <w:szCs w:val="24"/>
          <w:lang w:val="es-UY" w:eastAsia="es-UY"/>
        </w:rPr>
        <w:t>, editada por su colaborador Antonio González, cuyo hilo conductor es la filosofía de Zubiri, pero recreada y abierta a otras corrientes como Hegel y Marx, leídos críticamente. Es parte de un proyecto más ambicioso trabajado desde la década los setenta del siglo pasado y que quedó truncado con el asesinato.  Posteriormente la UCA publicó sus Escritos Políticos 3 vols., 1991; Escritos Filosóficos, 3 vols., 1996, 1999, 2001; Escritos Universitarios, 1999; Escritos Teológicos, 4 vols., 2000-2004.</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En los treinta años posteriores a su asesinato se han sucedido ininterrumpidamente los estudios, monografías, tesis doctorales, congresos, conferencias, investigaciones, cursos monográficos, círculos de estudio, Cátedras universitarias con su nombre (la que yo dirijo, creada en 2002 en la Universidad Carlos III de Madrid, se llama "</w:t>
      </w:r>
      <w:r w:rsidRPr="00EF4316">
        <w:rPr>
          <w:rFonts w:ascii="Arial" w:eastAsia="Times New Roman" w:hAnsi="Arial" w:cs="Arial"/>
          <w:b/>
          <w:bCs/>
          <w:color w:val="474747"/>
          <w:sz w:val="24"/>
          <w:szCs w:val="24"/>
          <w:lang w:val="es-UY" w:eastAsia="es-UY"/>
        </w:rPr>
        <w:t>Cátedra de Teología y Ciencias de las Religiones Ignacio Ellacuría</w:t>
      </w:r>
      <w:r w:rsidRPr="00EF4316">
        <w:rPr>
          <w:rFonts w:ascii="Arial" w:eastAsia="Times New Roman" w:hAnsi="Arial" w:cs="Arial"/>
          <w:color w:val="333333"/>
          <w:sz w:val="24"/>
          <w:szCs w:val="24"/>
          <w:lang w:val="es-UY" w:eastAsia="es-UY"/>
        </w:rPr>
        <w:t>"), que demuestran la “autenticidad” de su vida y la creatividad y vigencia de su pensamiento en los diferentes campos del saber y del quehacer humano: política, religión, derechos humanos, universidad, ciencias sociales, filosofía, teología, ética, filosofía política, etc.</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Lo que descubrimos con la publicación de sus escritos y los estudios sobre su pensamiento es que Ellacuría tuvo excelentes maestros: Pedro Elizondo, que le introdujo en la espiritualidad ignaciana; Aurelio Espinosa, que le abrió al humanismo de la cultura clásica; </w:t>
      </w:r>
      <w:r w:rsidRPr="00EF4316">
        <w:rPr>
          <w:rFonts w:ascii="Arial" w:eastAsia="Times New Roman" w:hAnsi="Arial" w:cs="Arial"/>
          <w:b/>
          <w:bCs/>
          <w:color w:val="474747"/>
          <w:sz w:val="24"/>
          <w:szCs w:val="24"/>
          <w:lang w:val="es-UY" w:eastAsia="es-UY"/>
        </w:rPr>
        <w:t>Rahner en teología; Zubiri en filosofía; monseñor Romero en espiritualidad y compromiso liberador</w:t>
      </w:r>
      <w:r w:rsidRPr="00EF4316">
        <w:rPr>
          <w:rFonts w:ascii="Arial" w:eastAsia="Times New Roman" w:hAnsi="Arial" w:cs="Arial"/>
          <w:color w:val="333333"/>
          <w:sz w:val="24"/>
          <w:szCs w:val="24"/>
          <w:lang w:val="es-UY" w:eastAsia="es-UY"/>
        </w:rPr>
        <w:t>; Jon Sobrino, colega en la UCA, que fue su maestro en cristología. </w:t>
      </w:r>
    </w:p>
    <w:p w:rsidR="00EF4316" w:rsidRPr="00EF4316" w:rsidRDefault="00EF4316" w:rsidP="00EF4316">
      <w:pPr>
        <w:shd w:val="clear" w:color="auto" w:fill="FFFFFF"/>
        <w:spacing w:after="0" w:line="240" w:lineRule="auto"/>
        <w:jc w:val="both"/>
        <w:rPr>
          <w:rFonts w:ascii="inherit" w:eastAsia="Times New Roman" w:hAnsi="inherit" w:cs="Arial"/>
          <w:color w:val="000000"/>
          <w:sz w:val="24"/>
          <w:szCs w:val="24"/>
          <w:lang w:val="es-UY" w:eastAsia="es-UY"/>
        </w:rPr>
      </w:pPr>
      <w:r w:rsidRPr="00EF4316">
        <w:rPr>
          <w:rFonts w:ascii="inherit" w:eastAsia="Times New Roman" w:hAnsi="inherit" w:cs="Arial"/>
          <w:noProof/>
          <w:color w:val="000000"/>
          <w:sz w:val="24"/>
          <w:szCs w:val="24"/>
          <w:lang w:val="es-UY" w:eastAsia="es-UY"/>
        </w:rPr>
        <w:drawing>
          <wp:inline distT="0" distB="0" distL="0" distR="0" wp14:anchorId="5C04193C" wp14:editId="31325BF6">
            <wp:extent cx="5338429" cy="2997200"/>
            <wp:effectExtent l="0" t="0" r="0" b="0"/>
            <wp:docPr id="3" name="Imagen 3" descr="Capitalismo inhu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italismo inhuma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3150" cy="2999850"/>
                    </a:xfrm>
                    <a:prstGeom prst="rect">
                      <a:avLst/>
                    </a:prstGeom>
                    <a:noFill/>
                    <a:ln>
                      <a:noFill/>
                    </a:ln>
                  </pic:spPr>
                </pic:pic>
              </a:graphicData>
            </a:graphic>
          </wp:inline>
        </w:drawing>
      </w:r>
    </w:p>
    <w:p w:rsidR="00EF4316" w:rsidRPr="00EF4316" w:rsidRDefault="00EF4316" w:rsidP="00EF4316">
      <w:pPr>
        <w:shd w:val="clear" w:color="auto" w:fill="FFFFFF"/>
        <w:spacing w:line="240" w:lineRule="auto"/>
        <w:rPr>
          <w:rFonts w:ascii="inherit" w:eastAsia="Times New Roman" w:hAnsi="inherit" w:cs="Arial"/>
          <w:color w:val="000000"/>
          <w:sz w:val="21"/>
          <w:szCs w:val="21"/>
          <w:lang w:val="es-UY" w:eastAsia="es-UY"/>
        </w:rPr>
      </w:pPr>
      <w:r w:rsidRPr="00EF4316">
        <w:rPr>
          <w:rFonts w:ascii="inherit" w:eastAsia="Times New Roman" w:hAnsi="inherit" w:cs="Arial"/>
          <w:color w:val="000000"/>
          <w:sz w:val="21"/>
          <w:szCs w:val="21"/>
          <w:lang w:val="es-UY" w:eastAsia="es-UY"/>
        </w:rPr>
        <w:t>Capitalismo inhumano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De ellos aprendió a pensar y actuar alternativamente. Pero su discipulado no fue escolar, sino creativo, ya que, inspirándose en ellos, desarrolló un pensamiento propio y él mismo se convirtió en maestro, si por tal entendemos no solo el que da lecciones magistrales en el aula, sino, en expresión de Kant aplicada al profesor de filosofía, el que enseña a pensar. Ciertamente, Ellacuría </w:t>
      </w:r>
      <w:r w:rsidRPr="00EF4316">
        <w:rPr>
          <w:rFonts w:ascii="Arial" w:eastAsia="Times New Roman" w:hAnsi="Arial" w:cs="Arial"/>
          <w:b/>
          <w:bCs/>
          <w:color w:val="474747"/>
          <w:sz w:val="24"/>
          <w:szCs w:val="24"/>
          <w:lang w:val="es-UY" w:eastAsia="es-UY"/>
        </w:rPr>
        <w:t>enseñó a pensar con sentido crítico a varias generaciones de estudiantes</w:t>
      </w:r>
      <w:r w:rsidRPr="00EF4316">
        <w:rPr>
          <w:rFonts w:ascii="Arial" w:eastAsia="Times New Roman" w:hAnsi="Arial" w:cs="Arial"/>
          <w:color w:val="333333"/>
          <w:sz w:val="24"/>
          <w:szCs w:val="24"/>
          <w:lang w:val="es-UY" w:eastAsia="es-UY"/>
        </w:rPr>
        <w:t> en su cátedra de la UCA, a ciudadanos y ciudadanas de todo el mundo a través de sus artículos, libros y conferencias.</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Ellacuría parte del pensamiento de sus maestros, pero no se queda en ellos; avanza, va más allá, los interpreta en el nuevo contexto y, en buena medida, </w:t>
      </w:r>
      <w:r w:rsidRPr="00EF4316">
        <w:rPr>
          <w:rFonts w:ascii="Arial" w:eastAsia="Times New Roman" w:hAnsi="Arial" w:cs="Arial"/>
          <w:b/>
          <w:bCs/>
          <w:color w:val="474747"/>
          <w:sz w:val="24"/>
          <w:szCs w:val="24"/>
          <w:lang w:val="es-UY" w:eastAsia="es-UY"/>
        </w:rPr>
        <w:t>los transforma</w:t>
      </w:r>
      <w:r w:rsidRPr="00EF4316">
        <w:rPr>
          <w:rFonts w:ascii="Arial" w:eastAsia="Times New Roman" w:hAnsi="Arial" w:cs="Arial"/>
          <w:color w:val="333333"/>
          <w:sz w:val="24"/>
          <w:szCs w:val="24"/>
          <w:lang w:val="es-UY" w:eastAsia="es-UY"/>
        </w:rPr>
        <w:t>. Ahí radica su originalidad. Su relación con ellos es, por tanto, dialógica, de colaboración e influencia mutuas. Sus obras así lo acreditan y los estudios sobre él lo confirman.</w:t>
      </w:r>
    </w:p>
    <w:p w:rsidR="00EF4316" w:rsidRPr="00EF4316" w:rsidRDefault="00EF4316" w:rsidP="00EF431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F4316">
        <w:rPr>
          <w:rFonts w:ascii="Arial" w:eastAsia="Times New Roman" w:hAnsi="Arial" w:cs="Arial"/>
          <w:b/>
          <w:bCs/>
          <w:color w:val="474747"/>
          <w:sz w:val="24"/>
          <w:szCs w:val="24"/>
          <w:lang w:val="es-UY" w:eastAsia="es-UY"/>
        </w:rPr>
        <w:t>Teología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Su colega y amigo Jon Sobrino ha escrito páginas de necesaria lectura sobre el “Ellacuría olvidado”, en las que recupera tres pensamientos teológicos fundamentales suyos: </w:t>
      </w:r>
      <w:r w:rsidRPr="00EF4316">
        <w:rPr>
          <w:rFonts w:ascii="Arial" w:eastAsia="Times New Roman" w:hAnsi="Arial" w:cs="Arial"/>
          <w:b/>
          <w:bCs/>
          <w:color w:val="474747"/>
          <w:sz w:val="24"/>
          <w:szCs w:val="24"/>
          <w:lang w:val="es-UY" w:eastAsia="es-UY"/>
        </w:rPr>
        <w:t>el pueblo crucificado; el trabajo por una civilización de la pobreza, superadora de la civilización del capital</w:t>
      </w:r>
      <w:r w:rsidRPr="00EF4316">
        <w:rPr>
          <w:rFonts w:ascii="Arial" w:eastAsia="Times New Roman" w:hAnsi="Arial" w:cs="Arial"/>
          <w:color w:val="333333"/>
          <w:sz w:val="24"/>
          <w:szCs w:val="24"/>
          <w:lang w:val="es-UY" w:eastAsia="es-UY"/>
        </w:rPr>
        <w:t xml:space="preserve">; la historización de Dios en la vida de sus testigos, que Ellacuría acuñó con </w:t>
      </w:r>
      <w:proofErr w:type="gramStart"/>
      <w:r w:rsidRPr="00EF4316">
        <w:rPr>
          <w:rFonts w:ascii="Arial" w:eastAsia="Times New Roman" w:hAnsi="Arial" w:cs="Arial"/>
          <w:color w:val="333333"/>
          <w:sz w:val="24"/>
          <w:szCs w:val="24"/>
          <w:lang w:val="es-UY" w:eastAsia="es-UY"/>
        </w:rPr>
        <w:t>una aforismo memorable</w:t>
      </w:r>
      <w:proofErr w:type="gramEnd"/>
      <w:r w:rsidRPr="00EF4316">
        <w:rPr>
          <w:rFonts w:ascii="Arial" w:eastAsia="Times New Roman" w:hAnsi="Arial" w:cs="Arial"/>
          <w:color w:val="333333"/>
          <w:sz w:val="24"/>
          <w:szCs w:val="24"/>
          <w:lang w:val="es-UY" w:eastAsia="es-UY"/>
        </w:rPr>
        <w:t xml:space="preserve"> “con monseñor Romero Dios pasó por la historia”.</w:t>
      </w:r>
    </w:p>
    <w:p w:rsidR="00EF4316" w:rsidRPr="00EF4316" w:rsidRDefault="00EF4316" w:rsidP="00EF4316">
      <w:pPr>
        <w:shd w:val="clear" w:color="auto" w:fill="FFFFFF"/>
        <w:spacing w:after="0" w:line="240" w:lineRule="auto"/>
        <w:rPr>
          <w:rFonts w:ascii="inherit" w:eastAsia="Times New Roman" w:hAnsi="inherit" w:cs="Arial"/>
          <w:color w:val="000000"/>
          <w:sz w:val="21"/>
          <w:szCs w:val="21"/>
          <w:lang w:val="es-UY" w:eastAsia="es-UY"/>
        </w:rPr>
      </w:pPr>
      <w:r w:rsidRPr="00EF4316">
        <w:rPr>
          <w:rFonts w:ascii="inherit" w:eastAsia="Times New Roman" w:hAnsi="inherit" w:cs="Arial"/>
          <w:noProof/>
          <w:color w:val="000000"/>
          <w:sz w:val="21"/>
          <w:szCs w:val="21"/>
          <w:lang w:val="es-UY" w:eastAsia="es-UY"/>
        </w:rPr>
        <w:drawing>
          <wp:inline distT="0" distB="0" distL="0" distR="0" wp14:anchorId="2448E8E4" wp14:editId="77CE4C12">
            <wp:extent cx="5162550" cy="2898455"/>
            <wp:effectExtent l="0" t="0" r="0" b="0"/>
            <wp:docPr id="4" name="Imagen 4" descr="Mártires de la 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ártires de la U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5340" cy="2905636"/>
                    </a:xfrm>
                    <a:prstGeom prst="rect">
                      <a:avLst/>
                    </a:prstGeom>
                    <a:noFill/>
                    <a:ln>
                      <a:noFill/>
                    </a:ln>
                  </pic:spPr>
                </pic:pic>
              </a:graphicData>
            </a:graphic>
          </wp:inline>
        </w:drawing>
      </w:r>
    </w:p>
    <w:p w:rsidR="00EF4316" w:rsidRPr="00EF4316" w:rsidRDefault="00EF4316" w:rsidP="00EF4316">
      <w:pPr>
        <w:shd w:val="clear" w:color="auto" w:fill="FFFFFF"/>
        <w:spacing w:line="240" w:lineRule="auto"/>
        <w:jc w:val="both"/>
        <w:rPr>
          <w:rFonts w:ascii="inherit" w:eastAsia="Times New Roman" w:hAnsi="inherit" w:cs="Arial"/>
          <w:color w:val="000000"/>
          <w:sz w:val="24"/>
          <w:szCs w:val="24"/>
          <w:lang w:val="es-UY" w:eastAsia="es-UY"/>
        </w:rPr>
      </w:pPr>
      <w:r w:rsidRPr="00EF4316">
        <w:rPr>
          <w:rFonts w:ascii="inherit" w:eastAsia="Times New Roman" w:hAnsi="inherit" w:cs="Arial"/>
          <w:color w:val="000000"/>
          <w:sz w:val="24"/>
          <w:szCs w:val="24"/>
          <w:lang w:val="es-UY" w:eastAsia="es-UY"/>
        </w:rPr>
        <w:t>Mártires de la UCA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Yo he profundizado en sus aportaciones sobre “</w:t>
      </w:r>
      <w:r w:rsidRPr="00EF4316">
        <w:rPr>
          <w:rFonts w:ascii="Arial" w:eastAsia="Times New Roman" w:hAnsi="Arial" w:cs="Arial"/>
          <w:b/>
          <w:bCs/>
          <w:color w:val="474747"/>
          <w:sz w:val="24"/>
          <w:szCs w:val="24"/>
          <w:lang w:val="es-UY" w:eastAsia="es-UY"/>
        </w:rPr>
        <w:t>Utopía y profetismo</w:t>
      </w:r>
      <w:r w:rsidRPr="00EF4316">
        <w:rPr>
          <w:rFonts w:ascii="Arial" w:eastAsia="Times New Roman" w:hAnsi="Arial" w:cs="Arial"/>
          <w:color w:val="333333"/>
          <w:sz w:val="24"/>
          <w:szCs w:val="24"/>
          <w:lang w:val="es-UY" w:eastAsia="es-UY"/>
        </w:rPr>
        <w:t xml:space="preserve"> en Américas Latina”, que pueden considerarse su testamento teológico, ya que fue uno de sus últimos textos que escribió. Ellacuría vincula intrínsecamente utopía, profetismo y esperanza. Su reflexión hasta llegar a la utopía concreta sigue estos pasos: a) la utopía solo puede construirse sobre el profetismo, al tiempo que este es necesario para la utopía; b) existe una utopía cristiana que es la utopía del reino de Dios; c) que debe explicitarse en términos histórico-sociales para no caer en idealismo y espiritualismo; d) </w:t>
      </w:r>
      <w:proofErr w:type="spellStart"/>
      <w:r w:rsidRPr="00EF4316">
        <w:rPr>
          <w:rFonts w:ascii="Arial" w:eastAsia="Times New Roman" w:hAnsi="Arial" w:cs="Arial"/>
          <w:color w:val="333333"/>
          <w:sz w:val="24"/>
          <w:szCs w:val="24"/>
          <w:lang w:val="es-UY" w:eastAsia="es-UY"/>
        </w:rPr>
        <w:t>historizarse</w:t>
      </w:r>
      <w:proofErr w:type="spellEnd"/>
      <w:r w:rsidRPr="00EF4316">
        <w:rPr>
          <w:rFonts w:ascii="Arial" w:eastAsia="Times New Roman" w:hAnsi="Arial" w:cs="Arial"/>
          <w:color w:val="333333"/>
          <w:sz w:val="24"/>
          <w:szCs w:val="24"/>
          <w:lang w:val="es-UY" w:eastAsia="es-UY"/>
        </w:rPr>
        <w:t xml:space="preserve"> y hacerse operativa a través de las mediaciones históricas en dirección a la utopía concreta.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Ellacuría entiende la teología de la liberación como</w:t>
      </w:r>
      <w:r w:rsidRPr="00EF4316">
        <w:rPr>
          <w:rFonts w:ascii="Arial" w:eastAsia="Times New Roman" w:hAnsi="Arial" w:cs="Arial"/>
          <w:b/>
          <w:bCs/>
          <w:color w:val="474747"/>
          <w:sz w:val="24"/>
          <w:szCs w:val="24"/>
          <w:lang w:val="es-UY" w:eastAsia="es-UY"/>
        </w:rPr>
        <w:t> teología histórica a partir del clamor ante la injusticia</w:t>
      </w:r>
      <w:r w:rsidRPr="00EF4316">
        <w:rPr>
          <w:rFonts w:ascii="Arial" w:eastAsia="Times New Roman" w:hAnsi="Arial" w:cs="Arial"/>
          <w:color w:val="333333"/>
          <w:sz w:val="24"/>
          <w:szCs w:val="24"/>
          <w:lang w:val="es-UY" w:eastAsia="es-UY"/>
        </w:rPr>
        <w:t>, establece una correcta articulación entre teología y ciencias sociales y asume un compromiso por la transformación de la realidad histórica desde los análisis políticos y desde su función como mediador en los conflictos. La teología es el momento teórico de la praxis de liberación.</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La ubicación social de la teología y de la filosofía es lo que separa y diferencia unas teologías y filosofías de otras. Considera fundamental la necesidad de optar por un determinado lugar social, y este es el de la verdad histórica y el de la verdadera liberación, “los despojados, los injustamente tratados y los que sufren, los condenados de la tierra, los oprimidos”. El lugar social debe ser </w:t>
      </w:r>
      <w:r w:rsidRPr="00EF4316">
        <w:rPr>
          <w:rFonts w:ascii="Arial" w:eastAsia="Times New Roman" w:hAnsi="Arial" w:cs="Arial"/>
          <w:b/>
          <w:bCs/>
          <w:color w:val="474747"/>
          <w:sz w:val="24"/>
          <w:szCs w:val="24"/>
          <w:lang w:val="es-UY" w:eastAsia="es-UY"/>
        </w:rPr>
        <w:t>iluminado por una valoración ética</w:t>
      </w:r>
      <w:r w:rsidRPr="00EF4316">
        <w:rPr>
          <w:rFonts w:ascii="Arial" w:eastAsia="Times New Roman" w:hAnsi="Arial" w:cs="Arial"/>
          <w:color w:val="333333"/>
          <w:sz w:val="24"/>
          <w:szCs w:val="24"/>
          <w:lang w:val="es-UY" w:eastAsia="es-UY"/>
        </w:rPr>
        <w:t>. </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 xml:space="preserve">El teólogo austríaco Sebastián </w:t>
      </w:r>
      <w:proofErr w:type="spellStart"/>
      <w:r w:rsidRPr="00EF4316">
        <w:rPr>
          <w:rFonts w:ascii="Arial" w:eastAsia="Times New Roman" w:hAnsi="Arial" w:cs="Arial"/>
          <w:color w:val="333333"/>
          <w:sz w:val="24"/>
          <w:szCs w:val="24"/>
          <w:lang w:val="es-UY" w:eastAsia="es-UY"/>
        </w:rPr>
        <w:t>Pittl</w:t>
      </w:r>
      <w:proofErr w:type="spellEnd"/>
      <w:r w:rsidRPr="00EF4316">
        <w:rPr>
          <w:rFonts w:ascii="Arial" w:eastAsia="Times New Roman" w:hAnsi="Arial" w:cs="Arial"/>
          <w:color w:val="333333"/>
          <w:sz w:val="24"/>
          <w:szCs w:val="24"/>
          <w:lang w:val="es-UY" w:eastAsia="es-UY"/>
        </w:rPr>
        <w:t xml:space="preserve"> recupera la primera idea destacada por Sobrino y la interpreta teológicamente: la realidad histórica de los pueblos crucificados como lugar hermenéutico y social de la teología. </w:t>
      </w:r>
      <w:proofErr w:type="gramStart"/>
      <w:r w:rsidRPr="00EF4316">
        <w:rPr>
          <w:rFonts w:ascii="Arial" w:eastAsia="Times New Roman" w:hAnsi="Arial" w:cs="Arial"/>
          <w:color w:val="333333"/>
          <w:sz w:val="24"/>
          <w:szCs w:val="24"/>
          <w:lang w:val="es-UY" w:eastAsia="es-UY"/>
        </w:rPr>
        <w:t>Asimismo</w:t>
      </w:r>
      <w:proofErr w:type="gramEnd"/>
      <w:r w:rsidRPr="00EF4316">
        <w:rPr>
          <w:rFonts w:ascii="Arial" w:eastAsia="Times New Roman" w:hAnsi="Arial" w:cs="Arial"/>
          <w:color w:val="333333"/>
          <w:sz w:val="24"/>
          <w:szCs w:val="24"/>
          <w:lang w:val="es-UY" w:eastAsia="es-UY"/>
        </w:rPr>
        <w:t xml:space="preserve"> hace una lectura de la concepción </w:t>
      </w:r>
      <w:proofErr w:type="spellStart"/>
      <w:r w:rsidRPr="00EF4316">
        <w:rPr>
          <w:rFonts w:ascii="Arial" w:eastAsia="Times New Roman" w:hAnsi="Arial" w:cs="Arial"/>
          <w:color w:val="333333"/>
          <w:sz w:val="24"/>
          <w:szCs w:val="24"/>
          <w:lang w:val="es-UY" w:eastAsia="es-UY"/>
        </w:rPr>
        <w:t>ellacuriana</w:t>
      </w:r>
      <w:proofErr w:type="spellEnd"/>
      <w:r w:rsidRPr="00EF4316">
        <w:rPr>
          <w:rFonts w:ascii="Arial" w:eastAsia="Times New Roman" w:hAnsi="Arial" w:cs="Arial"/>
          <w:color w:val="333333"/>
          <w:sz w:val="24"/>
          <w:szCs w:val="24"/>
          <w:lang w:val="es-UY" w:eastAsia="es-UY"/>
        </w:rPr>
        <w:t xml:space="preserve"> de la espiritualidad radicada en la historia desde la opción por los </w:t>
      </w:r>
      <w:r w:rsidRPr="00EF4316">
        <w:rPr>
          <w:rFonts w:ascii="Arial" w:eastAsia="Times New Roman" w:hAnsi="Arial" w:cs="Arial"/>
          <w:b/>
          <w:bCs/>
          <w:color w:val="474747"/>
          <w:sz w:val="24"/>
          <w:szCs w:val="24"/>
          <w:lang w:val="es-UY" w:eastAsia="es-UY"/>
        </w:rPr>
        <w:t>empobrecidos</w:t>
      </w:r>
      <w:r w:rsidRPr="00EF4316">
        <w:rPr>
          <w:rFonts w:ascii="Arial" w:eastAsia="Times New Roman" w:hAnsi="Arial" w:cs="Arial"/>
          <w:color w:val="333333"/>
          <w:sz w:val="24"/>
          <w:szCs w:val="24"/>
          <w:lang w:val="es-UY" w:eastAsia="es-UY"/>
        </w:rPr>
        <w:t>.</w:t>
      </w:r>
    </w:p>
    <w:p w:rsidR="00EF4316" w:rsidRPr="00EF4316" w:rsidRDefault="00EF4316" w:rsidP="00EF4316">
      <w:pPr>
        <w:shd w:val="clear" w:color="auto" w:fill="FFFFFF"/>
        <w:spacing w:after="0" w:line="240" w:lineRule="auto"/>
        <w:rPr>
          <w:rFonts w:ascii="inherit" w:eastAsia="Times New Roman" w:hAnsi="inherit" w:cs="Arial"/>
          <w:color w:val="000000"/>
          <w:sz w:val="21"/>
          <w:szCs w:val="21"/>
          <w:lang w:val="es-UY" w:eastAsia="es-UY"/>
        </w:rPr>
      </w:pPr>
      <w:r w:rsidRPr="00EF4316">
        <w:rPr>
          <w:rFonts w:ascii="inherit" w:eastAsia="Times New Roman" w:hAnsi="inherit" w:cs="Arial"/>
          <w:noProof/>
          <w:color w:val="000000"/>
          <w:sz w:val="21"/>
          <w:szCs w:val="21"/>
          <w:lang w:val="es-UY" w:eastAsia="es-UY"/>
        </w:rPr>
        <w:drawing>
          <wp:inline distT="0" distB="0" distL="0" distR="0" wp14:anchorId="1C1B415B" wp14:editId="14F41182">
            <wp:extent cx="5099050" cy="2862803"/>
            <wp:effectExtent l="0" t="0" r="6350" b="0"/>
            <wp:docPr id="5" name="Imagen 5" descr="Manifestación en El Salvador contra la corrup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ifestación en El Salvador contra la corrup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1068" cy="2869551"/>
                    </a:xfrm>
                    <a:prstGeom prst="rect">
                      <a:avLst/>
                    </a:prstGeom>
                    <a:noFill/>
                    <a:ln>
                      <a:noFill/>
                    </a:ln>
                  </pic:spPr>
                </pic:pic>
              </a:graphicData>
            </a:graphic>
          </wp:inline>
        </w:drawing>
      </w:r>
    </w:p>
    <w:p w:rsidR="00EF4316" w:rsidRPr="00EF4316" w:rsidRDefault="00EF4316" w:rsidP="00EF4316">
      <w:pPr>
        <w:shd w:val="clear" w:color="auto" w:fill="FFFFFF"/>
        <w:spacing w:line="240" w:lineRule="auto"/>
        <w:jc w:val="both"/>
        <w:rPr>
          <w:rFonts w:ascii="inherit" w:eastAsia="Times New Roman" w:hAnsi="inherit" w:cs="Arial"/>
          <w:color w:val="000000"/>
          <w:sz w:val="24"/>
          <w:szCs w:val="24"/>
          <w:lang w:val="es-UY" w:eastAsia="es-UY"/>
        </w:rPr>
      </w:pPr>
      <w:r w:rsidRPr="00EF4316">
        <w:rPr>
          <w:rFonts w:ascii="inherit" w:eastAsia="Times New Roman" w:hAnsi="inherit" w:cs="Arial"/>
          <w:color w:val="000000"/>
          <w:sz w:val="24"/>
          <w:szCs w:val="24"/>
          <w:lang w:val="es-UY" w:eastAsia="es-UY"/>
        </w:rPr>
        <w:t>Manifestación en El Salvador contra la corrupción</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 xml:space="preserve">El resultado es una teología </w:t>
      </w:r>
      <w:proofErr w:type="spellStart"/>
      <w:r w:rsidRPr="00EF4316">
        <w:rPr>
          <w:rFonts w:ascii="Arial" w:eastAsia="Times New Roman" w:hAnsi="Arial" w:cs="Arial"/>
          <w:color w:val="333333"/>
          <w:sz w:val="24"/>
          <w:szCs w:val="24"/>
          <w:lang w:val="es-UY" w:eastAsia="es-UY"/>
        </w:rPr>
        <w:t>posidealista</w:t>
      </w:r>
      <w:proofErr w:type="spellEnd"/>
      <w:r w:rsidRPr="00EF4316">
        <w:rPr>
          <w:rFonts w:ascii="Arial" w:eastAsia="Times New Roman" w:hAnsi="Arial" w:cs="Arial"/>
          <w:color w:val="333333"/>
          <w:sz w:val="24"/>
          <w:szCs w:val="24"/>
          <w:lang w:val="es-UY" w:eastAsia="es-UY"/>
        </w:rPr>
        <w:t xml:space="preserve"> cuyo método no es el trascendental de sus maestros, sino la historización de los conceptos teológicos y el punto de partida,</w:t>
      </w:r>
      <w:r w:rsidRPr="00EF4316">
        <w:rPr>
          <w:rFonts w:ascii="Arial" w:eastAsia="Times New Roman" w:hAnsi="Arial" w:cs="Arial"/>
          <w:b/>
          <w:bCs/>
          <w:color w:val="474747"/>
          <w:sz w:val="24"/>
          <w:szCs w:val="24"/>
          <w:lang w:val="es-UY" w:eastAsia="es-UY"/>
        </w:rPr>
        <w:t> la praxis</w:t>
      </w:r>
      <w:r w:rsidRPr="00EF4316">
        <w:rPr>
          <w:rFonts w:ascii="Arial" w:eastAsia="Times New Roman" w:hAnsi="Arial" w:cs="Arial"/>
          <w:color w:val="333333"/>
          <w:sz w:val="24"/>
          <w:szCs w:val="24"/>
          <w:lang w:val="es-UY" w:eastAsia="es-UY"/>
        </w:rPr>
        <w:t xml:space="preserve"> histórica. La teología de Ellacuría tiene un fuerte componente ético-profético. Aplicándola a ella, la consideración </w:t>
      </w:r>
      <w:proofErr w:type="spellStart"/>
      <w:r w:rsidRPr="00EF4316">
        <w:rPr>
          <w:rFonts w:ascii="Arial" w:eastAsia="Times New Roman" w:hAnsi="Arial" w:cs="Arial"/>
          <w:color w:val="333333"/>
          <w:sz w:val="24"/>
          <w:szCs w:val="24"/>
          <w:lang w:val="es-UY" w:eastAsia="es-UY"/>
        </w:rPr>
        <w:t>lévinasiana</w:t>
      </w:r>
      <w:proofErr w:type="spellEnd"/>
      <w:r w:rsidRPr="00EF4316">
        <w:rPr>
          <w:rFonts w:ascii="Arial" w:eastAsia="Times New Roman" w:hAnsi="Arial" w:cs="Arial"/>
          <w:color w:val="333333"/>
          <w:sz w:val="24"/>
          <w:szCs w:val="24"/>
          <w:lang w:val="es-UY" w:eastAsia="es-UY"/>
        </w:rPr>
        <w:t xml:space="preserve"> de la ética como filosofía primera, bien podría decirse que, para el teólogo hispano-salvadoreño, la ética es la teología primera y el profetismo la manifestación crítico-pública de la ética.</w:t>
      </w:r>
    </w:p>
    <w:p w:rsidR="00EF4316" w:rsidRPr="00EF4316" w:rsidRDefault="00EF4316" w:rsidP="00EF431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F4316">
        <w:rPr>
          <w:rFonts w:ascii="Arial" w:eastAsia="Times New Roman" w:hAnsi="Arial" w:cs="Arial"/>
          <w:b/>
          <w:bCs/>
          <w:color w:val="474747"/>
          <w:sz w:val="24"/>
          <w:szCs w:val="24"/>
          <w:lang w:val="es-UY" w:eastAsia="es-UY"/>
        </w:rPr>
        <w:t>Filosofía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 xml:space="preserve">El objeto de la filosofía </w:t>
      </w:r>
      <w:proofErr w:type="spellStart"/>
      <w:r w:rsidRPr="00EF4316">
        <w:rPr>
          <w:rFonts w:ascii="Arial" w:eastAsia="Times New Roman" w:hAnsi="Arial" w:cs="Arial"/>
          <w:color w:val="333333"/>
          <w:sz w:val="24"/>
          <w:szCs w:val="24"/>
          <w:lang w:val="es-UY" w:eastAsia="es-UY"/>
        </w:rPr>
        <w:t>ellacuriana</w:t>
      </w:r>
      <w:proofErr w:type="spellEnd"/>
      <w:r w:rsidRPr="00EF4316">
        <w:rPr>
          <w:rFonts w:ascii="Arial" w:eastAsia="Times New Roman" w:hAnsi="Arial" w:cs="Arial"/>
          <w:color w:val="333333"/>
          <w:sz w:val="24"/>
          <w:szCs w:val="24"/>
          <w:lang w:val="es-UY" w:eastAsia="es-UY"/>
        </w:rPr>
        <w:t xml:space="preserve"> es la realidad histórica como unidad física, dinámica, </w:t>
      </w:r>
      <w:r w:rsidRPr="00EF4316">
        <w:rPr>
          <w:rFonts w:ascii="Arial" w:eastAsia="Times New Roman" w:hAnsi="Arial" w:cs="Arial"/>
          <w:b/>
          <w:bCs/>
          <w:color w:val="474747"/>
          <w:sz w:val="24"/>
          <w:szCs w:val="24"/>
          <w:lang w:val="es-UY" w:eastAsia="es-UY"/>
        </w:rPr>
        <w:t>procesual</w:t>
      </w:r>
      <w:r w:rsidRPr="00EF4316">
        <w:rPr>
          <w:rFonts w:ascii="Arial" w:eastAsia="Times New Roman" w:hAnsi="Arial" w:cs="Arial"/>
          <w:color w:val="333333"/>
          <w:sz w:val="24"/>
          <w:szCs w:val="24"/>
          <w:lang w:val="es-UY" w:eastAsia="es-UY"/>
        </w:rPr>
        <w:t xml:space="preserve"> y ascendente. De aquí emanan los conceptos y las ideas fundamentales de su filosofía: historia (materialidad, componente social, componente personal, temporalidad, realidad formal, estructura dinámica), praxis histórica, liberación, unidad de la historia. Su método es la historización de los conceptos filosóficos y políticos como principio de desideologización, crítica de la ideología y verificación práctica de la verdad-falsedad, justicia-injusticia. El filósofo Héctor </w:t>
      </w:r>
      <w:proofErr w:type="spellStart"/>
      <w:r w:rsidRPr="00EF4316">
        <w:rPr>
          <w:rFonts w:ascii="Arial" w:eastAsia="Times New Roman" w:hAnsi="Arial" w:cs="Arial"/>
          <w:color w:val="333333"/>
          <w:sz w:val="24"/>
          <w:szCs w:val="24"/>
          <w:lang w:val="es-UY" w:eastAsia="es-UY"/>
        </w:rPr>
        <w:t>Samour</w:t>
      </w:r>
      <w:proofErr w:type="spellEnd"/>
      <w:r w:rsidRPr="00EF4316">
        <w:rPr>
          <w:rFonts w:ascii="Arial" w:eastAsia="Times New Roman" w:hAnsi="Arial" w:cs="Arial"/>
          <w:color w:val="333333"/>
          <w:sz w:val="24"/>
          <w:szCs w:val="24"/>
          <w:lang w:val="es-UY" w:eastAsia="es-UY"/>
        </w:rPr>
        <w:t>, uno de los mejores especialistas e intérpretes de Ellacuría, reinterpreta al maestro relacionando su pensamiento con la realidad histórica contemporánea, al tiempo que considera la filosofía de la historia como filosofía de la praxis. </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Recientemente se está desarrollando una nueva línea de investigación del pensamiento filosófico del intelectual hispano-salvadoreño: la que hace una </w:t>
      </w:r>
      <w:r w:rsidRPr="00EF4316">
        <w:rPr>
          <w:rFonts w:ascii="Arial" w:eastAsia="Times New Roman" w:hAnsi="Arial" w:cs="Arial"/>
          <w:b/>
          <w:bCs/>
          <w:color w:val="474747"/>
          <w:sz w:val="24"/>
          <w:szCs w:val="24"/>
          <w:lang w:val="es-UY" w:eastAsia="es-UY"/>
        </w:rPr>
        <w:t>lectura pluridimensional</w:t>
      </w:r>
      <w:r w:rsidRPr="00EF4316">
        <w:rPr>
          <w:rFonts w:ascii="Arial" w:eastAsia="Times New Roman" w:hAnsi="Arial" w:cs="Arial"/>
          <w:color w:val="333333"/>
          <w:sz w:val="24"/>
          <w:szCs w:val="24"/>
          <w:lang w:val="es-UY" w:eastAsia="es-UY"/>
        </w:rPr>
        <w:t> con las siguientes derivaciones creativas, que enriquecen, recrean y reformulan su filosofía: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a) Su conexión con la dialéctica hegeliano-marxista, que implica analizar la concepción que Ellacuría tiene de la dialéctica, la utilización del </w:t>
      </w:r>
      <w:r w:rsidRPr="00EF4316">
        <w:rPr>
          <w:rFonts w:ascii="Arial" w:eastAsia="Times New Roman" w:hAnsi="Arial" w:cs="Arial"/>
          <w:b/>
          <w:bCs/>
          <w:color w:val="474747"/>
          <w:sz w:val="24"/>
          <w:szCs w:val="24"/>
          <w:lang w:val="es-UY" w:eastAsia="es-UY"/>
        </w:rPr>
        <w:t>método dialéctico en su análisis político</w:t>
      </w:r>
      <w:r w:rsidRPr="00EF4316">
        <w:rPr>
          <w:rFonts w:ascii="Arial" w:eastAsia="Times New Roman" w:hAnsi="Arial" w:cs="Arial"/>
          <w:color w:val="333333"/>
          <w:sz w:val="24"/>
          <w:szCs w:val="24"/>
          <w:lang w:val="es-UY" w:eastAsia="es-UY"/>
        </w:rPr>
        <w:t> e histórico, y la dialéctica entre historia personal –biografía- e historia colectiva –el pueblo salvadoreño-, en otras palabras, el impacto y la capacidad transformadora de su vida y de su muerte en la historia de El Salvador (Ricardo Ribera).</w:t>
      </w:r>
    </w:p>
    <w:p w:rsidR="00EF4316" w:rsidRPr="00EF4316" w:rsidRDefault="00EF4316" w:rsidP="00EF4316">
      <w:pPr>
        <w:shd w:val="clear" w:color="auto" w:fill="FFFFFF"/>
        <w:spacing w:after="0" w:line="240" w:lineRule="auto"/>
        <w:jc w:val="both"/>
        <w:rPr>
          <w:rFonts w:ascii="inherit" w:eastAsia="Times New Roman" w:hAnsi="inherit" w:cs="Arial"/>
          <w:color w:val="000000"/>
          <w:sz w:val="24"/>
          <w:szCs w:val="24"/>
          <w:lang w:val="es-UY" w:eastAsia="es-UY"/>
        </w:rPr>
      </w:pPr>
      <w:r w:rsidRPr="00EF4316">
        <w:rPr>
          <w:rFonts w:ascii="inherit" w:eastAsia="Times New Roman" w:hAnsi="inherit" w:cs="Arial"/>
          <w:noProof/>
          <w:color w:val="000000"/>
          <w:sz w:val="24"/>
          <w:szCs w:val="24"/>
          <w:lang w:val="es-UY" w:eastAsia="es-UY"/>
        </w:rPr>
        <w:drawing>
          <wp:inline distT="0" distB="0" distL="0" distR="0" wp14:anchorId="5CA70152" wp14:editId="53434FB1">
            <wp:extent cx="5219700" cy="2930541"/>
            <wp:effectExtent l="0" t="0" r="0" b="3175"/>
            <wp:docPr id="6" name="Imagen 6" descr="Teología de la liberación del 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ología de la liberación del pueb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2250" cy="2937587"/>
                    </a:xfrm>
                    <a:prstGeom prst="rect">
                      <a:avLst/>
                    </a:prstGeom>
                    <a:noFill/>
                    <a:ln>
                      <a:noFill/>
                    </a:ln>
                  </pic:spPr>
                </pic:pic>
              </a:graphicData>
            </a:graphic>
          </wp:inline>
        </w:drawing>
      </w:r>
    </w:p>
    <w:p w:rsidR="00EF4316" w:rsidRPr="00EF4316" w:rsidRDefault="00EF4316" w:rsidP="00EF4316">
      <w:pPr>
        <w:shd w:val="clear" w:color="auto" w:fill="FFFFFF"/>
        <w:spacing w:line="240" w:lineRule="auto"/>
        <w:jc w:val="both"/>
        <w:rPr>
          <w:rFonts w:ascii="inherit" w:eastAsia="Times New Roman" w:hAnsi="inherit" w:cs="Arial"/>
          <w:color w:val="000000"/>
          <w:sz w:val="24"/>
          <w:szCs w:val="24"/>
          <w:lang w:val="es-UY" w:eastAsia="es-UY"/>
        </w:rPr>
      </w:pPr>
      <w:r w:rsidRPr="00EF4316">
        <w:rPr>
          <w:rFonts w:ascii="inherit" w:eastAsia="Times New Roman" w:hAnsi="inherit" w:cs="Arial"/>
          <w:color w:val="000000"/>
          <w:sz w:val="24"/>
          <w:szCs w:val="24"/>
          <w:lang w:val="es-UY" w:eastAsia="es-UY"/>
        </w:rPr>
        <w:t>Teología de la liberación del pueblo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b) Su conexión con la teoría crítica de </w:t>
      </w:r>
      <w:r w:rsidRPr="00EF4316">
        <w:rPr>
          <w:rFonts w:ascii="Arial" w:eastAsia="Times New Roman" w:hAnsi="Arial" w:cs="Arial"/>
          <w:b/>
          <w:bCs/>
          <w:color w:val="474747"/>
          <w:sz w:val="24"/>
          <w:szCs w:val="24"/>
          <w:lang w:val="es-UY" w:eastAsia="es-UY"/>
        </w:rPr>
        <w:t>la primera Escuela de Frankfurt</w:t>
      </w:r>
      <w:r w:rsidRPr="00EF4316">
        <w:rPr>
          <w:rFonts w:ascii="Arial" w:eastAsia="Times New Roman" w:hAnsi="Arial" w:cs="Arial"/>
          <w:color w:val="333333"/>
          <w:sz w:val="24"/>
          <w:szCs w:val="24"/>
          <w:lang w:val="es-UY" w:eastAsia="es-UY"/>
        </w:rPr>
        <w:t>, que integra dialécticamente las diferentes disciplinas dando lugar a un conocimiento emancipador, así como su incidencia en la negatividad de la historia (Luis Alvarenga).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c) Su conexión con la </w:t>
      </w:r>
      <w:r w:rsidRPr="00EF4316">
        <w:rPr>
          <w:rFonts w:ascii="Arial" w:eastAsia="Times New Roman" w:hAnsi="Arial" w:cs="Arial"/>
          <w:b/>
          <w:bCs/>
          <w:color w:val="474747"/>
          <w:sz w:val="24"/>
          <w:szCs w:val="24"/>
          <w:lang w:val="es-UY" w:eastAsia="es-UY"/>
        </w:rPr>
        <w:t>filosofía utópica de Bloch</w:t>
      </w:r>
      <w:r w:rsidRPr="00EF4316">
        <w:rPr>
          <w:rFonts w:ascii="Arial" w:eastAsia="Times New Roman" w:hAnsi="Arial" w:cs="Arial"/>
          <w:color w:val="333333"/>
          <w:sz w:val="24"/>
          <w:szCs w:val="24"/>
          <w:lang w:val="es-UY" w:eastAsia="es-UY"/>
        </w:rPr>
        <w:t> en uno de los últimos textos más emblemáticos de Ellacuría: “Utopía y profetismo en América Latina” (Tamayo).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d) </w:t>
      </w:r>
      <w:r w:rsidRPr="00EF4316">
        <w:rPr>
          <w:rFonts w:ascii="Arial" w:eastAsia="Times New Roman" w:hAnsi="Arial" w:cs="Arial"/>
          <w:b/>
          <w:bCs/>
          <w:color w:val="474747"/>
          <w:sz w:val="24"/>
          <w:szCs w:val="24"/>
          <w:lang w:val="es-UY" w:eastAsia="es-UY"/>
        </w:rPr>
        <w:t>Su original teoría del “mal común”</w:t>
      </w:r>
      <w:r w:rsidRPr="00EF4316">
        <w:rPr>
          <w:rFonts w:ascii="Arial" w:eastAsia="Times New Roman" w:hAnsi="Arial" w:cs="Arial"/>
          <w:color w:val="333333"/>
          <w:sz w:val="24"/>
          <w:szCs w:val="24"/>
          <w:lang w:val="es-UY" w:eastAsia="es-UY"/>
        </w:rPr>
        <w:t> como mal histórico, la crítica de la civilización del capital y las diferentes formas de superarla (</w:t>
      </w:r>
      <w:proofErr w:type="spellStart"/>
      <w:r w:rsidRPr="00EF4316">
        <w:rPr>
          <w:rFonts w:ascii="Arial" w:eastAsia="Times New Roman" w:hAnsi="Arial" w:cs="Arial"/>
          <w:color w:val="333333"/>
          <w:sz w:val="24"/>
          <w:szCs w:val="24"/>
          <w:lang w:val="es-UY" w:eastAsia="es-UY"/>
        </w:rPr>
        <w:t>Hector</w:t>
      </w:r>
      <w:proofErr w:type="spellEnd"/>
      <w:r w:rsidRPr="00EF4316">
        <w:rPr>
          <w:rFonts w:ascii="Arial" w:eastAsia="Times New Roman" w:hAnsi="Arial" w:cs="Arial"/>
          <w:color w:val="333333"/>
          <w:sz w:val="24"/>
          <w:szCs w:val="24"/>
          <w:lang w:val="es-UY" w:eastAsia="es-UY"/>
        </w:rPr>
        <w:t xml:space="preserve"> </w:t>
      </w:r>
      <w:proofErr w:type="spellStart"/>
      <w:r w:rsidRPr="00EF4316">
        <w:rPr>
          <w:rFonts w:ascii="Arial" w:eastAsia="Times New Roman" w:hAnsi="Arial" w:cs="Arial"/>
          <w:color w:val="333333"/>
          <w:sz w:val="24"/>
          <w:szCs w:val="24"/>
          <w:lang w:val="es-UY" w:eastAsia="es-UY"/>
        </w:rPr>
        <w:t>Samour</w:t>
      </w:r>
      <w:proofErr w:type="spellEnd"/>
      <w:r w:rsidRPr="00EF4316">
        <w:rPr>
          <w:rFonts w:ascii="Arial" w:eastAsia="Times New Roman" w:hAnsi="Arial" w:cs="Arial"/>
          <w:color w:val="333333"/>
          <w:sz w:val="24"/>
          <w:szCs w:val="24"/>
          <w:lang w:val="es-UY" w:eastAsia="es-UY"/>
        </w:rPr>
        <w:t>).</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 La recuperación filosófica del </w:t>
      </w:r>
      <w:r w:rsidRPr="00EF4316">
        <w:rPr>
          <w:rFonts w:ascii="Arial" w:eastAsia="Times New Roman" w:hAnsi="Arial" w:cs="Arial"/>
          <w:b/>
          <w:bCs/>
          <w:color w:val="474747"/>
          <w:sz w:val="24"/>
          <w:szCs w:val="24"/>
          <w:lang w:val="es-UY" w:eastAsia="es-UY"/>
        </w:rPr>
        <w:t>cristianismo</w:t>
      </w:r>
      <w:r w:rsidRPr="00EF4316">
        <w:rPr>
          <w:rFonts w:ascii="Arial" w:eastAsia="Times New Roman" w:hAnsi="Arial" w:cs="Arial"/>
          <w:color w:val="333333"/>
          <w:sz w:val="24"/>
          <w:szCs w:val="24"/>
          <w:lang w:val="es-UY" w:eastAsia="es-UY"/>
        </w:rPr>
        <w:t> liberador (Carlos Molina).</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f) </w:t>
      </w:r>
      <w:r w:rsidRPr="00EF4316">
        <w:rPr>
          <w:rFonts w:ascii="Arial" w:eastAsia="Times New Roman" w:hAnsi="Arial" w:cs="Arial"/>
          <w:b/>
          <w:bCs/>
          <w:color w:val="474747"/>
          <w:sz w:val="24"/>
          <w:szCs w:val="24"/>
          <w:lang w:val="es-UY" w:eastAsia="es-UY"/>
        </w:rPr>
        <w:t>La fundamentación moral de la actividad intelectual</w:t>
      </w:r>
      <w:r w:rsidRPr="00EF4316">
        <w:rPr>
          <w:rFonts w:ascii="Arial" w:eastAsia="Times New Roman" w:hAnsi="Arial" w:cs="Arial"/>
          <w:color w:val="333333"/>
          <w:sz w:val="24"/>
          <w:szCs w:val="24"/>
          <w:lang w:val="es-UY" w:eastAsia="es-UY"/>
        </w:rPr>
        <w:t> y la relevancia del lugar de los oprimidos en los diferentes campos y facetas de quehacer teórico (José Manuel Romero).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g) La </w:t>
      </w:r>
      <w:r w:rsidRPr="00EF4316">
        <w:rPr>
          <w:rFonts w:ascii="Arial" w:eastAsia="Times New Roman" w:hAnsi="Arial" w:cs="Arial"/>
          <w:b/>
          <w:bCs/>
          <w:color w:val="474747"/>
          <w:sz w:val="24"/>
          <w:szCs w:val="24"/>
          <w:lang w:val="es-UY" w:eastAsia="es-UY"/>
        </w:rPr>
        <w:t>crítica de la ideología</w:t>
      </w:r>
      <w:r w:rsidRPr="00EF4316">
        <w:rPr>
          <w:rFonts w:ascii="Arial" w:eastAsia="Times New Roman" w:hAnsi="Arial" w:cs="Arial"/>
          <w:color w:val="333333"/>
          <w:sz w:val="24"/>
          <w:szCs w:val="24"/>
          <w:lang w:val="es-UY" w:eastAsia="es-UY"/>
        </w:rPr>
        <w:t>, en cuanto conciencia que invierte la realidad, “fundada en las formas de apariencia social necesaria de la sociedad burguesa” (José Manuel Romero).</w:t>
      </w:r>
    </w:p>
    <w:p w:rsidR="00EF4316" w:rsidRPr="00EF4316" w:rsidRDefault="00EF4316" w:rsidP="00EF431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F4316">
        <w:rPr>
          <w:rFonts w:ascii="Arial" w:eastAsia="Times New Roman" w:hAnsi="Arial" w:cs="Arial"/>
          <w:b/>
          <w:bCs/>
          <w:color w:val="474747"/>
          <w:sz w:val="24"/>
          <w:szCs w:val="24"/>
          <w:lang w:val="es-UY" w:eastAsia="es-UY"/>
        </w:rPr>
        <w:t>Teoría crítica de los derechos humanos</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Ellacuría ha hecho aportaciones relevantes –aunque al principio poco estudiadas- en el terreno de la teoría y de la fundamentación de los derechos humanos. Cabe destacar a este respecto su contribución a la </w:t>
      </w:r>
      <w:r w:rsidRPr="00EF4316">
        <w:rPr>
          <w:rFonts w:ascii="Arial" w:eastAsia="Times New Roman" w:hAnsi="Arial" w:cs="Arial"/>
          <w:b/>
          <w:bCs/>
          <w:color w:val="474747"/>
          <w:sz w:val="24"/>
          <w:szCs w:val="24"/>
          <w:lang w:val="es-UY" w:eastAsia="es-UY"/>
        </w:rPr>
        <w:t>superación del universalismo jurídico abstracto</w:t>
      </w:r>
      <w:r w:rsidRPr="00EF4316">
        <w:rPr>
          <w:rFonts w:ascii="Arial" w:eastAsia="Times New Roman" w:hAnsi="Arial" w:cs="Arial"/>
          <w:color w:val="333333"/>
          <w:sz w:val="24"/>
          <w:szCs w:val="24"/>
          <w:lang w:val="es-UY" w:eastAsia="es-UY"/>
        </w:rPr>
        <w:t xml:space="preserve"> y de una visión desarrollista de </w:t>
      </w:r>
      <w:proofErr w:type="spellStart"/>
      <w:r w:rsidRPr="00EF4316">
        <w:rPr>
          <w:rFonts w:ascii="Arial" w:eastAsia="Times New Roman" w:hAnsi="Arial" w:cs="Arial"/>
          <w:color w:val="333333"/>
          <w:sz w:val="24"/>
          <w:szCs w:val="24"/>
          <w:lang w:val="es-UY" w:eastAsia="es-UY"/>
        </w:rPr>
        <w:t>de</w:t>
      </w:r>
      <w:proofErr w:type="spellEnd"/>
      <w:r w:rsidRPr="00EF4316">
        <w:rPr>
          <w:rFonts w:ascii="Arial" w:eastAsia="Times New Roman" w:hAnsi="Arial" w:cs="Arial"/>
          <w:color w:val="333333"/>
          <w:sz w:val="24"/>
          <w:szCs w:val="24"/>
          <w:lang w:val="es-UY" w:eastAsia="es-UY"/>
        </w:rPr>
        <w:t xml:space="preserve"> los derechos humanos, y a la elaboración de una teoría crítica de los derechos humanos (J. A. </w:t>
      </w:r>
      <w:proofErr w:type="spellStart"/>
      <w:r w:rsidRPr="00EF4316">
        <w:rPr>
          <w:rFonts w:ascii="Arial" w:eastAsia="Times New Roman" w:hAnsi="Arial" w:cs="Arial"/>
          <w:color w:val="333333"/>
          <w:sz w:val="24"/>
          <w:szCs w:val="24"/>
          <w:lang w:val="es-UY" w:eastAsia="es-UY"/>
        </w:rPr>
        <w:t>Senent</w:t>
      </w:r>
      <w:proofErr w:type="spellEnd"/>
      <w:r w:rsidRPr="00EF4316">
        <w:rPr>
          <w:rFonts w:ascii="Arial" w:eastAsia="Times New Roman" w:hAnsi="Arial" w:cs="Arial"/>
          <w:color w:val="333333"/>
          <w:sz w:val="24"/>
          <w:szCs w:val="24"/>
          <w:lang w:val="es-UY" w:eastAsia="es-UY"/>
        </w:rPr>
        <w:t>, A. Rosillo).</w:t>
      </w:r>
    </w:p>
    <w:p w:rsidR="00EF4316" w:rsidRPr="00EF4316" w:rsidRDefault="00EF4316" w:rsidP="00EF4316">
      <w:pPr>
        <w:shd w:val="clear" w:color="auto" w:fill="FFFFFF"/>
        <w:spacing w:after="465" w:line="300" w:lineRule="atLeast"/>
        <w:jc w:val="both"/>
        <w:rPr>
          <w:rFonts w:ascii="Arial" w:eastAsia="Times New Roman" w:hAnsi="Arial" w:cs="Arial"/>
          <w:color w:val="333333"/>
          <w:sz w:val="24"/>
          <w:szCs w:val="24"/>
          <w:lang w:val="es-UY" w:eastAsia="es-UY"/>
        </w:rPr>
      </w:pPr>
      <w:r w:rsidRPr="00EF4316">
        <w:rPr>
          <w:rFonts w:ascii="Arial" w:eastAsia="Times New Roman" w:hAnsi="Arial" w:cs="Arial"/>
          <w:color w:val="333333"/>
          <w:sz w:val="24"/>
          <w:szCs w:val="24"/>
          <w:lang w:val="es-UY" w:eastAsia="es-UY"/>
        </w:rPr>
        <w:t>El pensamiento de Ellacuría no es intemporal, sino histórico, y debe ser interpretado no de manera esencialista (aun cuando algunas de sus primeras obras escritas bajo el discipulado escolar y la influencia de Zubiri tuvieron esa orientación), sino históricamente, en </w:t>
      </w:r>
      <w:r w:rsidRPr="00EF4316">
        <w:rPr>
          <w:rFonts w:ascii="Arial" w:eastAsia="Times New Roman" w:hAnsi="Arial" w:cs="Arial"/>
          <w:b/>
          <w:bCs/>
          <w:color w:val="474747"/>
          <w:sz w:val="24"/>
          <w:szCs w:val="24"/>
          <w:lang w:val="es-UY" w:eastAsia="es-UY"/>
        </w:rPr>
        <w:t>diálogo</w:t>
      </w:r>
      <w:r w:rsidRPr="00EF4316">
        <w:rPr>
          <w:rFonts w:ascii="Arial" w:eastAsia="Times New Roman" w:hAnsi="Arial" w:cs="Arial"/>
          <w:color w:val="333333"/>
          <w:sz w:val="24"/>
          <w:szCs w:val="24"/>
          <w:lang w:val="es-UY" w:eastAsia="es-UY"/>
        </w:rPr>
        <w:t> con los nuevos climas culturales. Así leído e interpretado puede abrir nuevos horizontes e iluminar la realidad histórica contemporánea.</w:t>
      </w:r>
    </w:p>
    <w:p w:rsidR="002E2F5B" w:rsidRPr="00EF4316" w:rsidRDefault="00EF4316" w:rsidP="00EF4316">
      <w:pPr>
        <w:jc w:val="both"/>
        <w:rPr>
          <w:sz w:val="24"/>
          <w:szCs w:val="24"/>
        </w:rPr>
      </w:pPr>
      <w:hyperlink r:id="rId11" w:history="1">
        <w:r w:rsidRPr="003B1DA0">
          <w:rPr>
            <w:rStyle w:val="Hipervnculo"/>
          </w:rPr>
          <w:t>https://www.religiondigital.org/opinion/Ignacio-Ellacuria-Filosofia-historica-liberacion-teologia-asesinado-UCA_0_2177182263.html?utm_source=dlvr.it&amp;utm</w:t>
        </w:r>
      </w:hyperlink>
      <w:bookmarkStart w:id="0" w:name="_GoBack"/>
      <w:bookmarkEnd w:id="0"/>
    </w:p>
    <w:sectPr w:rsidR="002E2F5B" w:rsidRPr="00EF43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BB092B"/>
    <w:multiLevelType w:val="multilevel"/>
    <w:tmpl w:val="AB24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316"/>
    <w:rsid w:val="002E2F5B"/>
    <w:rsid w:val="00B15A2E"/>
    <w:rsid w:val="00EF43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75D5"/>
  <w15:chartTrackingRefBased/>
  <w15:docId w15:val="{FD340562-F628-4431-8F80-68B7B23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F43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4316"/>
    <w:rPr>
      <w:rFonts w:ascii="Segoe UI" w:hAnsi="Segoe UI" w:cs="Segoe UI"/>
      <w:sz w:val="18"/>
      <w:szCs w:val="18"/>
      <w:lang w:val="es-419"/>
    </w:rPr>
  </w:style>
  <w:style w:type="character" w:styleId="Hipervnculo">
    <w:name w:val="Hyperlink"/>
    <w:basedOn w:val="Fuentedeprrafopredeter"/>
    <w:uiPriority w:val="99"/>
    <w:unhideWhenUsed/>
    <w:rsid w:val="00EF4316"/>
    <w:rPr>
      <w:color w:val="0000FF"/>
      <w:u w:val="single"/>
    </w:rPr>
  </w:style>
  <w:style w:type="character" w:styleId="Mencinsinresolver">
    <w:name w:val="Unresolved Mention"/>
    <w:basedOn w:val="Fuentedeprrafopredeter"/>
    <w:uiPriority w:val="99"/>
    <w:semiHidden/>
    <w:unhideWhenUsed/>
    <w:rsid w:val="00EF4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722325">
      <w:bodyDiv w:val="1"/>
      <w:marLeft w:val="0"/>
      <w:marRight w:val="0"/>
      <w:marTop w:val="0"/>
      <w:marBottom w:val="0"/>
      <w:divBdr>
        <w:top w:val="none" w:sz="0" w:space="0" w:color="auto"/>
        <w:left w:val="none" w:sz="0" w:space="0" w:color="auto"/>
        <w:bottom w:val="none" w:sz="0" w:space="0" w:color="auto"/>
        <w:right w:val="none" w:sz="0" w:space="0" w:color="auto"/>
      </w:divBdr>
      <w:divsChild>
        <w:div w:id="1666398327">
          <w:marLeft w:val="0"/>
          <w:marRight w:val="0"/>
          <w:marTop w:val="0"/>
          <w:marBottom w:val="0"/>
          <w:divBdr>
            <w:top w:val="none" w:sz="0" w:space="0" w:color="auto"/>
            <w:left w:val="none" w:sz="0" w:space="0" w:color="auto"/>
            <w:bottom w:val="none" w:sz="0" w:space="0" w:color="auto"/>
            <w:right w:val="none" w:sz="0" w:space="0" w:color="auto"/>
          </w:divBdr>
          <w:divsChild>
            <w:div w:id="912810604">
              <w:marLeft w:val="0"/>
              <w:marRight w:val="0"/>
              <w:marTop w:val="0"/>
              <w:marBottom w:val="600"/>
              <w:divBdr>
                <w:top w:val="none" w:sz="0" w:space="0" w:color="auto"/>
                <w:left w:val="none" w:sz="0" w:space="0" w:color="auto"/>
                <w:bottom w:val="none" w:sz="0" w:space="0" w:color="auto"/>
                <w:right w:val="none" w:sz="0" w:space="0" w:color="auto"/>
              </w:divBdr>
              <w:divsChild>
                <w:div w:id="65884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859802">
          <w:marLeft w:val="0"/>
          <w:marRight w:val="0"/>
          <w:marTop w:val="0"/>
          <w:marBottom w:val="0"/>
          <w:divBdr>
            <w:top w:val="none" w:sz="0" w:space="0" w:color="auto"/>
            <w:left w:val="none" w:sz="0" w:space="0" w:color="auto"/>
            <w:bottom w:val="none" w:sz="0" w:space="0" w:color="auto"/>
            <w:right w:val="none" w:sz="0" w:space="0" w:color="auto"/>
          </w:divBdr>
          <w:divsChild>
            <w:div w:id="891161340">
              <w:marLeft w:val="0"/>
              <w:marRight w:val="0"/>
              <w:marTop w:val="0"/>
              <w:marBottom w:val="0"/>
              <w:divBdr>
                <w:top w:val="none" w:sz="0" w:space="0" w:color="auto"/>
                <w:left w:val="none" w:sz="0" w:space="0" w:color="auto"/>
                <w:bottom w:val="none" w:sz="0" w:space="0" w:color="auto"/>
                <w:right w:val="none" w:sz="0" w:space="0" w:color="auto"/>
              </w:divBdr>
              <w:divsChild>
                <w:div w:id="410854895">
                  <w:marLeft w:val="-1275"/>
                  <w:marRight w:val="0"/>
                  <w:marTop w:val="0"/>
                  <w:marBottom w:val="0"/>
                  <w:divBdr>
                    <w:top w:val="none" w:sz="0" w:space="0" w:color="auto"/>
                    <w:left w:val="none" w:sz="0" w:space="0" w:color="auto"/>
                    <w:bottom w:val="none" w:sz="0" w:space="0" w:color="auto"/>
                    <w:right w:val="none" w:sz="0" w:space="0" w:color="auto"/>
                  </w:divBdr>
                </w:div>
                <w:div w:id="1667005483">
                  <w:marLeft w:val="0"/>
                  <w:marRight w:val="0"/>
                  <w:marTop w:val="0"/>
                  <w:marBottom w:val="0"/>
                  <w:divBdr>
                    <w:top w:val="none" w:sz="0" w:space="0" w:color="auto"/>
                    <w:left w:val="none" w:sz="0" w:space="0" w:color="auto"/>
                    <w:bottom w:val="none" w:sz="0" w:space="0" w:color="auto"/>
                    <w:right w:val="none" w:sz="0" w:space="0" w:color="auto"/>
                  </w:divBdr>
                  <w:divsChild>
                    <w:div w:id="1524661748">
                      <w:marLeft w:val="0"/>
                      <w:marRight w:val="0"/>
                      <w:marTop w:val="0"/>
                      <w:marBottom w:val="0"/>
                      <w:divBdr>
                        <w:top w:val="none" w:sz="0" w:space="0" w:color="auto"/>
                        <w:left w:val="none" w:sz="0" w:space="0" w:color="auto"/>
                        <w:bottom w:val="none" w:sz="0" w:space="0" w:color="auto"/>
                        <w:right w:val="none" w:sz="0" w:space="0" w:color="auto"/>
                      </w:divBdr>
                    </w:div>
                    <w:div w:id="2008053994">
                      <w:marLeft w:val="0"/>
                      <w:marRight w:val="0"/>
                      <w:marTop w:val="0"/>
                      <w:marBottom w:val="0"/>
                      <w:divBdr>
                        <w:top w:val="none" w:sz="0" w:space="0" w:color="auto"/>
                        <w:left w:val="none" w:sz="0" w:space="0" w:color="auto"/>
                        <w:bottom w:val="none" w:sz="0" w:space="0" w:color="auto"/>
                        <w:right w:val="none" w:sz="0" w:space="0" w:color="auto"/>
                      </w:divBdr>
                      <w:divsChild>
                        <w:div w:id="1301838536">
                          <w:marLeft w:val="0"/>
                          <w:marRight w:val="0"/>
                          <w:marTop w:val="0"/>
                          <w:marBottom w:val="450"/>
                          <w:divBdr>
                            <w:top w:val="none" w:sz="0" w:space="0" w:color="auto"/>
                            <w:left w:val="none" w:sz="0" w:space="0" w:color="auto"/>
                            <w:bottom w:val="none" w:sz="0" w:space="0" w:color="auto"/>
                            <w:right w:val="none" w:sz="0" w:space="0" w:color="auto"/>
                          </w:divBdr>
                          <w:divsChild>
                            <w:div w:id="767972303">
                              <w:marLeft w:val="0"/>
                              <w:marRight w:val="0"/>
                              <w:marTop w:val="0"/>
                              <w:marBottom w:val="0"/>
                              <w:divBdr>
                                <w:top w:val="none" w:sz="0" w:space="0" w:color="auto"/>
                                <w:left w:val="none" w:sz="0" w:space="0" w:color="auto"/>
                                <w:bottom w:val="none" w:sz="0" w:space="0" w:color="auto"/>
                                <w:right w:val="none" w:sz="0" w:space="0" w:color="auto"/>
                              </w:divBdr>
                            </w:div>
                          </w:divsChild>
                        </w:div>
                        <w:div w:id="55592383">
                          <w:marLeft w:val="0"/>
                          <w:marRight w:val="0"/>
                          <w:marTop w:val="0"/>
                          <w:marBottom w:val="450"/>
                          <w:divBdr>
                            <w:top w:val="none" w:sz="0" w:space="0" w:color="auto"/>
                            <w:left w:val="none" w:sz="0" w:space="0" w:color="auto"/>
                            <w:bottom w:val="none" w:sz="0" w:space="0" w:color="auto"/>
                            <w:right w:val="none" w:sz="0" w:space="0" w:color="auto"/>
                          </w:divBdr>
                          <w:divsChild>
                            <w:div w:id="76096788">
                              <w:marLeft w:val="0"/>
                              <w:marRight w:val="0"/>
                              <w:marTop w:val="0"/>
                              <w:marBottom w:val="0"/>
                              <w:divBdr>
                                <w:top w:val="none" w:sz="0" w:space="0" w:color="auto"/>
                                <w:left w:val="none" w:sz="0" w:space="0" w:color="auto"/>
                                <w:bottom w:val="none" w:sz="0" w:space="0" w:color="auto"/>
                                <w:right w:val="none" w:sz="0" w:space="0" w:color="auto"/>
                              </w:divBdr>
                            </w:div>
                          </w:divsChild>
                        </w:div>
                        <w:div w:id="2106613567">
                          <w:marLeft w:val="0"/>
                          <w:marRight w:val="0"/>
                          <w:marTop w:val="0"/>
                          <w:marBottom w:val="450"/>
                          <w:divBdr>
                            <w:top w:val="none" w:sz="0" w:space="0" w:color="auto"/>
                            <w:left w:val="none" w:sz="0" w:space="0" w:color="auto"/>
                            <w:bottom w:val="none" w:sz="0" w:space="0" w:color="auto"/>
                            <w:right w:val="none" w:sz="0" w:space="0" w:color="auto"/>
                          </w:divBdr>
                          <w:divsChild>
                            <w:div w:id="1448350781">
                              <w:marLeft w:val="0"/>
                              <w:marRight w:val="0"/>
                              <w:marTop w:val="0"/>
                              <w:marBottom w:val="0"/>
                              <w:divBdr>
                                <w:top w:val="none" w:sz="0" w:space="0" w:color="auto"/>
                                <w:left w:val="none" w:sz="0" w:space="0" w:color="auto"/>
                                <w:bottom w:val="none" w:sz="0" w:space="0" w:color="auto"/>
                                <w:right w:val="none" w:sz="0" w:space="0" w:color="auto"/>
                              </w:divBdr>
                            </w:div>
                          </w:divsChild>
                        </w:div>
                        <w:div w:id="779833471">
                          <w:marLeft w:val="0"/>
                          <w:marRight w:val="0"/>
                          <w:marTop w:val="0"/>
                          <w:marBottom w:val="450"/>
                          <w:divBdr>
                            <w:top w:val="none" w:sz="0" w:space="0" w:color="auto"/>
                            <w:left w:val="none" w:sz="0" w:space="0" w:color="auto"/>
                            <w:bottom w:val="none" w:sz="0" w:space="0" w:color="auto"/>
                            <w:right w:val="none" w:sz="0" w:space="0" w:color="auto"/>
                          </w:divBdr>
                          <w:divsChild>
                            <w:div w:id="226838467">
                              <w:marLeft w:val="0"/>
                              <w:marRight w:val="0"/>
                              <w:marTop w:val="0"/>
                              <w:marBottom w:val="0"/>
                              <w:divBdr>
                                <w:top w:val="none" w:sz="0" w:space="0" w:color="auto"/>
                                <w:left w:val="none" w:sz="0" w:space="0" w:color="auto"/>
                                <w:bottom w:val="none" w:sz="0" w:space="0" w:color="auto"/>
                                <w:right w:val="none" w:sz="0" w:space="0" w:color="auto"/>
                              </w:divBdr>
                            </w:div>
                          </w:divsChild>
                        </w:div>
                        <w:div w:id="1981881602">
                          <w:marLeft w:val="0"/>
                          <w:marRight w:val="0"/>
                          <w:marTop w:val="0"/>
                          <w:marBottom w:val="450"/>
                          <w:divBdr>
                            <w:top w:val="none" w:sz="0" w:space="0" w:color="auto"/>
                            <w:left w:val="none" w:sz="0" w:space="0" w:color="auto"/>
                            <w:bottom w:val="none" w:sz="0" w:space="0" w:color="auto"/>
                            <w:right w:val="none" w:sz="0" w:space="0" w:color="auto"/>
                          </w:divBdr>
                          <w:divsChild>
                            <w:div w:id="6408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Ignacio-Ellacuria-Filosofia-historica-liberacion-teologia-asesinado-UCA_0_2177182263.html?utm_source=dlvr.it&amp;utm_"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1841</Words>
  <Characters>10127</Characters>
  <Application>Microsoft Office Word</Application>
  <DocSecurity>0</DocSecurity>
  <Lines>84</Lines>
  <Paragraphs>23</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Denunció "la mentira ideológica de las apariencias democráticas" del capitalismo</vt:lpstr>
      <vt:lpstr>Ignacio Ellacuría: Filosofía de la realidad histórica y teología de la liberació</vt:lpstr>
      <vt:lpstr>    El que fuera rector de la UCA "30 años después de su asesinato sigue vivo y acti</vt:lpstr>
      <vt:lpstr>    "Era jesuita, científico social, analista político e impulsor de la teoría críti</vt:lpstr>
      <vt:lpstr>    "Para el teólogo hispano-salvadoreño, la ética es la teología primera y el profe</vt:lpstr>
      <vt:lpstr>    Teología</vt:lpstr>
      <vt:lpstr>    Filosofía</vt:lpstr>
      <vt:lpstr>    Teoría crítica de los derechos humanos</vt:lpstr>
    </vt:vector>
  </TitlesOfParts>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2019-11-18T11:48:00Z</dcterms:created>
  <dcterms:modified xsi:type="dcterms:W3CDTF">2019-11-18T12:03:00Z</dcterms:modified>
</cp:coreProperties>
</file>