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444DC5" w:rsidRDefault="00444DC5" w:rsidP="00444DC5">
      <w:pPr>
        <w:jc w:val="center"/>
        <w:rPr>
          <w:b/>
          <w:bCs/>
          <w:sz w:val="24"/>
          <w:szCs w:val="24"/>
        </w:rPr>
      </w:pPr>
      <w:bookmarkStart w:id="0" w:name="_GoBack"/>
      <w:bookmarkEnd w:id="0"/>
      <w:r w:rsidRPr="00444DC5">
        <w:rPr>
          <w:b/>
          <w:bCs/>
          <w:sz w:val="24"/>
          <w:szCs w:val="24"/>
        </w:rPr>
        <w:t>80. Mayor claridad sobre la encarnación y la redención</w:t>
      </w:r>
      <w:r w:rsidR="006C3E1B">
        <w:rPr>
          <w:rStyle w:val="Refdenotaalpie"/>
          <w:b/>
          <w:bCs/>
          <w:sz w:val="24"/>
          <w:szCs w:val="24"/>
        </w:rPr>
        <w:footnoteReference w:id="1"/>
      </w:r>
      <w:r w:rsidRPr="00444DC5">
        <w:rPr>
          <w:b/>
          <w:bCs/>
          <w:sz w:val="24"/>
          <w:szCs w:val="24"/>
        </w:rPr>
        <w:t>.</w:t>
      </w:r>
    </w:p>
    <w:p w:rsidR="00444DC5" w:rsidRPr="009A4B3F" w:rsidRDefault="00444DC5" w:rsidP="00444DC5">
      <w:pPr>
        <w:jc w:val="right"/>
      </w:pPr>
      <w:r w:rsidRPr="009A4B3F">
        <w:t xml:space="preserve">Luis Van de Velde.  Comunidades </w:t>
      </w:r>
      <w:proofErr w:type="gramStart"/>
      <w:r w:rsidRPr="009A4B3F">
        <w:t>Eclesiales  de</w:t>
      </w:r>
      <w:proofErr w:type="gramEnd"/>
      <w:r w:rsidRPr="009A4B3F">
        <w:t xml:space="preserve"> base.  </w:t>
      </w:r>
    </w:p>
    <w:p w:rsidR="00444DC5" w:rsidRDefault="006C3E1B" w:rsidP="00444DC5">
      <w:pPr>
        <w:jc w:val="both"/>
      </w:pPr>
      <w:r w:rsidRPr="006C3E1B">
        <w:t>Monseñor Romero está bien consciente q</w:t>
      </w:r>
      <w:r>
        <w:t xml:space="preserve">ue en la(s) Iglesia(s) hablamos tan fácil y cómodamente sobre la encarnación de Jesús, de tal modo que lo hemos reducido a un asunto de metafísica o a un dogma a creer y aceptar para ser miembro de la Iglesia.  </w:t>
      </w:r>
      <w:r w:rsidR="00064D66">
        <w:t xml:space="preserve">Las discusiones sobre el nacimiento virginal de Jesús nos han desviado de la realidad de Dios que se hizo ser humano, concreto, histórico para darse a conocer.  Y así Monseñor subraya en su discurso en Lovaina que </w:t>
      </w:r>
      <w:r w:rsidR="00C9664D">
        <w:t>la inserción real en el mundo real de las y los pobres ha facilitado comprender “</w:t>
      </w:r>
      <w:r w:rsidR="00C9664D" w:rsidRPr="00EE3B8F">
        <w:rPr>
          <w:i/>
          <w:iCs/>
        </w:rPr>
        <w:t>qué significa que Jesús tomó carne realmente human</w:t>
      </w:r>
      <w:r w:rsidR="00EE3B8F" w:rsidRPr="00EE3B8F">
        <w:rPr>
          <w:i/>
          <w:iCs/>
        </w:rPr>
        <w:t>a</w:t>
      </w:r>
      <w:r w:rsidR="00C9664D" w:rsidRPr="00EE3B8F">
        <w:rPr>
          <w:i/>
          <w:iCs/>
        </w:rPr>
        <w:t xml:space="preserve"> y que se hizo solidario de sus hermanos en el sufrimiento, en los llantos y quejidos, en la entrega.</w:t>
      </w:r>
      <w:r w:rsidR="00EE3B8F" w:rsidRPr="00EE3B8F">
        <w:rPr>
          <w:i/>
          <w:iCs/>
        </w:rPr>
        <w:t>”</w:t>
      </w:r>
      <w:r w:rsidR="00EE3B8F">
        <w:t xml:space="preserve"> Sabemos ahora que se trata de “una encarnación en el mundo de los pobres”.  Así es una “</w:t>
      </w:r>
      <w:r w:rsidR="00EE3B8F" w:rsidRPr="00EE3B8F">
        <w:rPr>
          <w:i/>
          <w:iCs/>
        </w:rPr>
        <w:t>encarnación preferencial y parcial.”</w:t>
      </w:r>
      <w:r w:rsidR="00EE3B8F">
        <w:t xml:space="preserve">  Quiero repetirlo: quién no se </w:t>
      </w:r>
      <w:r w:rsidR="009A4B3F">
        <w:t xml:space="preserve">ha </w:t>
      </w:r>
      <w:r w:rsidR="001278E6">
        <w:t>encontrado con la pobreza real, quien no se relaciona directamente con familias (más) pobres (que las nuestras), no podrá comprender lo que dice Monseñor Romero sobre ese gran misterio de la Encarnación de Dios en lo humano.  Dios escogió a las y los pobres para hacerse “humano”</w:t>
      </w:r>
      <w:r w:rsidR="007526F1">
        <w:t>.  Es de recordar también que Dios no escoge a las y pobres porque son “buenos”, sino porque Él es bueno y porque son “pobres”.  Se quiso identificar con el grito de los explotados y oprimidos.</w:t>
      </w:r>
    </w:p>
    <w:p w:rsidR="000E51BF" w:rsidRDefault="000E51BF" w:rsidP="00444DC5">
      <w:pPr>
        <w:jc w:val="both"/>
      </w:pPr>
      <w:r>
        <w:t xml:space="preserve">Monseñor relaciona esta opción preferencial y parcial directamente con misión de la Iglesia.  </w:t>
      </w:r>
      <w:r w:rsidR="00460611">
        <w:t>Según e</w:t>
      </w:r>
      <w:r>
        <w:t>l ejemplo de Dios</w:t>
      </w:r>
      <w:r w:rsidRPr="00460611">
        <w:rPr>
          <w:i/>
          <w:iCs/>
        </w:rPr>
        <w:t>, “el mundo de los pobres nos enseña dónde debe encarnarse la Iglesia”. “El mundo de los pobres nos enseña cómo ha de ser el amor cristiano</w:t>
      </w:r>
      <w:r w:rsidR="00FE41AB" w:rsidRPr="00460611">
        <w:rPr>
          <w:i/>
          <w:iCs/>
        </w:rPr>
        <w:t xml:space="preserve">.” “El mundo de los pobres nos enseña que la sublimidad del amor cristiano debe pasar por la imperante necesidad de la justicia para las mayorías y no debe rehuir la lucha honrada.” “El mundo de los pobres nos enseña que la liberación llegará cuando los pobres </w:t>
      </w:r>
      <w:r w:rsidR="00460611" w:rsidRPr="00460611">
        <w:rPr>
          <w:i/>
          <w:iCs/>
        </w:rPr>
        <w:t>sean “actores y protagonistas ellos mismos de su lucha y de su liberación, desenmascarando así la raíz última de falsos paternalismos aun eclesiales.”</w:t>
      </w:r>
      <w:r w:rsidR="00460611">
        <w:t xml:space="preserve"> </w:t>
      </w:r>
    </w:p>
    <w:p w:rsidR="000606DA" w:rsidRDefault="006201CE" w:rsidP="00444DC5">
      <w:pPr>
        <w:jc w:val="both"/>
      </w:pPr>
      <w:r>
        <w:t xml:space="preserve">Monseñor denuncia esos falsos paternalismos.  Los encontramos en no pocas </w:t>
      </w:r>
      <w:proofErr w:type="spellStart"/>
      <w:r>
        <w:t>ONG’s</w:t>
      </w:r>
      <w:proofErr w:type="spellEnd"/>
      <w:r>
        <w:t xml:space="preserve"> o </w:t>
      </w:r>
      <w:r w:rsidR="00591465">
        <w:t>fundaciones</w:t>
      </w:r>
      <w:r>
        <w:t xml:space="preserve"> que pretenden “ayudar a los pobres” pero que en realidad los consideran como meros beneficiarios de “la bondad de otros”.  Los encontramos en las promesas de las y los políticos. Prometen el cielo</w:t>
      </w:r>
      <w:r w:rsidR="00757D76">
        <w:t>,</w:t>
      </w:r>
      <w:r>
        <w:t xml:space="preserve"> pero no sueltan nada de sus privilegios ni de su tan ansiado poder</w:t>
      </w:r>
      <w:r w:rsidR="00757D76">
        <w:t xml:space="preserve">.  </w:t>
      </w:r>
      <w:r w:rsidR="00591465">
        <w:t xml:space="preserve"> Los mismos programas sociales del gobierno están en la misma dinámica de considerar a los pobres como beneficiarios y no como protagonistas de su propio destino.  </w:t>
      </w:r>
      <w:r w:rsidR="00757D76">
        <w:t xml:space="preserve">Se consideran los mesías, los redentores de los pobres, mientras se enriquecen (sea de manera legal o ilegal, legítimo o no). Monseñor aclara que esos falsos paternalismos no son ajenos a las iglesias.  </w:t>
      </w:r>
      <w:r w:rsidR="000606DA">
        <w:t xml:space="preserve">Cuando el estilo de vida de pastores, sacerdotes, obispos, </w:t>
      </w:r>
      <w:r w:rsidR="001C30A2">
        <w:t xml:space="preserve">sus ingresos, </w:t>
      </w:r>
      <w:r w:rsidR="000606DA">
        <w:t xml:space="preserve">sus viviendas y sus templos “no se parecen a las casas del pueblo”, difícilmente podrán entender la “encarnación preferencial y parcial de Dios” y aún menos se van encarnar preferencial y parcialmente en el mundo de las y los pobres. </w:t>
      </w:r>
      <w:r w:rsidR="001C30A2">
        <w:t xml:space="preserve"> </w:t>
      </w:r>
    </w:p>
    <w:p w:rsidR="001C30A2" w:rsidRPr="00EE3B8F" w:rsidRDefault="001C30A2" w:rsidP="00444DC5">
      <w:pPr>
        <w:jc w:val="both"/>
      </w:pPr>
      <w:r>
        <w:t xml:space="preserve">Monseñor anuncia también que al conocer y al vivir el mundo de los pobres, la Iglesia descubre lo que significa </w:t>
      </w:r>
      <w:r w:rsidRPr="00F7247B">
        <w:rPr>
          <w:i/>
          <w:iCs/>
        </w:rPr>
        <w:t>“la esperanza crist</w:t>
      </w:r>
      <w:r w:rsidR="00F7247B" w:rsidRPr="00F7247B">
        <w:rPr>
          <w:i/>
          <w:iCs/>
        </w:rPr>
        <w:t>i</w:t>
      </w:r>
      <w:r w:rsidRPr="00F7247B">
        <w:rPr>
          <w:i/>
          <w:iCs/>
        </w:rPr>
        <w:t>ana</w:t>
      </w:r>
      <w:r>
        <w:t>”</w:t>
      </w:r>
      <w:r w:rsidR="00F7247B">
        <w:t xml:space="preserve">.  </w:t>
      </w:r>
      <w:r w:rsidR="00594E2E">
        <w:t>É</w:t>
      </w:r>
      <w:r w:rsidR="00F7247B">
        <w:t>sta cuestionará cada “</w:t>
      </w:r>
      <w:r w:rsidR="00F7247B" w:rsidRPr="00F7247B">
        <w:rPr>
          <w:i/>
          <w:iCs/>
        </w:rPr>
        <w:t>configuración sociopolítica</w:t>
      </w:r>
      <w:r w:rsidR="00F7247B">
        <w:t xml:space="preserve">” y abrirá siempre horizontes más justos, más libres, más fraternos, más verdaderos, más solidarios, más misericordiosos. </w:t>
      </w:r>
      <w:r w:rsidR="004E4CA0">
        <w:t xml:space="preserve"> Nos habla de </w:t>
      </w:r>
      <w:r w:rsidR="004E4CA0" w:rsidRPr="004E4CA0">
        <w:rPr>
          <w:i/>
          <w:iCs/>
        </w:rPr>
        <w:t>“los signos de esperanza histórica</w:t>
      </w:r>
      <w:r w:rsidR="004E4CA0">
        <w:t>”, por muy pequeños que sean.   Todo aporte para desmontar estructuras injustas, todo aporte en la construcción de estructuras (económicas, sociales, políticas) más justas</w:t>
      </w:r>
      <w:r w:rsidR="000B6CEA">
        <w:t>, son leídas por la Iglesia como esos signos de esperanza que apuntan hacia la esperanza trascendente del Reino de Dios.  Monseñor nos da el ejemplo con un texto de Isaías (</w:t>
      </w:r>
      <w:proofErr w:type="spellStart"/>
      <w:r w:rsidR="000B6CEA">
        <w:t>Is</w:t>
      </w:r>
      <w:proofErr w:type="spellEnd"/>
      <w:r w:rsidR="000B6CEA">
        <w:t xml:space="preserve"> 65,21): construir casas y habitar en ellas, plantar viñas y comer de sus frutos.  </w:t>
      </w:r>
      <w:r w:rsidR="00E24540">
        <w:t>Estas son signos de esperanza del Reino.  Cuando los obreros ya no constru</w:t>
      </w:r>
      <w:r w:rsidR="009A4B3F">
        <w:t>yan</w:t>
      </w:r>
      <w:r w:rsidR="00E24540">
        <w:t xml:space="preserve"> casonas, apartamentos de lujo, ranchos de lujo, sino aquellas casas dignas donde ellos mismos podrán vivir.  Cuando los peones </w:t>
      </w:r>
      <w:r w:rsidR="00D304E8">
        <w:t>ya no trabaj</w:t>
      </w:r>
      <w:r w:rsidR="009A4B3F">
        <w:t>en</w:t>
      </w:r>
      <w:r w:rsidR="00D304E8">
        <w:t xml:space="preserve"> en las fincas de café que no son de ellos, sino trabajarán en sus tierras que puedan darles vida.  Cuando mujeres ya no sean explotadas en el trabajo doméstica ajen</w:t>
      </w:r>
      <w:r w:rsidR="009A4B3F">
        <w:t>o</w:t>
      </w:r>
      <w:r w:rsidR="00D304E8">
        <w:t>, sino cu</w:t>
      </w:r>
      <w:r w:rsidR="00F0210C">
        <w:t xml:space="preserve">ando </w:t>
      </w:r>
      <w:r w:rsidR="00594E2E">
        <w:t xml:space="preserve">hombres y mujeres </w:t>
      </w:r>
      <w:r w:rsidR="00F0210C">
        <w:t>constru</w:t>
      </w:r>
      <w:r w:rsidR="009A4B3F">
        <w:t>yan</w:t>
      </w:r>
      <w:r w:rsidR="00F0210C">
        <w:t xml:space="preserve"> sus propios hogares.  Cuando se acab</w:t>
      </w:r>
      <w:r w:rsidR="00E618C4">
        <w:t>en</w:t>
      </w:r>
      <w:r w:rsidR="00F0210C">
        <w:t xml:space="preserve"> los salarios y las pensiones de hambre… Cuando los parlamentarios ten</w:t>
      </w:r>
      <w:r w:rsidR="00E618C4">
        <w:t>gan</w:t>
      </w:r>
      <w:r w:rsidR="00F0210C">
        <w:t xml:space="preserve"> salarios </w:t>
      </w:r>
      <w:r w:rsidR="00E618C4">
        <w:t xml:space="preserve">que no sean mayores que los salarios </w:t>
      </w:r>
      <w:r w:rsidR="00F0210C">
        <w:t>maestros/</w:t>
      </w:r>
      <w:proofErr w:type="gramStart"/>
      <w:r w:rsidR="00F0210C">
        <w:t>as  del</w:t>
      </w:r>
      <w:proofErr w:type="gramEnd"/>
      <w:r w:rsidR="00F0210C">
        <w:t xml:space="preserve"> pueblo…. Estos signos de esperanza pueden estar muy alejados</w:t>
      </w:r>
      <w:r w:rsidR="00594E2E">
        <w:t>.  Sin embargo</w:t>
      </w:r>
      <w:r w:rsidR="005B1DCA">
        <w:t>,</w:t>
      </w:r>
      <w:r w:rsidR="00594E2E">
        <w:t xml:space="preserve"> la esperanza del Reino se hará realidad en la esperanza histórica y concreta de las y los pobres.  </w:t>
      </w:r>
      <w:r w:rsidR="005B1DCA">
        <w:t xml:space="preserve"> (29 de septiembre de 2019) </w:t>
      </w:r>
    </w:p>
    <w:sectPr w:rsidR="001C30A2" w:rsidRPr="00EE3B8F" w:rsidSect="00444DC5">
      <w:pgSz w:w="12240" w:h="15840" w:code="1"/>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5195" w:rsidRDefault="00775195" w:rsidP="006C3E1B">
      <w:pPr>
        <w:spacing w:after="0" w:line="240" w:lineRule="auto"/>
      </w:pPr>
      <w:r>
        <w:separator/>
      </w:r>
    </w:p>
  </w:endnote>
  <w:endnote w:type="continuationSeparator" w:id="0">
    <w:p w:rsidR="00775195" w:rsidRDefault="00775195" w:rsidP="006C3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5195" w:rsidRDefault="00775195" w:rsidP="006C3E1B">
      <w:pPr>
        <w:spacing w:after="0" w:line="240" w:lineRule="auto"/>
      </w:pPr>
      <w:r>
        <w:separator/>
      </w:r>
    </w:p>
  </w:footnote>
  <w:footnote w:type="continuationSeparator" w:id="0">
    <w:p w:rsidR="00775195" w:rsidRDefault="00775195" w:rsidP="006C3E1B">
      <w:pPr>
        <w:spacing w:after="0" w:line="240" w:lineRule="auto"/>
      </w:pPr>
      <w:r>
        <w:continuationSeparator/>
      </w:r>
    </w:p>
  </w:footnote>
  <w:footnote w:id="1">
    <w:p w:rsidR="006C3E1B" w:rsidRPr="006C3E1B" w:rsidRDefault="006C3E1B">
      <w:pPr>
        <w:pStyle w:val="Textonotapie"/>
        <w:rPr>
          <w:lang w:val="es-ES"/>
        </w:rPr>
      </w:pPr>
      <w:r>
        <w:rPr>
          <w:rStyle w:val="Refdenotaalpie"/>
        </w:rPr>
        <w:footnoteRef/>
      </w:r>
      <w:r>
        <w:t xml:space="preserve"> </w:t>
      </w:r>
      <w:r>
        <w:rPr>
          <w:lang w:val="es-ES"/>
        </w:rPr>
        <w:t>Tomo VII.  Los escritos de Monseñor Romero. UCA editores. P. 198-199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68"/>
    <w:rsid w:val="000606DA"/>
    <w:rsid w:val="00064D66"/>
    <w:rsid w:val="000B6CEA"/>
    <w:rsid w:val="000E51BF"/>
    <w:rsid w:val="001278E6"/>
    <w:rsid w:val="001C30A2"/>
    <w:rsid w:val="00350968"/>
    <w:rsid w:val="00444DC5"/>
    <w:rsid w:val="00460611"/>
    <w:rsid w:val="004E4CA0"/>
    <w:rsid w:val="00591465"/>
    <w:rsid w:val="00594E2E"/>
    <w:rsid w:val="005B1DCA"/>
    <w:rsid w:val="006201CE"/>
    <w:rsid w:val="006B7E74"/>
    <w:rsid w:val="006C3E1B"/>
    <w:rsid w:val="007526F1"/>
    <w:rsid w:val="00757D76"/>
    <w:rsid w:val="00775195"/>
    <w:rsid w:val="00775B1C"/>
    <w:rsid w:val="00975DCD"/>
    <w:rsid w:val="009A4B3F"/>
    <w:rsid w:val="009D1EDD"/>
    <w:rsid w:val="009F24F1"/>
    <w:rsid w:val="00C9664D"/>
    <w:rsid w:val="00D304E8"/>
    <w:rsid w:val="00D65316"/>
    <w:rsid w:val="00E24540"/>
    <w:rsid w:val="00E266D6"/>
    <w:rsid w:val="00E618C4"/>
    <w:rsid w:val="00EE3B8F"/>
    <w:rsid w:val="00F0210C"/>
    <w:rsid w:val="00F7247B"/>
    <w:rsid w:val="00FE41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926488-94F9-46D3-8147-35857BB7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C3E1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3E1B"/>
    <w:rPr>
      <w:sz w:val="20"/>
      <w:szCs w:val="20"/>
      <w:lang w:val="es-SV"/>
    </w:rPr>
  </w:style>
  <w:style w:type="character" w:styleId="Refdenotaalpie">
    <w:name w:val="footnote reference"/>
    <w:basedOn w:val="Fuentedeprrafopredeter"/>
    <w:uiPriority w:val="99"/>
    <w:semiHidden/>
    <w:unhideWhenUsed/>
    <w:rsid w:val="006C3E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CA06D-1B8D-455F-A036-7C2414AA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729</Words>
  <Characters>4015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2019-09-30T11:57:00Z</cp:lastPrinted>
  <dcterms:created xsi:type="dcterms:W3CDTF">2019-10-10T14:53:00Z</dcterms:created>
  <dcterms:modified xsi:type="dcterms:W3CDTF">2019-10-10T14:53:00Z</dcterms:modified>
</cp:coreProperties>
</file>