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DBE" w:rsidRPr="006A6DBE" w:rsidRDefault="006A6DBE" w:rsidP="006A6DBE">
      <w:pPr>
        <w:shd w:val="clear" w:color="auto" w:fill="FFFFFF"/>
        <w:spacing w:after="0" w:line="240" w:lineRule="auto"/>
        <w:rPr>
          <w:rFonts w:ascii="Arial" w:eastAsia="Times New Roman" w:hAnsi="Arial" w:cs="Arial"/>
          <w:color w:val="222222"/>
          <w:sz w:val="36"/>
          <w:szCs w:val="36"/>
          <w:lang w:val="es-UY" w:eastAsia="es-UY"/>
        </w:rPr>
      </w:pPr>
      <w:r w:rsidRPr="006A6DBE">
        <w:rPr>
          <w:rFonts w:ascii="Arial" w:eastAsia="Times New Roman" w:hAnsi="Arial" w:cs="Arial"/>
          <w:b/>
          <w:bCs/>
          <w:color w:val="222222"/>
          <w:sz w:val="36"/>
          <w:szCs w:val="36"/>
          <w:lang w:val="es-UY" w:eastAsia="es-UY"/>
        </w:rPr>
        <w:t>CLOC 25 Años</w:t>
      </w:r>
    </w:p>
    <w:p w:rsidR="006A6DBE" w:rsidRPr="006A6DBE" w:rsidRDefault="006A6DBE" w:rsidP="006A6DBE">
      <w:pPr>
        <w:shd w:val="clear" w:color="auto" w:fill="FFFFFF"/>
        <w:spacing w:after="0" w:line="240" w:lineRule="auto"/>
        <w:rPr>
          <w:rFonts w:ascii="Arial" w:eastAsia="Times New Roman" w:hAnsi="Arial" w:cs="Arial"/>
          <w:color w:val="222222"/>
          <w:sz w:val="28"/>
          <w:szCs w:val="28"/>
          <w:lang w:val="es-UY" w:eastAsia="es-UY"/>
        </w:rPr>
      </w:pPr>
      <w:r w:rsidRPr="006A6DBE">
        <w:rPr>
          <w:rFonts w:ascii="Arial" w:eastAsia="Times New Roman" w:hAnsi="Arial" w:cs="Arial"/>
          <w:b/>
          <w:bCs/>
          <w:color w:val="222222"/>
          <w:sz w:val="28"/>
          <w:szCs w:val="28"/>
          <w:lang w:val="es-UY" w:eastAsia="es-UY"/>
        </w:rPr>
        <w:t>Osvaldo León</w:t>
      </w:r>
    </w:p>
    <w:p w:rsidR="006A6DBE" w:rsidRDefault="006A6DBE" w:rsidP="006A6DBE">
      <w:pPr>
        <w:shd w:val="clear" w:color="auto" w:fill="FFFFFF"/>
        <w:spacing w:after="0" w:line="240" w:lineRule="auto"/>
        <w:rPr>
          <w:rFonts w:ascii="Arial" w:eastAsia="Times New Roman" w:hAnsi="Arial" w:cs="Arial"/>
          <w:i/>
          <w:iCs/>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i/>
          <w:iCs/>
          <w:color w:val="222222"/>
          <w:sz w:val="24"/>
          <w:szCs w:val="24"/>
          <w:lang w:val="es-UY" w:eastAsia="es-UY"/>
        </w:rPr>
        <w:t>ALAI AMLATINA, 12/06/2019.-</w:t>
      </w:r>
      <w:r w:rsidRPr="006A6DBE">
        <w:rPr>
          <w:rFonts w:ascii="Arial" w:eastAsia="Times New Roman" w:hAnsi="Arial" w:cs="Arial"/>
          <w:color w:val="222222"/>
          <w:sz w:val="24"/>
          <w:szCs w:val="24"/>
          <w:lang w:val="es-UY" w:eastAsia="es-UY"/>
        </w:rPr>
        <w:t> Bajo el lema “Unidos en Defensa de la Vida, la Tierra, el Trabajo y la Producción”, en febrero de 1994 en Lima (Perú), se constituye formalmente la </w:t>
      </w:r>
      <w:r w:rsidRPr="006A6DBE">
        <w:rPr>
          <w:rFonts w:ascii="Arial" w:eastAsia="Times New Roman" w:hAnsi="Arial" w:cs="Arial"/>
          <w:i/>
          <w:iCs/>
          <w:color w:val="222222"/>
          <w:sz w:val="24"/>
          <w:szCs w:val="24"/>
          <w:lang w:val="es-UY" w:eastAsia="es-UY"/>
        </w:rPr>
        <w:t>Coordinadora Latinoamericana de Organizaciones del Campo</w:t>
      </w:r>
      <w:r w:rsidRPr="006A6DBE">
        <w:rPr>
          <w:rFonts w:ascii="Arial" w:eastAsia="Times New Roman" w:hAnsi="Arial" w:cs="Arial"/>
          <w:color w:val="222222"/>
          <w:sz w:val="24"/>
          <w:szCs w:val="24"/>
          <w:lang w:val="es-UY" w:eastAsia="es-UY"/>
        </w:rPr>
        <w:t xml:space="preserve"> (CLOC), con la participación de 84 organizaciones procedentes de 18 países de América Latina y el Caribe, tras un proceso de convergencia de varios años que se teje en el marco de </w:t>
      </w:r>
      <w:proofErr w:type="spellStart"/>
      <w:r w:rsidRPr="006A6DBE">
        <w:rPr>
          <w:rFonts w:ascii="Arial" w:eastAsia="Times New Roman" w:hAnsi="Arial" w:cs="Arial"/>
          <w:color w:val="222222"/>
          <w:sz w:val="24"/>
          <w:szCs w:val="24"/>
          <w:lang w:val="es-UY" w:eastAsia="es-UY"/>
        </w:rPr>
        <w:t>la</w:t>
      </w:r>
      <w:r w:rsidRPr="006A6DBE">
        <w:rPr>
          <w:rFonts w:ascii="Arial" w:eastAsia="Times New Roman" w:hAnsi="Arial" w:cs="Arial"/>
          <w:i/>
          <w:iCs/>
          <w:color w:val="222222"/>
          <w:sz w:val="24"/>
          <w:szCs w:val="24"/>
          <w:lang w:val="es-UY" w:eastAsia="es-UY"/>
        </w:rPr>
        <w:t>Campaña</w:t>
      </w:r>
      <w:proofErr w:type="spellEnd"/>
      <w:r w:rsidRPr="006A6DBE">
        <w:rPr>
          <w:rFonts w:ascii="Arial" w:eastAsia="Times New Roman" w:hAnsi="Arial" w:cs="Arial"/>
          <w:i/>
          <w:iCs/>
          <w:color w:val="222222"/>
          <w:sz w:val="24"/>
          <w:szCs w:val="24"/>
          <w:lang w:val="es-UY" w:eastAsia="es-UY"/>
        </w:rPr>
        <w:t xml:space="preserve"> Continental 500 Años de Resistencia Indígena, Negra y Popular</w:t>
      </w:r>
      <w:r w:rsidRPr="006A6DBE">
        <w:rPr>
          <w:rFonts w:ascii="Arial" w:eastAsia="Times New Roman" w:hAnsi="Arial" w:cs="Arial"/>
          <w:color w:val="222222"/>
          <w:sz w:val="24"/>
          <w:szCs w:val="24"/>
          <w:lang w:val="es-UY" w:eastAsia="es-UY"/>
        </w:rPr>
        <w:t>.</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UY" w:eastAsia="es-UY"/>
        </w:rPr>
        <w:t>Este proceso tiene como epicentro inicial un acercamiento de organizaciones campesino-indígenas de la Región Andina, a partir de un taller de intercambio de experiencias en educación y comunicación (octubre de 1987) en el cual se consideró urgente la necesidad de superar el carácter esporádico de las relaciones, precisando que: “el hecho de que comprendamos la importancia de caminar juntos, no quiere decir que el camino sea fácil. Luego de habernos ignorado mutuamente por siempre, tenemos un mundo de desconocimiento que nos separa”.</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UY" w:eastAsia="es-UY"/>
        </w:rPr>
        <w:t>Debido a que para entonces los estragos del impacto del neoliberalismo imperante ya repercuten con fuerza en el desgarramiento del tejido social organizativo, la perspectiva unitaria encuentra un terreno fértil y se proyecta a las demás regiones con el impulso de la </w:t>
      </w:r>
      <w:r w:rsidRPr="006A6DBE">
        <w:rPr>
          <w:rFonts w:ascii="Arial" w:eastAsia="Times New Roman" w:hAnsi="Arial" w:cs="Arial"/>
          <w:i/>
          <w:iCs/>
          <w:color w:val="222222"/>
          <w:sz w:val="24"/>
          <w:szCs w:val="24"/>
          <w:lang w:val="es-UY" w:eastAsia="es-UY"/>
        </w:rPr>
        <w:t>Campaña Continental 500 Años de Resistencia Indígena, Negra y Popular</w:t>
      </w:r>
      <w:r w:rsidRPr="006A6DBE">
        <w:rPr>
          <w:rFonts w:ascii="Arial" w:eastAsia="Times New Roman" w:hAnsi="Arial" w:cs="Arial"/>
          <w:color w:val="222222"/>
          <w:sz w:val="24"/>
          <w:szCs w:val="24"/>
          <w:lang w:val="es-UY" w:eastAsia="es-UY"/>
        </w:rPr>
        <w:t>, que se desarrolla entre octubre de 1989 y octubre de 1992, con motivo del V Centenario de la llegada española a suelo americano.</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UY" w:eastAsia="es-UY"/>
        </w:rPr>
        <w:t xml:space="preserve">La particularidad de esta campaña es que no se agota en sí </w:t>
      </w:r>
      <w:proofErr w:type="gramStart"/>
      <w:r w:rsidRPr="006A6DBE">
        <w:rPr>
          <w:rFonts w:ascii="Arial" w:eastAsia="Times New Roman" w:hAnsi="Arial" w:cs="Arial"/>
          <w:color w:val="222222"/>
          <w:sz w:val="24"/>
          <w:szCs w:val="24"/>
          <w:lang w:val="es-UY" w:eastAsia="es-UY"/>
        </w:rPr>
        <w:t>misma</w:t>
      </w:r>
      <w:proofErr w:type="gramEnd"/>
      <w:r w:rsidRPr="006A6DBE">
        <w:rPr>
          <w:rFonts w:ascii="Arial" w:eastAsia="Times New Roman" w:hAnsi="Arial" w:cs="Arial"/>
          <w:color w:val="222222"/>
          <w:sz w:val="24"/>
          <w:szCs w:val="24"/>
          <w:lang w:val="es-UY" w:eastAsia="es-UY"/>
        </w:rPr>
        <w:t xml:space="preserve"> sino que se convierte en una respuesta pionera desde el campo popular al fenómeno de la globalización neoliberal.  Entre otras cosas, porque logra aglutinar como promotores a sectores sociales tradicionalmente excluidos, bajo la premisa de “unidad en la diversidad”; permite entrelazar las acciones locales con las globales, contrarrestando el localismo que el neoliberalismo pretendía imponer a las demandas sociales; se constituye en un crisol donde se funden articulaciones sectoriales con renovados criterios organizativos; genera un significativo movimiento de solidaridad internacional, entre otras.</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UY" w:eastAsia="es-UY"/>
        </w:rPr>
        <w:t>Por lo mismo, el sentido matriz que tiene para la CLOC esta campaña no solo se debe a que ella posibilita un espacio de encuentro y de intercambio entre organizaciones afines y con otros sectores sociales, sino a que su realización está pautada por una serie de replanteamientos conceptuales y organizativos, con miras a contrarrestar la tendencia hacia la fragmentación y la dispersión del campo popular.</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UY" w:eastAsia="es-UY"/>
        </w:rPr>
        <w:t xml:space="preserve">Y es así </w:t>
      </w:r>
      <w:proofErr w:type="gramStart"/>
      <w:r w:rsidRPr="006A6DBE">
        <w:rPr>
          <w:rFonts w:ascii="Arial" w:eastAsia="Times New Roman" w:hAnsi="Arial" w:cs="Arial"/>
          <w:color w:val="222222"/>
          <w:sz w:val="24"/>
          <w:szCs w:val="24"/>
          <w:lang w:val="es-UY" w:eastAsia="es-UY"/>
        </w:rPr>
        <w:t>que</w:t>
      </w:r>
      <w:proofErr w:type="gramEnd"/>
      <w:r w:rsidRPr="006A6DBE">
        <w:rPr>
          <w:rFonts w:ascii="Arial" w:eastAsia="Times New Roman" w:hAnsi="Arial" w:cs="Arial"/>
          <w:color w:val="222222"/>
          <w:sz w:val="24"/>
          <w:szCs w:val="24"/>
          <w:lang w:val="es-UY" w:eastAsia="es-UY"/>
        </w:rPr>
        <w:t xml:space="preserve"> desde su nacimiento la unidad propuesta por la CLOC ha buscado ir más allá de los acuerdos formales o compromisos políticos, para encontrarse en las luchas concretas, lo que implica contar con organizaciones nacionales representativas y, por tanto, de masas; definiciones que se han mantenido como referentes para el desarrollo de la coordinación.  Es más, bajo estos parámetros </w:t>
      </w:r>
      <w:r w:rsidRPr="006A6DBE">
        <w:rPr>
          <w:rFonts w:ascii="Arial" w:eastAsia="Times New Roman" w:hAnsi="Arial" w:cs="Arial"/>
          <w:color w:val="222222"/>
          <w:sz w:val="24"/>
          <w:szCs w:val="24"/>
          <w:lang w:val="es-UY" w:eastAsia="es-UY"/>
        </w:rPr>
        <w:lastRenderedPageBreak/>
        <w:t>dos años más tarde, en Tlaxcala, México (abril 1996), formaliza su participación en La Vía Campesina Internacional.</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b/>
          <w:bCs/>
          <w:color w:val="222222"/>
          <w:sz w:val="24"/>
          <w:szCs w:val="24"/>
          <w:lang w:val="es-UY" w:eastAsia="es-UY"/>
        </w:rPr>
        <w:t>Premisas</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ES" w:eastAsia="es-UY"/>
        </w:rPr>
        <w:t xml:space="preserve">Tras constatar que: “Las políticas neoliberales en el agro latinoamericano se han expresado en francos retrocesos de las reformas agrarias, con legislaciones </w:t>
      </w:r>
      <w:proofErr w:type="spellStart"/>
      <w:r w:rsidRPr="006A6DBE">
        <w:rPr>
          <w:rFonts w:ascii="Arial" w:eastAsia="Times New Roman" w:hAnsi="Arial" w:cs="Arial"/>
          <w:color w:val="222222"/>
          <w:sz w:val="24"/>
          <w:szCs w:val="24"/>
          <w:lang w:val="es-ES" w:eastAsia="es-UY"/>
        </w:rPr>
        <w:t>anticampesinas</w:t>
      </w:r>
      <w:proofErr w:type="spellEnd"/>
      <w:r w:rsidRPr="006A6DBE">
        <w:rPr>
          <w:rFonts w:ascii="Arial" w:eastAsia="Times New Roman" w:hAnsi="Arial" w:cs="Arial"/>
          <w:color w:val="222222"/>
          <w:sz w:val="24"/>
          <w:szCs w:val="24"/>
          <w:lang w:val="es-ES" w:eastAsia="es-UY"/>
        </w:rPr>
        <w:t xml:space="preserve"> que tienen como fin lanzar al mercado millones de hectáreas de tierras y facilitar procesos de reconcentración de </w:t>
      </w:r>
      <w:proofErr w:type="gramStart"/>
      <w:r w:rsidRPr="006A6DBE">
        <w:rPr>
          <w:rFonts w:ascii="Arial" w:eastAsia="Times New Roman" w:hAnsi="Arial" w:cs="Arial"/>
          <w:color w:val="222222"/>
          <w:sz w:val="24"/>
          <w:szCs w:val="24"/>
          <w:lang w:val="es-ES" w:eastAsia="es-UY"/>
        </w:rPr>
        <w:t>las mismas</w:t>
      </w:r>
      <w:proofErr w:type="gramEnd"/>
      <w:r w:rsidRPr="006A6DBE">
        <w:rPr>
          <w:rFonts w:ascii="Arial" w:eastAsia="Times New Roman" w:hAnsi="Arial" w:cs="Arial"/>
          <w:color w:val="222222"/>
          <w:sz w:val="24"/>
          <w:szCs w:val="24"/>
          <w:lang w:val="es-ES" w:eastAsia="es-UY"/>
        </w:rPr>
        <w:t>. También han ocasionado un alarmante crecimiento de la pobreza, migraciones hacia las ciudades y destrucción de las economías campesinas”, en la jornada fundacional se establecen las premisas que habrán de marcar su posterior desenvolvimiento.</w:t>
      </w: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UY" w:eastAsia="es-UY"/>
        </w:rPr>
        <w:t xml:space="preserve">“En el aspecto agrario concluimos que el derecho de los campesinos a la tierra y de los indígenas a su territorio es irrenunciable e irrevocable y forma parte de los derechos humanos. Que una verdadera reforma agraria supone profundos cambios en las estructuras sociales y productivas, un reordenamiento de la legislación </w:t>
      </w:r>
      <w:proofErr w:type="spellStart"/>
      <w:r w:rsidRPr="006A6DBE">
        <w:rPr>
          <w:rFonts w:ascii="Arial" w:eastAsia="Times New Roman" w:hAnsi="Arial" w:cs="Arial"/>
          <w:color w:val="222222"/>
          <w:sz w:val="24"/>
          <w:szCs w:val="24"/>
          <w:lang w:val="es-UY" w:eastAsia="es-UY"/>
        </w:rPr>
        <w:t>anticampesina</w:t>
      </w:r>
      <w:proofErr w:type="spellEnd"/>
      <w:r w:rsidRPr="006A6DBE">
        <w:rPr>
          <w:rFonts w:ascii="Arial" w:eastAsia="Times New Roman" w:hAnsi="Arial" w:cs="Arial"/>
          <w:color w:val="222222"/>
          <w:sz w:val="24"/>
          <w:szCs w:val="24"/>
          <w:lang w:val="es-UY" w:eastAsia="es-UY"/>
        </w:rPr>
        <w:t xml:space="preserve"> que garantice las formas de propiedad social y la conducción directa de la tierra. No más tierras en pocas manos, ni muchas manos sin tierra”, señala la Declaración.</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UY" w:eastAsia="es-UY"/>
        </w:rPr>
        <w:t>Es fundamental, acota, “Promover el acceso de los pequeños y medianos productores al crédito, asistencia técnica e investigación, mercados seguros y precios justos para sus productos, seguro agrícola y servicios básicos; impulsar formas alternativas de autodesarrollo e integración económica desde nuestras organizaciones, tanto a nivel local, nacional, como a nivel de América Latina y trabajar por una agricultura autosostenible que garantice el mejoramiento de la calidad de vida de la población, el uso racional de los recursos naturales y la preservación de nuestros recursos genéticos”.</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roofErr w:type="gramStart"/>
      <w:r w:rsidRPr="006A6DBE">
        <w:rPr>
          <w:rFonts w:ascii="Arial" w:eastAsia="Times New Roman" w:hAnsi="Arial" w:cs="Arial"/>
          <w:color w:val="222222"/>
          <w:sz w:val="24"/>
          <w:szCs w:val="24"/>
          <w:lang w:val="es-UY" w:eastAsia="es-UY"/>
        </w:rPr>
        <w:t>Asimismo</w:t>
      </w:r>
      <w:proofErr w:type="gramEnd"/>
      <w:r w:rsidRPr="006A6DBE">
        <w:rPr>
          <w:rFonts w:ascii="Arial" w:eastAsia="Times New Roman" w:hAnsi="Arial" w:cs="Arial"/>
          <w:color w:val="222222"/>
          <w:sz w:val="24"/>
          <w:szCs w:val="24"/>
          <w:lang w:val="es-UY" w:eastAsia="es-UY"/>
        </w:rPr>
        <w:t xml:space="preserve"> señala el compromiso con la “lucha por el respeto a la identidad cultural, a la autodeterminación y al territorio de los pueblos indios”; con el impulso de “una mística latinoamericana que supere todo tipo de discriminación y violencia contra la mujer, facilitando y apoyando su participación activa y con iguales derechos que el hombre en las diferentes instancias de decisión”; y con la búsqueda para “que la niñez y la juventud tengan una especial atención… Que no haya más niños explotados ni juventud sin empleo”.</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UY" w:eastAsia="es-UY"/>
        </w:rPr>
        <w:t xml:space="preserve">También se demanda “una educación que responda a los problemas y necesidades de transformación y desarrollo integral del campo, que afirme los valores culturales de las comunidades campesinas y pueblos indígenas”. </w:t>
      </w:r>
      <w:proofErr w:type="gramStart"/>
      <w:r w:rsidRPr="006A6DBE">
        <w:rPr>
          <w:rFonts w:ascii="Arial" w:eastAsia="Times New Roman" w:hAnsi="Arial" w:cs="Arial"/>
          <w:color w:val="222222"/>
          <w:sz w:val="24"/>
          <w:szCs w:val="24"/>
          <w:lang w:val="es-UY" w:eastAsia="es-UY"/>
        </w:rPr>
        <w:t>Además</w:t>
      </w:r>
      <w:proofErr w:type="gramEnd"/>
      <w:r w:rsidRPr="006A6DBE">
        <w:rPr>
          <w:rFonts w:ascii="Arial" w:eastAsia="Times New Roman" w:hAnsi="Arial" w:cs="Arial"/>
          <w:color w:val="222222"/>
          <w:sz w:val="24"/>
          <w:szCs w:val="24"/>
          <w:lang w:val="es-UY" w:eastAsia="es-UY"/>
        </w:rPr>
        <w:t xml:space="preserve"> se reconoce que es necesario “readecuar nuestras formas de organización y de lucha, tomando en cuenta los cambios políticos y económicos impuestos por el neoliberalismo”, como también el fortalecimiento de la autonomía de las organizaciones del campo. A la vez que se denuncia “la represión y persecución de militantes y dirigentes campesinos”.</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b/>
          <w:bCs/>
          <w:color w:val="222222"/>
          <w:sz w:val="24"/>
          <w:szCs w:val="24"/>
          <w:lang w:val="es-UY" w:eastAsia="es-UY"/>
        </w:rPr>
        <w:t>A la disputa del modelo</w:t>
      </w: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UY" w:eastAsia="es-UY"/>
        </w:rPr>
        <w:t xml:space="preserve">Con el camino recorrido, de un tiempo para acá en la agenda de la CLOC-VC se ha colocado el desafío de avanzar en la construcción del proyecto político popular y la generación de propuestas para políticas públicas, a partir de la defensa de una nueva matriz de producción de los bienes agrícolas basada en </w:t>
      </w:r>
      <w:r w:rsidRPr="006A6DBE">
        <w:rPr>
          <w:rFonts w:ascii="Arial" w:eastAsia="Times New Roman" w:hAnsi="Arial" w:cs="Arial"/>
          <w:color w:val="222222"/>
          <w:sz w:val="24"/>
          <w:szCs w:val="24"/>
          <w:lang w:val="es-UY" w:eastAsia="es-UY"/>
        </w:rPr>
        <w:lastRenderedPageBreak/>
        <w:t>la agroecología: modelo contrapuesto al del agronegocio </w:t>
      </w:r>
      <w:r w:rsidRPr="006A6DBE">
        <w:rPr>
          <w:rFonts w:ascii="Arial" w:eastAsia="Times New Roman" w:hAnsi="Arial" w:cs="Arial"/>
          <w:color w:val="222222"/>
          <w:sz w:val="24"/>
          <w:szCs w:val="24"/>
          <w:lang w:val="es-ES" w:eastAsia="es-UY"/>
        </w:rPr>
        <w:t>(</w:t>
      </w:r>
      <w:proofErr w:type="spellStart"/>
      <w:r w:rsidRPr="006A6DBE">
        <w:rPr>
          <w:rFonts w:ascii="Arial" w:eastAsia="Times New Roman" w:hAnsi="Arial" w:cs="Arial"/>
          <w:color w:val="222222"/>
          <w:sz w:val="24"/>
          <w:szCs w:val="24"/>
          <w:lang w:val="es-ES" w:eastAsia="es-UY"/>
        </w:rPr>
        <w:t>agribusiness</w:t>
      </w:r>
      <w:proofErr w:type="spellEnd"/>
      <w:r w:rsidRPr="006A6DBE">
        <w:rPr>
          <w:rFonts w:ascii="Arial" w:eastAsia="Times New Roman" w:hAnsi="Arial" w:cs="Arial"/>
          <w:color w:val="222222"/>
          <w:sz w:val="24"/>
          <w:szCs w:val="24"/>
          <w:lang w:val="es-ES" w:eastAsia="es-UY"/>
        </w:rPr>
        <w:t>) </w:t>
      </w:r>
      <w:r w:rsidRPr="006A6DBE">
        <w:rPr>
          <w:rFonts w:ascii="Arial" w:eastAsia="Times New Roman" w:hAnsi="Arial" w:cs="Arial"/>
          <w:color w:val="222222"/>
          <w:sz w:val="24"/>
          <w:szCs w:val="24"/>
          <w:lang w:val="es-UY" w:eastAsia="es-UY"/>
        </w:rPr>
        <w:t>que </w:t>
      </w:r>
      <w:r w:rsidRPr="006A6DBE">
        <w:rPr>
          <w:rFonts w:ascii="Arial" w:eastAsia="Times New Roman" w:hAnsi="Arial" w:cs="Arial"/>
          <w:color w:val="222222"/>
          <w:sz w:val="24"/>
          <w:szCs w:val="24"/>
          <w:lang w:val="es-ES" w:eastAsia="es-UY"/>
        </w:rPr>
        <w:t>sólo consigue producir </w:t>
      </w:r>
      <w:r w:rsidRPr="006A6DBE">
        <w:rPr>
          <w:rFonts w:ascii="Arial" w:eastAsia="Times New Roman" w:hAnsi="Arial" w:cs="Arial"/>
          <w:color w:val="222222"/>
          <w:sz w:val="24"/>
          <w:szCs w:val="24"/>
          <w:lang w:val="es-UY" w:eastAsia="es-UY"/>
        </w:rPr>
        <w:t>alimentos </w:t>
      </w:r>
      <w:r w:rsidRPr="006A6DBE">
        <w:rPr>
          <w:rFonts w:ascii="Arial" w:eastAsia="Times New Roman" w:hAnsi="Arial" w:cs="Arial"/>
          <w:color w:val="222222"/>
          <w:sz w:val="24"/>
          <w:szCs w:val="24"/>
          <w:lang w:val="es-ES" w:eastAsia="es-UY"/>
        </w:rPr>
        <w:t>con agrotóxicos; por tanto,</w:t>
      </w:r>
      <w:r w:rsidRPr="006A6DBE">
        <w:rPr>
          <w:rFonts w:ascii="Arial" w:eastAsia="Times New Roman" w:hAnsi="Arial" w:cs="Arial"/>
          <w:color w:val="222222"/>
          <w:sz w:val="24"/>
          <w:szCs w:val="24"/>
          <w:lang w:val="es-UY" w:eastAsia="es-UY"/>
        </w:rPr>
        <w:t>con </w:t>
      </w:r>
      <w:r w:rsidRPr="006A6DBE">
        <w:rPr>
          <w:rFonts w:ascii="Arial" w:eastAsia="Times New Roman" w:hAnsi="Arial" w:cs="Arial"/>
          <w:color w:val="222222"/>
          <w:sz w:val="24"/>
          <w:szCs w:val="24"/>
          <w:lang w:val="es-ES" w:eastAsia="es-UY"/>
        </w:rPr>
        <w:t>graves consecuencias para la salud de la población y la destrucción ambiental</w:t>
      </w:r>
      <w:r w:rsidRPr="006A6DBE">
        <w:rPr>
          <w:rFonts w:ascii="Arial" w:eastAsia="Times New Roman" w:hAnsi="Arial" w:cs="Arial"/>
          <w:color w:val="222222"/>
          <w:sz w:val="24"/>
          <w:szCs w:val="24"/>
          <w:lang w:val="es-UY" w:eastAsia="es-UY"/>
        </w:rPr>
        <w:t>.</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ES" w:eastAsia="es-UY"/>
        </w:rPr>
      </w:pPr>
      <w:r w:rsidRPr="006A6DBE">
        <w:rPr>
          <w:rFonts w:ascii="Arial" w:eastAsia="Times New Roman" w:hAnsi="Arial" w:cs="Arial"/>
          <w:color w:val="222222"/>
          <w:sz w:val="24"/>
          <w:szCs w:val="24"/>
          <w:lang w:val="es-UY" w:eastAsia="es-UY"/>
        </w:rPr>
        <w:t xml:space="preserve">El agronegocio es expresión del reordenamiento estructural en la producción agrícola de la nueva fase del capitalismo.  Según João Pedro </w:t>
      </w:r>
      <w:proofErr w:type="spellStart"/>
      <w:r w:rsidRPr="006A6DBE">
        <w:rPr>
          <w:rFonts w:ascii="Arial" w:eastAsia="Times New Roman" w:hAnsi="Arial" w:cs="Arial"/>
          <w:color w:val="222222"/>
          <w:sz w:val="24"/>
          <w:szCs w:val="24"/>
          <w:lang w:val="es-UY" w:eastAsia="es-UY"/>
        </w:rPr>
        <w:t>Stedile</w:t>
      </w:r>
      <w:proofErr w:type="spellEnd"/>
      <w:r w:rsidRPr="006A6DBE">
        <w:rPr>
          <w:rFonts w:ascii="Arial" w:eastAsia="Times New Roman" w:hAnsi="Arial" w:cs="Arial"/>
          <w:color w:val="222222"/>
          <w:sz w:val="24"/>
          <w:szCs w:val="24"/>
          <w:lang w:val="es-UY" w:eastAsia="es-UY"/>
        </w:rPr>
        <w:t xml:space="preserve">, dirigente del Movimiento Sin Tierra de Brasil, este modelo “se caracteriza sucintamente, por: organizar la producción agrícola en la forma de monocultivo (un solo producto) en escalas de áreas cada vez mayores; uso intensivo de máquinas agrícolas, expulsando la mano de obra del campo; la práctica de una agricultura sin agricultores; la utilización intensiva de venenos agrícolas, los agrotóxicos, que destruyen la fertilidad natural de los suelos y sus </w:t>
      </w:r>
      <w:proofErr w:type="spellStart"/>
      <w:r w:rsidRPr="006A6DBE">
        <w:rPr>
          <w:rFonts w:ascii="Arial" w:eastAsia="Times New Roman" w:hAnsi="Arial" w:cs="Arial"/>
          <w:color w:val="222222"/>
          <w:sz w:val="24"/>
          <w:szCs w:val="24"/>
          <w:lang w:val="es-UY" w:eastAsia="es-UY"/>
        </w:rPr>
        <w:t>micro-organismos</w:t>
      </w:r>
      <w:proofErr w:type="spellEnd"/>
      <w:r w:rsidRPr="006A6DBE">
        <w:rPr>
          <w:rFonts w:ascii="Arial" w:eastAsia="Times New Roman" w:hAnsi="Arial" w:cs="Arial"/>
          <w:color w:val="222222"/>
          <w:sz w:val="24"/>
          <w:szCs w:val="24"/>
          <w:lang w:val="es-UY" w:eastAsia="es-UY"/>
        </w:rPr>
        <w:t>, contaminan las aguas en la capa freática e inclusive la atmósfera al adoptar los defoliantes y secantes que se evaporan en la atmósfera y regresan con las lluvias.  </w:t>
      </w:r>
      <w:proofErr w:type="gramStart"/>
      <w:r w:rsidRPr="006A6DBE">
        <w:rPr>
          <w:rFonts w:ascii="Arial" w:eastAsia="Times New Roman" w:hAnsi="Arial" w:cs="Arial"/>
          <w:color w:val="222222"/>
          <w:sz w:val="24"/>
          <w:szCs w:val="24"/>
          <w:lang w:val="es-UY" w:eastAsia="es-UY"/>
        </w:rPr>
        <w:t>Y</w:t>
      </w:r>
      <w:proofErr w:type="gramEnd"/>
      <w:r w:rsidRPr="006A6DBE">
        <w:rPr>
          <w:rFonts w:ascii="Arial" w:eastAsia="Times New Roman" w:hAnsi="Arial" w:cs="Arial"/>
          <w:color w:val="222222"/>
          <w:sz w:val="24"/>
          <w:szCs w:val="24"/>
          <w:lang w:val="es-UY" w:eastAsia="es-UY"/>
        </w:rPr>
        <w:t xml:space="preserve"> sobre todo, contaminan los alimentos producidos, con consecuencias gravísimas para la salud de la población. Usan cada vez más semillas transgénicas, estandarizadas, y atacan el medioambiente con sus técnicas de producción que buscan sólo mayor tasa de lucro, en menor tiempo”</w:t>
      </w:r>
      <w:bookmarkStart w:id="0" w:name="m_44264251859407278__ftnref1"/>
      <w:r w:rsidRPr="006A6DBE">
        <w:rPr>
          <w:rFonts w:ascii="Arial" w:eastAsia="Times New Roman" w:hAnsi="Arial" w:cs="Arial"/>
          <w:color w:val="222222"/>
          <w:sz w:val="24"/>
          <w:szCs w:val="24"/>
          <w:lang w:val="es-UY" w:eastAsia="es-UY"/>
        </w:rPr>
        <w:fldChar w:fldCharType="begin"/>
      </w:r>
      <w:r w:rsidRPr="006A6DBE">
        <w:rPr>
          <w:rFonts w:ascii="Arial" w:eastAsia="Times New Roman" w:hAnsi="Arial" w:cs="Arial"/>
          <w:color w:val="222222"/>
          <w:sz w:val="24"/>
          <w:szCs w:val="24"/>
          <w:lang w:val="es-UY" w:eastAsia="es-UY"/>
        </w:rPr>
        <w:instrText xml:space="preserve"> HYPERLINK "https://mail.google.com/mail/u/0/" \l "m_44264251859407278__ftn1" \o "" </w:instrText>
      </w:r>
      <w:r w:rsidRPr="006A6DBE">
        <w:rPr>
          <w:rFonts w:ascii="Arial" w:eastAsia="Times New Roman" w:hAnsi="Arial" w:cs="Arial"/>
          <w:color w:val="222222"/>
          <w:sz w:val="24"/>
          <w:szCs w:val="24"/>
          <w:lang w:val="es-UY" w:eastAsia="es-UY"/>
        </w:rPr>
        <w:fldChar w:fldCharType="separate"/>
      </w:r>
      <w:r w:rsidRPr="006A6DBE">
        <w:rPr>
          <w:rFonts w:ascii="Arial" w:eastAsia="Times New Roman" w:hAnsi="Arial" w:cs="Arial"/>
          <w:color w:val="000000"/>
          <w:sz w:val="24"/>
          <w:szCs w:val="24"/>
          <w:u w:val="single"/>
          <w:lang w:val="es-ES" w:eastAsia="es-UY"/>
        </w:rPr>
        <w:t>[1]</w:t>
      </w:r>
      <w:r w:rsidRPr="006A6DBE">
        <w:rPr>
          <w:rFonts w:ascii="Arial" w:eastAsia="Times New Roman" w:hAnsi="Arial" w:cs="Arial"/>
          <w:color w:val="222222"/>
          <w:sz w:val="24"/>
          <w:szCs w:val="24"/>
          <w:lang w:val="es-UY" w:eastAsia="es-UY"/>
        </w:rPr>
        <w:fldChar w:fldCharType="end"/>
      </w:r>
      <w:bookmarkEnd w:id="0"/>
      <w:r w:rsidRPr="006A6DBE">
        <w:rPr>
          <w:rFonts w:ascii="Arial" w:eastAsia="Times New Roman" w:hAnsi="Arial" w:cs="Arial"/>
          <w:color w:val="222222"/>
          <w:sz w:val="24"/>
          <w:szCs w:val="24"/>
          <w:lang w:val="es-ES" w:eastAsia="es-UY"/>
        </w:rPr>
        <w:t>.</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ES" w:eastAsia="es-UY"/>
        </w:rPr>
      </w:pPr>
      <w:r w:rsidRPr="006A6DBE">
        <w:rPr>
          <w:rFonts w:ascii="Arial" w:eastAsia="Times New Roman" w:hAnsi="Arial" w:cs="Arial"/>
          <w:color w:val="222222"/>
          <w:sz w:val="24"/>
          <w:szCs w:val="24"/>
          <w:lang w:val="es-ES" w:eastAsia="es-UY"/>
        </w:rPr>
        <w:t xml:space="preserve">La agroecología, en cambio, más que un conjunto de técnicas alternativas para </w:t>
      </w:r>
      <w:proofErr w:type="gramStart"/>
      <w:r w:rsidRPr="006A6DBE">
        <w:rPr>
          <w:rFonts w:ascii="Arial" w:eastAsia="Times New Roman" w:hAnsi="Arial" w:cs="Arial"/>
          <w:color w:val="222222"/>
          <w:sz w:val="24"/>
          <w:szCs w:val="24"/>
          <w:lang w:val="es-ES" w:eastAsia="es-UY"/>
        </w:rPr>
        <w:t>producir,</w:t>
      </w:r>
      <w:proofErr w:type="gramEnd"/>
      <w:r w:rsidRPr="006A6DBE">
        <w:rPr>
          <w:rFonts w:ascii="Arial" w:eastAsia="Times New Roman" w:hAnsi="Arial" w:cs="Arial"/>
          <w:color w:val="222222"/>
          <w:sz w:val="24"/>
          <w:szCs w:val="24"/>
          <w:lang w:val="es-ES" w:eastAsia="es-UY"/>
        </w:rPr>
        <w:t xml:space="preserve"> constituye una nueva base técnica y científica para la producción de alimentos, fibras y biomasa, en cantidad y calidad suficiente para el abastecimiento nacional y las exportaciones, que preserva y conserva la base de recursos naturales existentes en los biomas y ecosistemas.</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ES" w:eastAsia="es-UY"/>
        </w:rPr>
        <w:t xml:space="preserve">Como las semillas determinan el modelo productivo adoptado, las semillas nativas –al estar adaptadas al suelo y al clima de su región– son determinantes de la calidad, diversidad y cantidad de alimentos producidos, por lo </w:t>
      </w:r>
      <w:proofErr w:type="gramStart"/>
      <w:r w:rsidRPr="006A6DBE">
        <w:rPr>
          <w:rFonts w:ascii="Arial" w:eastAsia="Times New Roman" w:hAnsi="Arial" w:cs="Arial"/>
          <w:color w:val="222222"/>
          <w:sz w:val="24"/>
          <w:szCs w:val="24"/>
          <w:lang w:val="es-ES" w:eastAsia="es-UY"/>
        </w:rPr>
        <w:t>tanto</w:t>
      </w:r>
      <w:proofErr w:type="gramEnd"/>
      <w:r w:rsidRPr="006A6DBE">
        <w:rPr>
          <w:rFonts w:ascii="Arial" w:eastAsia="Times New Roman" w:hAnsi="Arial" w:cs="Arial"/>
          <w:color w:val="222222"/>
          <w:sz w:val="24"/>
          <w:szCs w:val="24"/>
          <w:lang w:val="es-ES" w:eastAsia="es-UY"/>
        </w:rPr>
        <w:t xml:space="preserve"> se concatenan con la Soberanía Alimentaria; concepto desarrollado por CLOC-LVC a partir del principio de que los alimentos no pueden ser una mercancía, pues la alimentación es un derecho de supervivencia de la humanidad. Por lo mismo, en todos los lugares del mundo cada pueblo tiene el derecho y el deber de producir sus propios alimentos.  Y es que la cuestión de la alimentación es un tema estratégico para la autonomía de un pueblo y para la Soberanía de la Nación.</w:t>
      </w: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ES" w:eastAsia="es-UY"/>
        </w:rPr>
        <w:t>En esta disputa, que en el fondo tiene que ver con el futuro de la vida por la gravedad de la destrucción de la naturaleza que ocasiona el modelo del </w:t>
      </w:r>
      <w:r w:rsidRPr="006A6DBE">
        <w:rPr>
          <w:rFonts w:ascii="Arial" w:eastAsia="Times New Roman" w:hAnsi="Arial" w:cs="Arial"/>
          <w:color w:val="222222"/>
          <w:sz w:val="24"/>
          <w:szCs w:val="24"/>
          <w:lang w:val="es-UY" w:eastAsia="es-UY"/>
        </w:rPr>
        <w:t>agronegocio al priorizar el lucro, la formulación de propuestas para políticas públicas ha pasado a ser un componente indispensable para proponer, avanzar y consolidar conquistas.  Aunque con la correlación adversa que prima en la región tal desafío demande mayores esfuerzos, existe una conquista clave: la “Declaración sobre los Derechos de los Campesinos y Otras Personas que Trabajan en las Zonas Rurales” que adoptó la Organización de las Naciones Unidas (ONU) el 28 de setiembre de 2018.</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b/>
          <w:bCs/>
          <w:color w:val="222222"/>
          <w:sz w:val="24"/>
          <w:szCs w:val="24"/>
          <w:lang w:val="es-UY" w:eastAsia="es-UY"/>
        </w:rPr>
        <w:t>Nuevos desafíos</w:t>
      </w: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ES" w:eastAsia="es-UY"/>
        </w:rPr>
      </w:pPr>
      <w:r w:rsidRPr="006A6DBE">
        <w:rPr>
          <w:rFonts w:ascii="Arial" w:eastAsia="Times New Roman" w:hAnsi="Arial" w:cs="Arial"/>
          <w:color w:val="222222"/>
          <w:sz w:val="24"/>
          <w:szCs w:val="24"/>
          <w:lang w:val="es-UY" w:eastAsia="es-UY"/>
        </w:rPr>
        <w:t>Al igual que a las demás organizaciones sociales, a la CLOC-VC ahora le cabe encarar las derivaciones que están en curso por los cambios en materia de plataformas tecnológicas </w:t>
      </w:r>
      <w:r w:rsidRPr="006A6DBE">
        <w:rPr>
          <w:rFonts w:ascii="Arial" w:eastAsia="Times New Roman" w:hAnsi="Arial" w:cs="Arial"/>
          <w:color w:val="222222"/>
          <w:sz w:val="24"/>
          <w:szCs w:val="24"/>
          <w:lang w:val="es-ES" w:eastAsia="es-UY"/>
        </w:rPr>
        <w:t xml:space="preserve">relacionados con la digitalización, la robotización, el </w:t>
      </w:r>
      <w:proofErr w:type="spellStart"/>
      <w:r w:rsidRPr="006A6DBE">
        <w:rPr>
          <w:rFonts w:ascii="Arial" w:eastAsia="Times New Roman" w:hAnsi="Arial" w:cs="Arial"/>
          <w:color w:val="222222"/>
          <w:sz w:val="24"/>
          <w:szCs w:val="24"/>
          <w:lang w:val="es-ES" w:eastAsia="es-UY"/>
        </w:rPr>
        <w:t>big</w:t>
      </w:r>
      <w:proofErr w:type="spellEnd"/>
      <w:r w:rsidRPr="006A6DBE">
        <w:rPr>
          <w:rFonts w:ascii="Arial" w:eastAsia="Times New Roman" w:hAnsi="Arial" w:cs="Arial"/>
          <w:color w:val="222222"/>
          <w:sz w:val="24"/>
          <w:szCs w:val="24"/>
          <w:lang w:val="es-ES" w:eastAsia="es-UY"/>
        </w:rPr>
        <w:t xml:space="preserve"> data y la inteligencia artificial.  De </w:t>
      </w:r>
      <w:proofErr w:type="gramStart"/>
      <w:r w:rsidRPr="006A6DBE">
        <w:rPr>
          <w:rFonts w:ascii="Arial" w:eastAsia="Times New Roman" w:hAnsi="Arial" w:cs="Arial"/>
          <w:color w:val="222222"/>
          <w:sz w:val="24"/>
          <w:szCs w:val="24"/>
          <w:lang w:val="es-ES" w:eastAsia="es-UY"/>
        </w:rPr>
        <w:t>hecho</w:t>
      </w:r>
      <w:proofErr w:type="gramEnd"/>
      <w:r w:rsidRPr="006A6DBE">
        <w:rPr>
          <w:rFonts w:ascii="Arial" w:eastAsia="Times New Roman" w:hAnsi="Arial" w:cs="Arial"/>
          <w:color w:val="222222"/>
          <w:sz w:val="24"/>
          <w:szCs w:val="24"/>
          <w:lang w:val="es-ES" w:eastAsia="es-UY"/>
        </w:rPr>
        <w:t xml:space="preserve"> la “</w:t>
      </w:r>
      <w:proofErr w:type="spellStart"/>
      <w:r w:rsidRPr="006A6DBE">
        <w:rPr>
          <w:rFonts w:ascii="Arial" w:eastAsia="Times New Roman" w:hAnsi="Arial" w:cs="Arial"/>
          <w:color w:val="222222"/>
          <w:sz w:val="24"/>
          <w:szCs w:val="24"/>
          <w:lang w:val="es-ES" w:eastAsia="es-UY"/>
        </w:rPr>
        <w:t>dataficación</w:t>
      </w:r>
      <w:proofErr w:type="spellEnd"/>
      <w:r w:rsidRPr="006A6DBE">
        <w:rPr>
          <w:rFonts w:ascii="Arial" w:eastAsia="Times New Roman" w:hAnsi="Arial" w:cs="Arial"/>
          <w:color w:val="222222"/>
          <w:sz w:val="24"/>
          <w:szCs w:val="24"/>
          <w:lang w:val="es-ES" w:eastAsia="es-UY"/>
        </w:rPr>
        <w:t xml:space="preserve">” (o sistematización en datos registrables) del agro no es nuevo: hace ya varias décadas que se </w:t>
      </w:r>
      <w:r w:rsidRPr="006A6DBE">
        <w:rPr>
          <w:rFonts w:ascii="Arial" w:eastAsia="Times New Roman" w:hAnsi="Arial" w:cs="Arial"/>
          <w:color w:val="222222"/>
          <w:sz w:val="24"/>
          <w:szCs w:val="24"/>
          <w:lang w:val="es-ES" w:eastAsia="es-UY"/>
        </w:rPr>
        <w:lastRenderedPageBreak/>
        <w:t>registran las variedades de semillas, que son almacenadas en repositorios para ser patentadas por empresas.</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ES" w:eastAsia="es-UY"/>
        </w:rPr>
      </w:pPr>
      <w:r w:rsidRPr="006A6DBE">
        <w:rPr>
          <w:rFonts w:ascii="Arial" w:eastAsia="Times New Roman" w:hAnsi="Arial" w:cs="Arial"/>
          <w:color w:val="222222"/>
          <w:sz w:val="24"/>
          <w:szCs w:val="24"/>
          <w:lang w:val="es-ES" w:eastAsia="es-UY"/>
        </w:rPr>
        <w:t xml:space="preserve">Con los procesos recientes de digitalización, los cambios se aceleran y están impactando crecientemente en muchos países del Sur.  Un aspecto es el monitoreo de los campos con maquinaria digital, cámaras y sensores, que registran datos sobre los cultivos, el clima, la tierra, el riego, las pestes y malezas, etc., con lo cual las empresas que venden semillas y agroquímicos pueden identificar a distancia los problemas y </w:t>
      </w:r>
      <w:proofErr w:type="gramStart"/>
      <w:r w:rsidRPr="006A6DBE">
        <w:rPr>
          <w:rFonts w:ascii="Arial" w:eastAsia="Times New Roman" w:hAnsi="Arial" w:cs="Arial"/>
          <w:color w:val="222222"/>
          <w:sz w:val="24"/>
          <w:szCs w:val="24"/>
          <w:lang w:val="es-ES" w:eastAsia="es-UY"/>
        </w:rPr>
        <w:t>dictar</w:t>
      </w:r>
      <w:proofErr w:type="gramEnd"/>
      <w:r w:rsidRPr="006A6DBE">
        <w:rPr>
          <w:rFonts w:ascii="Arial" w:eastAsia="Times New Roman" w:hAnsi="Arial" w:cs="Arial"/>
          <w:color w:val="222222"/>
          <w:sz w:val="24"/>
          <w:szCs w:val="24"/>
          <w:lang w:val="es-ES" w:eastAsia="es-UY"/>
        </w:rPr>
        <w:t xml:space="preserve"> por ejemplo, al agricultor qué pesticidas o fertilizantes usar.  Ello implica una erosión del conocimiento comunitario y de las formas ancestrales y agroecológicas de manejar la biodiversidad y la calidad de los suelos, generando nuevas formas de dependencia.</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ES" w:eastAsia="es-UY"/>
        </w:rPr>
      </w:pPr>
      <w:r w:rsidRPr="006A6DBE">
        <w:rPr>
          <w:rFonts w:ascii="Arial" w:eastAsia="Times New Roman" w:hAnsi="Arial" w:cs="Arial"/>
          <w:color w:val="222222"/>
          <w:sz w:val="24"/>
          <w:szCs w:val="24"/>
          <w:lang w:val="es-ES" w:eastAsia="es-UY"/>
        </w:rPr>
        <w:t xml:space="preserve">Otro campo a tener presente es el que ocurre con la incursión de las plataformas de “comercio electrónico” en la cadena </w:t>
      </w:r>
      <w:proofErr w:type="gramStart"/>
      <w:r w:rsidRPr="006A6DBE">
        <w:rPr>
          <w:rFonts w:ascii="Arial" w:eastAsia="Times New Roman" w:hAnsi="Arial" w:cs="Arial"/>
          <w:color w:val="222222"/>
          <w:sz w:val="24"/>
          <w:szCs w:val="24"/>
          <w:lang w:val="es-ES" w:eastAsia="es-UY"/>
        </w:rPr>
        <w:t>agro-alimentaria</w:t>
      </w:r>
      <w:proofErr w:type="gramEnd"/>
      <w:r w:rsidRPr="006A6DBE">
        <w:rPr>
          <w:rFonts w:ascii="Arial" w:eastAsia="Times New Roman" w:hAnsi="Arial" w:cs="Arial"/>
          <w:color w:val="222222"/>
          <w:sz w:val="24"/>
          <w:szCs w:val="24"/>
          <w:lang w:val="es-ES" w:eastAsia="es-UY"/>
        </w:rPr>
        <w:t xml:space="preserve"> que no solo involucra la distribución, pues las empresas concernidas están comprando grandes extensiones de tierras, particularmente en países del Sur, para poder controlar toda la cadena de producción y distribución de alimentos, con lo cual también pueden fijar los precios.  En un primer momento, ello les permite hacer competencia desleal con productores locales al vender a precios más bajos, con lo cual acaparan el mercado.  Más adelante, cuando ya tengan un mercado cautivo, podrán aumentar los precios a su antojo.</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p>
    <w:p w:rsidR="006A6DBE" w:rsidRDefault="006A6DBE" w:rsidP="006A6DBE">
      <w:pPr>
        <w:shd w:val="clear" w:color="auto" w:fill="FFFFFF"/>
        <w:spacing w:after="0" w:line="240" w:lineRule="auto"/>
        <w:jc w:val="both"/>
        <w:rPr>
          <w:rFonts w:ascii="Arial" w:eastAsia="Times New Roman" w:hAnsi="Arial" w:cs="Arial"/>
          <w:color w:val="222222"/>
          <w:sz w:val="24"/>
          <w:szCs w:val="24"/>
          <w:lang w:val="es-ES" w:eastAsia="es-UY"/>
        </w:rPr>
      </w:pPr>
      <w:r w:rsidRPr="006A6DBE">
        <w:rPr>
          <w:rFonts w:ascii="Arial" w:eastAsia="Times New Roman" w:hAnsi="Arial" w:cs="Arial"/>
          <w:color w:val="222222"/>
          <w:sz w:val="24"/>
          <w:szCs w:val="24"/>
          <w:lang w:val="es-ES" w:eastAsia="es-UY"/>
        </w:rPr>
        <w:t>Con este panorama por delante, como que importa ampliar el cuadrante cuando se trata de afinar políticas de alianzas para, por decir algo, tender puentes con quienes trabajan por los derechos y la justicia digital, y para enfrentar a las grandes corporaciones.</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bookmarkStart w:id="1" w:name="_GoBack"/>
      <w:bookmarkEnd w:id="1"/>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ES" w:eastAsia="es-UY"/>
        </w:rPr>
        <w:t>NB: En Cuba, del 27 al 30 de junio 2019, la CLOC realizará su VII Congreso, que será precedido de la VI Asamblea de Mujeres y la V Asamblea de Jóvenes.</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b/>
          <w:bCs/>
          <w:color w:val="222222"/>
          <w:sz w:val="24"/>
          <w:szCs w:val="24"/>
          <w:lang w:val="es-ES" w:eastAsia="es-UY"/>
        </w:rPr>
        <w:t>- Osvaldo León</w:t>
      </w:r>
      <w:r w:rsidRPr="006A6DBE">
        <w:rPr>
          <w:rFonts w:ascii="Arial" w:eastAsia="Times New Roman" w:hAnsi="Arial" w:cs="Arial"/>
          <w:color w:val="222222"/>
          <w:sz w:val="24"/>
          <w:szCs w:val="24"/>
          <w:lang w:val="es-ES" w:eastAsia="es-UY"/>
        </w:rPr>
        <w:t> es comunicólogo ecuatoriano y director de América Latina en Movimiento.</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UY" w:eastAsia="es-UY"/>
        </w:rPr>
        <w:t> </w:t>
      </w:r>
    </w:p>
    <w:p w:rsidR="006A6DBE" w:rsidRPr="006A6DBE" w:rsidRDefault="006A6DBE" w:rsidP="006A6DBE">
      <w:pPr>
        <w:shd w:val="clear" w:color="auto" w:fill="FFFFFF"/>
        <w:spacing w:after="0" w:line="240" w:lineRule="auto"/>
        <w:jc w:val="both"/>
        <w:rPr>
          <w:rFonts w:ascii="Arial" w:eastAsia="Times New Roman" w:hAnsi="Arial" w:cs="Arial"/>
          <w:color w:val="222222"/>
          <w:sz w:val="24"/>
          <w:szCs w:val="24"/>
          <w:lang w:val="es-UY" w:eastAsia="es-UY"/>
        </w:rPr>
      </w:pPr>
      <w:r w:rsidRPr="006A6DBE">
        <w:rPr>
          <w:rFonts w:ascii="Arial" w:eastAsia="Times New Roman" w:hAnsi="Arial" w:cs="Arial"/>
          <w:color w:val="222222"/>
          <w:sz w:val="24"/>
          <w:szCs w:val="24"/>
          <w:lang w:val="es-UY" w:eastAsia="es-UY"/>
        </w:rPr>
        <w:t>URL de este artículo: </w:t>
      </w:r>
      <w:hyperlink r:id="rId4" w:tgtFrame="_blank" w:history="1">
        <w:r w:rsidRPr="006A6DBE">
          <w:rPr>
            <w:rFonts w:ascii="Arial" w:eastAsia="Times New Roman" w:hAnsi="Arial" w:cs="Arial"/>
            <w:color w:val="1155CC"/>
            <w:sz w:val="24"/>
            <w:szCs w:val="24"/>
            <w:u w:val="single"/>
            <w:lang w:val="es-ES" w:eastAsia="es-UY"/>
          </w:rPr>
          <w:t>https://www.alainet.org/es/articulo/200387</w:t>
        </w:r>
      </w:hyperlink>
    </w:p>
    <w:p w:rsidR="002E2F5B" w:rsidRDefault="002E2F5B" w:rsidP="006A6DBE">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DBE"/>
    <w:rsid w:val="002E2F5B"/>
    <w:rsid w:val="006A6DB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0EC06"/>
  <w15:chartTrackingRefBased/>
  <w15:docId w15:val="{E8A107B9-4B77-46AC-9DE0-C1EE28034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49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ainet.org/es/articulo/20038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1812</Words>
  <Characters>9966</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2019-06-12T20:11:00Z</dcterms:created>
  <dcterms:modified xsi:type="dcterms:W3CDTF">2019-06-12T20:13:00Z</dcterms:modified>
</cp:coreProperties>
</file>