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469C" w:rsidRPr="004B469C" w:rsidRDefault="004B469C" w:rsidP="004B469C">
      <w:pPr>
        <w:spacing w:after="105" w:line="750" w:lineRule="atLeast"/>
        <w:outlineLvl w:val="0"/>
        <w:rPr>
          <w:rFonts w:ascii="Merriweather" w:eastAsia="Times New Roman" w:hAnsi="Merriweather" w:cs="Times New Roman"/>
          <w:color w:val="3E2A2C"/>
          <w:kern w:val="36"/>
          <w:sz w:val="62"/>
          <w:szCs w:val="62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E2A2C"/>
          <w:kern w:val="36"/>
          <w:sz w:val="62"/>
          <w:szCs w:val="62"/>
          <w:lang w:val="es-UY" w:eastAsia="es-UY"/>
        </w:rPr>
        <w:t>Ante la crisis, ¿Hay vida más allá de los hidrocarburos?</w:t>
      </w:r>
    </w:p>
    <w:p w:rsidR="004B469C" w:rsidRPr="004B469C" w:rsidRDefault="004B469C" w:rsidP="004B469C">
      <w:pPr>
        <w:spacing w:after="0" w:line="240" w:lineRule="auto"/>
        <w:rPr>
          <w:rFonts w:ascii="Arial" w:eastAsia="Times New Roman" w:hAnsi="Arial" w:cs="Arial"/>
          <w:color w:val="444444"/>
          <w:sz w:val="17"/>
          <w:szCs w:val="17"/>
          <w:lang w:val="es-UY" w:eastAsia="es-UY"/>
        </w:rPr>
      </w:pPr>
      <w:r w:rsidRPr="004B469C">
        <w:rPr>
          <w:rFonts w:ascii="Arial" w:eastAsia="Times New Roman" w:hAnsi="Arial" w:cs="Arial"/>
          <w:color w:val="444444"/>
          <w:sz w:val="17"/>
          <w:szCs w:val="17"/>
          <w:lang w:val="es-UY" w:eastAsia="es-UY"/>
        </w:rPr>
        <w:t>Por</w:t>
      </w:r>
    </w:p>
    <w:p w:rsidR="004B469C" w:rsidRPr="004B469C" w:rsidRDefault="004B469C" w:rsidP="004B469C">
      <w:pPr>
        <w:spacing w:after="0" w:line="240" w:lineRule="auto"/>
        <w:rPr>
          <w:rFonts w:ascii="Arial" w:eastAsia="Times New Roman" w:hAnsi="Arial" w:cs="Arial"/>
          <w:color w:val="444444"/>
          <w:sz w:val="17"/>
          <w:szCs w:val="17"/>
          <w:lang w:val="es-UY" w:eastAsia="es-UY"/>
        </w:rPr>
      </w:pPr>
      <w:r w:rsidRPr="004B469C">
        <w:rPr>
          <w:rFonts w:ascii="Arial" w:eastAsia="Times New Roman" w:hAnsi="Arial" w:cs="Arial"/>
          <w:color w:val="444444"/>
          <w:sz w:val="17"/>
          <w:szCs w:val="17"/>
          <w:lang w:val="es-UY" w:eastAsia="es-UY"/>
        </w:rPr>
        <w:t> </w:t>
      </w:r>
      <w:hyperlink r:id="rId4" w:history="1">
        <w:r w:rsidRPr="004B469C">
          <w:rPr>
            <w:rFonts w:ascii="Arial" w:eastAsia="Times New Roman" w:hAnsi="Arial" w:cs="Arial"/>
            <w:b/>
            <w:bCs/>
            <w:color w:val="262122"/>
            <w:sz w:val="17"/>
            <w:szCs w:val="17"/>
            <w:u w:val="single"/>
            <w:lang w:val="es-UY" w:eastAsia="es-UY"/>
          </w:rPr>
          <w:t xml:space="preserve">Alejandro </w:t>
        </w:r>
        <w:proofErr w:type="spellStart"/>
        <w:r w:rsidRPr="004B469C">
          <w:rPr>
            <w:rFonts w:ascii="Arial" w:eastAsia="Times New Roman" w:hAnsi="Arial" w:cs="Arial"/>
            <w:b/>
            <w:bCs/>
            <w:color w:val="262122"/>
            <w:sz w:val="17"/>
            <w:szCs w:val="17"/>
            <w:u w:val="single"/>
            <w:lang w:val="es-UY" w:eastAsia="es-UY"/>
          </w:rPr>
          <w:t>Zegada</w:t>
        </w:r>
        <w:proofErr w:type="spellEnd"/>
      </w:hyperlink>
    </w:p>
    <w:p w:rsidR="004B469C" w:rsidRPr="004B469C" w:rsidRDefault="004B469C" w:rsidP="004B469C">
      <w:pPr>
        <w:spacing w:after="0" w:line="240" w:lineRule="auto"/>
        <w:rPr>
          <w:rFonts w:ascii="Arial" w:eastAsia="Times New Roman" w:hAnsi="Arial" w:cs="Arial"/>
          <w:color w:val="444444"/>
          <w:sz w:val="17"/>
          <w:szCs w:val="17"/>
          <w:lang w:val="es-UY" w:eastAsia="es-UY"/>
        </w:rPr>
      </w:pPr>
      <w:r w:rsidRPr="004B469C">
        <w:rPr>
          <w:rFonts w:ascii="Arial" w:eastAsia="Times New Roman" w:hAnsi="Arial" w:cs="Arial"/>
          <w:color w:val="444444"/>
          <w:sz w:val="17"/>
          <w:szCs w:val="17"/>
          <w:lang w:val="es-UY" w:eastAsia="es-UY"/>
        </w:rPr>
        <w:t> -</w:t>
      </w:r>
    </w:p>
    <w:p w:rsidR="004B469C" w:rsidRPr="004B469C" w:rsidRDefault="004B469C" w:rsidP="004B469C">
      <w:pPr>
        <w:spacing w:line="240" w:lineRule="auto"/>
        <w:rPr>
          <w:rFonts w:ascii="Arial" w:eastAsia="Times New Roman" w:hAnsi="Arial" w:cs="Arial"/>
          <w:color w:val="3E2A2C"/>
          <w:sz w:val="17"/>
          <w:szCs w:val="17"/>
          <w:lang w:val="es-UY" w:eastAsia="es-UY"/>
        </w:rPr>
      </w:pPr>
      <w:r w:rsidRPr="004B469C">
        <w:rPr>
          <w:rFonts w:ascii="Arial" w:eastAsia="Times New Roman" w:hAnsi="Arial" w:cs="Arial"/>
          <w:color w:val="444444"/>
          <w:sz w:val="17"/>
          <w:szCs w:val="17"/>
          <w:lang w:val="es-UY" w:eastAsia="es-UY"/>
        </w:rPr>
        <w:t>19 mayo, 2019</w:t>
      </w:r>
    </w:p>
    <w:p w:rsidR="004B469C" w:rsidRPr="004B469C" w:rsidRDefault="004B469C" w:rsidP="004B469C">
      <w:pPr>
        <w:spacing w:line="240" w:lineRule="auto"/>
        <w:rPr>
          <w:rFonts w:ascii="Times New Roman" w:eastAsia="Times New Roman" w:hAnsi="Times New Roman" w:cs="Times New Roman"/>
          <w:color w:val="3E2A2C"/>
          <w:sz w:val="21"/>
          <w:szCs w:val="21"/>
          <w:lang w:val="es-UY" w:eastAsia="es-UY"/>
        </w:rPr>
      </w:pPr>
      <w:bookmarkStart w:id="0" w:name="_GoBack"/>
      <w:bookmarkEnd w:id="0"/>
    </w:p>
    <w:p w:rsidR="004B469C" w:rsidRPr="004B469C" w:rsidRDefault="004B469C" w:rsidP="004B469C">
      <w:pPr>
        <w:spacing w:after="0" w:line="390" w:lineRule="atLeast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noProof/>
          <w:color w:val="E2071C"/>
          <w:sz w:val="23"/>
          <w:szCs w:val="23"/>
          <w:lang w:val="es-UY" w:eastAsia="es-UY"/>
        </w:rPr>
        <w:drawing>
          <wp:inline distT="0" distB="0" distL="0" distR="0" wp14:anchorId="0F6EE6ED" wp14:editId="5EA8D15E">
            <wp:extent cx="4965700" cy="2820556"/>
            <wp:effectExtent l="0" t="0" r="6350" b="0"/>
            <wp:docPr id="1" name="Imagen 1" descr="https://elpais.bo/wp-content/uploads/2018/09/hidrocarburos-Venezuela-696x395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lpais.bo/wp-content/uploads/2018/09/hidrocarburos-Venezuela-696x395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339" cy="2825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La crisis económica y social que se vive en Venezuela, la evidente desaceleración </w:t>
      </w:r>
      <w:proofErr w:type="gramStart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-¿</w:t>
      </w:r>
      <w:proofErr w:type="gramEnd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acaso el umbral de una crisis?- en Bolivia y otros países de la región, llevan al analista del Centro Latino Americano de Ecología Social (CLAES), Eduardo Gudynas, y a otros activistas y organizaciones que conforma la plataforma internacional TRANSICIONES, a proponer algunas alternativas “necesarias, urgentes y posibles”.</w:t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En este sentido, Gudynas propone transiciones “</w:t>
      </w:r>
      <w:proofErr w:type="spellStart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pospetroleras</w:t>
      </w:r>
      <w:proofErr w:type="spellEnd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” y “</w:t>
      </w:r>
      <w:proofErr w:type="spellStart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posextractivistas</w:t>
      </w:r>
      <w:proofErr w:type="spellEnd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” expresadas en medidas “concretas, efectivas, replicables y entendibles por la opinión pública” para superar el </w:t>
      </w:r>
      <w:proofErr w:type="spellStart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extractivismo</w:t>
      </w:r>
      <w:proofErr w:type="spellEnd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 en la región. Su meta es “una erradicación real de la pobreza, asegurar la calidad de vida de las personas y conservar la naturaleza”.</w:t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El análisis del experto parte de que, en medio de la crisis venezolana, “llamativamente hay una persistencia: Una y otra vez se parte del petróleo, esto no está en discusión”.</w:t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Esta dependencia petrolera “es anticuada, no resuelve viejos problemas del desarrollo ni las nuevas exigencias del cambio climático. De alguna manera se renuncia a promover alternativas reales a la esencia del desarrollo venezolano: ser proveedora de hidrocarburos a la globalización. Aún en el mejor caso, sería aliviar la crisis actual para sembrar una crisis futura”.</w:t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Gudynas identifica que uno de los factores que dificultan el debate de esta situación es la mentalidad rentista.</w:t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lastRenderedPageBreak/>
        <w:t xml:space="preserve">Los peligros del </w:t>
      </w:r>
      <w:proofErr w:type="spellStart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rentismo</w:t>
      </w:r>
      <w:proofErr w:type="spellEnd"/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Hace unos meses, los investigadores bolivianos Bernardo Fernández -Profesor de la Escuela de la Producción y la Competitividad de la Universidad Católica Boliviana (</w:t>
      </w:r>
      <w:proofErr w:type="spellStart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ePC</w:t>
      </w:r>
      <w:proofErr w:type="spellEnd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-UCB)-</w:t>
      </w:r>
      <w:proofErr w:type="gramStart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,  Marcelo</w:t>
      </w:r>
      <w:proofErr w:type="gramEnd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 </w:t>
      </w:r>
      <w:proofErr w:type="spellStart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Gantier</w:t>
      </w:r>
      <w:proofErr w:type="spellEnd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 -investigador junior del Instituto de Investigaciones Socio-Económicas (IISEC-UCB)-, y Martín Palmero -Profesor Asociado de la UCB-, en un trabajo conjunto publicado a través la Fundación INESAD notaban un aumento del comportamiento rentista en distintos grupos de la sociedad.</w:t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Esto, a su vez, ha estado generando “importantes pérdidas, tanto en términos de crecimiento del producto como del bienestar general de su población”.</w:t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proofErr w:type="spellStart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Ferpandez</w:t>
      </w:r>
      <w:proofErr w:type="spellEnd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, </w:t>
      </w:r>
      <w:proofErr w:type="spellStart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Gantier</w:t>
      </w:r>
      <w:proofErr w:type="spellEnd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 y Palermo definen el comportamiento rentista como “una acción improductiva que busca la apropiación de ventajas que brindan resultados positivos para un individuo, pero no a la sociedad en su conjunto”.</w:t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El problema de este comportamiento es que ocasiona que los individuos destinen tiempo productivo a la búsqueda de rentas, “lo cual genera una distorsión en los incentivos que podría llegar a modificar, de manera negativa, el patrón de crecimiento económico”. Este comportamiento suele manifestarse en distintas formas, como sobornos, corrupción, contrabando, mercados negros y presión social por recursos estatales.</w:t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A través de modelos matemáticos, Fernández, </w:t>
      </w:r>
      <w:proofErr w:type="spellStart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Gantier</w:t>
      </w:r>
      <w:proofErr w:type="spellEnd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 y Palmero calculan que el comportamiento rentista, exacerbado por la baja institucionalidad, altos niveles de corrupción y la bonanza de materias primas, provoca que, en el largo plazo, la economía crezca un 2,37% menos de lo que lo haría, pese a que en el corto plazo la economía ha crecido a niveles importantes.</w:t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Efectos similares -o peores- se generan en países como Venezuela y otros, según analistas como Gudynas, que ven en el </w:t>
      </w:r>
      <w:proofErr w:type="spellStart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extractivismo</w:t>
      </w:r>
      <w:proofErr w:type="spellEnd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 un problema común en la región, sin importar si los gobiernos fueron “progresistas” o “neoliberales”.</w:t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Alternativas, transiciones</w:t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El investigador del Centro de Documentación e Información Bolivia (CEDIB), Marco Gandarillas, planteó algunas transiciones para superar el </w:t>
      </w:r>
      <w:proofErr w:type="spellStart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extractivismo</w:t>
      </w:r>
      <w:proofErr w:type="spellEnd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 para el caso boliviano, </w:t>
      </w:r>
      <w:proofErr w:type="gramStart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que</w:t>
      </w:r>
      <w:proofErr w:type="gramEnd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 según su entender, pasa por dejar de ser un país exportador y en vez de ello satisfacer la demanda interna a largo plazo, industrialización incluida, mientras se gestan medidas para el cambio de matriz energética,</w:t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Para ello, un paso a seguir era renegociar la exportación de gas con Argentina sobre “gas natural empobrecido en virtud a un acuerdo de integración energético/productivo”. Según Gandarillas, la producción de solo 1 </w:t>
      </w:r>
      <w:proofErr w:type="spellStart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megacampo</w:t>
      </w:r>
      <w:proofErr w:type="spellEnd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 alcanzaría para cubrir la demanda interna. Esto no solo reducirá el acelerado vaciamiento energético sino también frenaría la presión sobre la Amazonía, Áreas Protegidas, sitios RAMSAR y Territorios Indígenas.</w:t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lastRenderedPageBreak/>
        <w:t>También se propone reorientar el Fondo de Incentivo Petrolero -que no produjo resultados- para la conversión de la matriz energética y el fomento de actividades productivas sostenibles.</w:t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Asimismo, se deberá eliminar progresivamente “todos los subsidios energéticos a </w:t>
      </w:r>
      <w:proofErr w:type="spellStart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extractivismos</w:t>
      </w:r>
      <w:proofErr w:type="spellEnd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, empezando por la soya y la minería”, y paralelamente resolver problema de internación de autos ilegales y la subvención de combustibles a vehículos particulares, junto con el incremento de la producción de energía aprovechando el potencial eólico, solar e hídrico de pequeña escala.</w:t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La inversión pública debe enfocarse en: educación, salud, saneamiento básico, transporte público masivo y eficiente, y vivienda social, además de “retomar la planificación urbana y políticas de acceso y mejora de vivienda social sin ampliaciones de las manchas urbanas”.</w:t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proofErr w:type="gramStart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Igualmente</w:t>
      </w:r>
      <w:proofErr w:type="gramEnd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 importante se considera la necesidad de disminuir la presión fiscal hacia los pobres y asalariados mientras se aplica más impuestos a las transnacionales y a las “grandes aliadas del capital extranjero”.</w:t>
      </w:r>
    </w:p>
    <w:p w:rsidR="004B469C" w:rsidRPr="004B469C" w:rsidRDefault="004B469C" w:rsidP="004B469C">
      <w:pPr>
        <w:spacing w:after="390" w:line="240" w:lineRule="auto"/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</w:pPr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 xml:space="preserve">Gudynas agrega que “si son esas u otras las opciones transicionales a considerar, eso es parte de la discusión que debe profundizarse. A pesar de que se intenta evitar ese debate, una real alternativa está en imaginar futuros inmediatos que no sigan dependiendo de la </w:t>
      </w:r>
      <w:proofErr w:type="spellStart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petrolización</w:t>
      </w:r>
      <w:proofErr w:type="spellEnd"/>
      <w:r w:rsidRPr="004B469C">
        <w:rPr>
          <w:rFonts w:ascii="Merriweather" w:eastAsia="Times New Roman" w:hAnsi="Merriweather" w:cs="Times New Roman"/>
          <w:color w:val="3B3536"/>
          <w:sz w:val="23"/>
          <w:szCs w:val="23"/>
          <w:lang w:val="es-UY" w:eastAsia="es-UY"/>
        </w:rPr>
        <w:t>”.</w:t>
      </w:r>
    </w:p>
    <w:p w:rsidR="002E2F5B" w:rsidRDefault="004B469C">
      <w:hyperlink r:id="rId7" w:history="1">
        <w:r>
          <w:rPr>
            <w:rStyle w:val="Hipervnculo"/>
          </w:rPr>
          <w:t>https://elpais.bo/ante-la-crisis-hay-vida-mas-alla-de-los-hidrocarburos/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69C"/>
    <w:rsid w:val="002E2F5B"/>
    <w:rsid w:val="004B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DBB636-7DD6-496E-B2F2-D19A40D8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B46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4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3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6131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85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141999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222123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22517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56371">
              <w:marLeft w:val="-4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7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164609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lpais.bo/ante-la-crisis-hay-vida-mas-alla-de-los-hidrocarburo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elpais.bo/wp-content/uploads/2018/09/hidrocarburos-Venezuela.jpg" TargetMode="External"/><Relationship Id="rId4" Type="http://schemas.openxmlformats.org/officeDocument/2006/relationships/hyperlink" Target="https://elpais.bo/author/alejandro-zegad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893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2019-05-22T12:07:00Z</dcterms:created>
  <dcterms:modified xsi:type="dcterms:W3CDTF">2019-05-22T12:08:00Z</dcterms:modified>
</cp:coreProperties>
</file>