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0144" w:rsidRDefault="00F60144" w:rsidP="00F60144">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F60144">
        <w:rPr>
          <w:rFonts w:ascii="Arial" w:eastAsia="Times New Roman" w:hAnsi="Arial" w:cs="Arial"/>
          <w:b/>
          <w:bCs/>
          <w:i/>
          <w:iCs/>
          <w:color w:val="D49400"/>
          <w:kern w:val="36"/>
          <w:sz w:val="21"/>
          <w:szCs w:val="21"/>
          <w:lang w:val="es-UY" w:eastAsia="es-UY"/>
        </w:rPr>
        <w:t>Coloquio internacional Puebla: 40 años después</w:t>
      </w:r>
    </w:p>
    <w:p w:rsidR="00F60144" w:rsidRPr="00F60144" w:rsidRDefault="00F60144" w:rsidP="00F60144">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F60144">
        <w:rPr>
          <w:rFonts w:ascii="Arial" w:eastAsia="Times New Roman" w:hAnsi="Arial" w:cs="Arial"/>
          <w:b/>
          <w:bCs/>
          <w:color w:val="333333"/>
          <w:kern w:val="36"/>
          <w:sz w:val="38"/>
          <w:szCs w:val="38"/>
          <w:lang w:val="es-UY" w:eastAsia="es-UY"/>
        </w:rPr>
        <w:t>Cardenal Porras: “En Puebla, se asumieron los tres siglos coloniales como parte integrante del ser mestizo latinoamericano”</w:t>
      </w:r>
    </w:p>
    <w:p w:rsidR="00F60144" w:rsidRPr="00F60144" w:rsidRDefault="00F60144" w:rsidP="00F60144">
      <w:pPr>
        <w:shd w:val="clear" w:color="auto" w:fill="FFFFFF"/>
        <w:spacing w:after="0" w:line="240" w:lineRule="auto"/>
        <w:rPr>
          <w:rFonts w:ascii="Arial" w:eastAsia="Times New Roman" w:hAnsi="Arial" w:cs="Arial"/>
          <w:color w:val="000000"/>
          <w:sz w:val="21"/>
          <w:szCs w:val="21"/>
          <w:lang w:val="es-UY" w:eastAsia="es-UY"/>
        </w:rPr>
      </w:pPr>
      <w:r w:rsidRPr="00F60144">
        <w:rPr>
          <w:rFonts w:ascii="Arial" w:eastAsia="Times New Roman" w:hAnsi="Arial" w:cs="Arial"/>
          <w:noProof/>
          <w:color w:val="000000"/>
          <w:sz w:val="21"/>
          <w:szCs w:val="21"/>
          <w:lang w:val="es-UY" w:eastAsia="es-UY"/>
        </w:rPr>
        <w:drawing>
          <wp:inline distT="0" distB="0" distL="0" distR="0" wp14:anchorId="399F7BD7" wp14:editId="5E6B6FE8">
            <wp:extent cx="5607050" cy="3149010"/>
            <wp:effectExtent l="0" t="0" r="0" b="0"/>
            <wp:docPr id="1" name="Imagen 1" descr="El Grupo Iberoamericano de Teología, en Pueb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Grupo Iberoamericano de Teología, en Puebl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22237" cy="3157539"/>
                    </a:xfrm>
                    <a:prstGeom prst="rect">
                      <a:avLst/>
                    </a:prstGeom>
                    <a:noFill/>
                    <a:ln>
                      <a:noFill/>
                    </a:ln>
                  </pic:spPr>
                </pic:pic>
              </a:graphicData>
            </a:graphic>
          </wp:inline>
        </w:drawing>
      </w:r>
    </w:p>
    <w:p w:rsidR="00F60144" w:rsidRPr="00F60144" w:rsidRDefault="00F60144" w:rsidP="00F60144">
      <w:pPr>
        <w:shd w:val="clear" w:color="auto" w:fill="FFFFFF"/>
        <w:spacing w:line="240" w:lineRule="auto"/>
        <w:rPr>
          <w:rFonts w:ascii="Arial" w:eastAsia="Times New Roman" w:hAnsi="Arial" w:cs="Arial"/>
          <w:color w:val="000000"/>
          <w:sz w:val="21"/>
          <w:szCs w:val="21"/>
          <w:lang w:val="es-UY" w:eastAsia="es-UY"/>
        </w:rPr>
      </w:pPr>
      <w:r w:rsidRPr="00F60144">
        <w:rPr>
          <w:rFonts w:ascii="Arial" w:eastAsia="Times New Roman" w:hAnsi="Arial" w:cs="Arial"/>
          <w:color w:val="000000"/>
          <w:sz w:val="21"/>
          <w:szCs w:val="21"/>
          <w:lang w:val="es-UY" w:eastAsia="es-UY"/>
        </w:rPr>
        <w:t>El Grupo Iberoamericano de Teología, en Puebla</w:t>
      </w:r>
    </w:p>
    <w:p w:rsidR="00F60144" w:rsidRPr="00F60144" w:rsidRDefault="00F60144" w:rsidP="00F60144">
      <w:pPr>
        <w:shd w:val="clear" w:color="auto" w:fill="FFFFFF"/>
        <w:spacing w:after="0" w:line="240" w:lineRule="auto"/>
        <w:ind w:left="360"/>
        <w:rPr>
          <w:rFonts w:ascii="Arial" w:eastAsia="Times New Roman" w:hAnsi="Arial" w:cs="Arial"/>
          <w:color w:val="000000"/>
          <w:sz w:val="21"/>
          <w:szCs w:val="21"/>
          <w:lang w:val="es-UY" w:eastAsia="es-UY"/>
        </w:rPr>
      </w:pPr>
    </w:p>
    <w:p w:rsidR="00F60144" w:rsidRPr="00F60144" w:rsidRDefault="00F60144" w:rsidP="00F60144">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proofErr w:type="spellStart"/>
      <w:r w:rsidRPr="00F60144">
        <w:rPr>
          <w:rFonts w:ascii="Arial" w:eastAsia="Times New Roman" w:hAnsi="Arial" w:cs="Arial"/>
          <w:b/>
          <w:bCs/>
          <w:color w:val="474747"/>
          <w:sz w:val="26"/>
          <w:szCs w:val="26"/>
          <w:lang w:val="es-UY" w:eastAsia="es-UY"/>
        </w:rPr>
        <w:t>Agenor</w:t>
      </w:r>
      <w:proofErr w:type="spellEnd"/>
      <w:r w:rsidRPr="00F60144">
        <w:rPr>
          <w:rFonts w:ascii="Arial" w:eastAsia="Times New Roman" w:hAnsi="Arial" w:cs="Arial"/>
          <w:b/>
          <w:bCs/>
          <w:color w:val="474747"/>
          <w:sz w:val="26"/>
          <w:szCs w:val="26"/>
          <w:lang w:val="es-UY" w:eastAsia="es-UY"/>
        </w:rPr>
        <w:t xml:space="preserve"> </w:t>
      </w:r>
      <w:proofErr w:type="spellStart"/>
      <w:r w:rsidRPr="00F60144">
        <w:rPr>
          <w:rFonts w:ascii="Arial" w:eastAsia="Times New Roman" w:hAnsi="Arial" w:cs="Arial"/>
          <w:b/>
          <w:bCs/>
          <w:color w:val="474747"/>
          <w:sz w:val="26"/>
          <w:szCs w:val="26"/>
          <w:lang w:val="es-UY" w:eastAsia="es-UY"/>
        </w:rPr>
        <w:t>Brighenti</w:t>
      </w:r>
      <w:proofErr w:type="spellEnd"/>
      <w:r w:rsidRPr="00F60144">
        <w:rPr>
          <w:rFonts w:ascii="Arial" w:eastAsia="Times New Roman" w:hAnsi="Arial" w:cs="Arial"/>
          <w:b/>
          <w:bCs/>
          <w:color w:val="474747"/>
          <w:sz w:val="26"/>
          <w:szCs w:val="26"/>
          <w:lang w:val="es-UY" w:eastAsia="es-UY"/>
        </w:rPr>
        <w:t>: “Francisco reafirma el Vaticano II y, más aún, se propone hacer las reformas que quedaron pendientes en el Concilio”</w:t>
      </w:r>
    </w:p>
    <w:p w:rsidR="00F60144" w:rsidRPr="00F60144" w:rsidRDefault="00F60144" w:rsidP="00F60144">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F60144">
        <w:rPr>
          <w:rFonts w:ascii="Arial" w:eastAsia="Times New Roman" w:hAnsi="Arial" w:cs="Arial"/>
          <w:b/>
          <w:bCs/>
          <w:color w:val="474747"/>
          <w:sz w:val="26"/>
          <w:szCs w:val="26"/>
          <w:lang w:val="es-UY" w:eastAsia="es-UY"/>
        </w:rPr>
        <w:t>Pedro Trigo: “Con Francisco pasó el invierno eclesial y, ahora, estamos en un tiempo oportuno, que hay que aprovechar”</w:t>
      </w:r>
    </w:p>
    <w:p w:rsidR="00F60144" w:rsidRPr="00F60144" w:rsidRDefault="00F60144" w:rsidP="00F60144">
      <w:pPr>
        <w:shd w:val="clear" w:color="auto" w:fill="FFFFFF"/>
        <w:spacing w:after="150" w:line="240" w:lineRule="auto"/>
        <w:rPr>
          <w:rFonts w:ascii="inherit" w:eastAsia="Times New Roman" w:hAnsi="inherit" w:cs="Arial"/>
          <w:b/>
          <w:bCs/>
          <w:i/>
          <w:iCs/>
          <w:color w:val="333333"/>
          <w:sz w:val="20"/>
          <w:szCs w:val="20"/>
          <w:lang w:val="es-UY" w:eastAsia="es-UY"/>
        </w:rPr>
      </w:pPr>
      <w:r w:rsidRPr="00F60144">
        <w:rPr>
          <w:rFonts w:ascii="inherit" w:eastAsia="Times New Roman" w:hAnsi="inherit" w:cs="Arial"/>
          <w:b/>
          <w:bCs/>
          <w:i/>
          <w:iCs/>
          <w:color w:val="333333"/>
          <w:sz w:val="20"/>
          <w:szCs w:val="20"/>
          <w:lang w:val="es-UY" w:eastAsia="es-UY"/>
        </w:rPr>
        <w:t>26.04.2019 | </w:t>
      </w:r>
      <w:hyperlink r:id="rId6" w:history="1">
        <w:r w:rsidRPr="00F60144">
          <w:rPr>
            <w:rFonts w:ascii="inherit" w:eastAsia="Times New Roman" w:hAnsi="inherit" w:cs="Arial"/>
            <w:b/>
            <w:bCs/>
            <w:i/>
            <w:iCs/>
            <w:color w:val="D49400"/>
            <w:sz w:val="20"/>
            <w:szCs w:val="20"/>
            <w:lang w:val="es-UY" w:eastAsia="es-UY"/>
          </w:rPr>
          <w:t>José Manuel Vidal</w:t>
        </w:r>
      </w:hyperlink>
      <w:r w:rsidRPr="00F60144">
        <w:rPr>
          <w:rFonts w:ascii="inherit" w:eastAsia="Times New Roman" w:hAnsi="inherit" w:cs="Arial"/>
          <w:b/>
          <w:bCs/>
          <w:i/>
          <w:iCs/>
          <w:color w:val="333333"/>
          <w:sz w:val="20"/>
          <w:szCs w:val="20"/>
          <w:lang w:val="es-UY" w:eastAsia="es-UY"/>
        </w:rPr>
        <w:t> , enviado especial a Puebla</w:t>
      </w:r>
    </w:p>
    <w:p w:rsidR="00F60144" w:rsidRPr="00F60144" w:rsidRDefault="00F60144" w:rsidP="00F60144">
      <w:pPr>
        <w:shd w:val="clear" w:color="auto" w:fill="FFFFFF"/>
        <w:spacing w:after="465" w:line="300" w:lineRule="atLeast"/>
        <w:jc w:val="both"/>
        <w:rPr>
          <w:rFonts w:ascii="Arial" w:eastAsia="Times New Roman" w:hAnsi="Arial" w:cs="Arial"/>
          <w:color w:val="333333"/>
          <w:sz w:val="24"/>
          <w:szCs w:val="24"/>
          <w:lang w:val="es-UY" w:eastAsia="es-UY"/>
        </w:rPr>
      </w:pPr>
      <w:r w:rsidRPr="00F60144">
        <w:rPr>
          <w:rFonts w:ascii="Arial" w:eastAsia="Times New Roman" w:hAnsi="Arial" w:cs="Arial"/>
          <w:color w:val="333333"/>
          <w:sz w:val="24"/>
          <w:szCs w:val="24"/>
          <w:lang w:val="es-UY" w:eastAsia="es-UY"/>
        </w:rPr>
        <w:t>Terminado el '</w:t>
      </w:r>
      <w:r w:rsidRPr="00F60144">
        <w:rPr>
          <w:rFonts w:ascii="Arial" w:eastAsia="Times New Roman" w:hAnsi="Arial" w:cs="Arial"/>
          <w:b/>
          <w:bCs/>
          <w:color w:val="474747"/>
          <w:sz w:val="24"/>
          <w:szCs w:val="24"/>
          <w:lang w:val="es-UY" w:eastAsia="es-UY"/>
        </w:rPr>
        <w:t>Tercer encuentro iberoamericano de Teología'</w:t>
      </w:r>
      <w:r w:rsidRPr="00F60144">
        <w:rPr>
          <w:rFonts w:ascii="Arial" w:eastAsia="Times New Roman" w:hAnsi="Arial" w:cs="Arial"/>
          <w:color w:val="333333"/>
          <w:sz w:val="24"/>
          <w:szCs w:val="24"/>
          <w:lang w:val="es-UY" w:eastAsia="es-UY"/>
        </w:rPr>
        <w:t>, se inició la jornada del 'Coloquio internacional sobre los 40 años de Puebla'. Con seis ponencias, con sus respectivos diálogos y el broche de oro con un concierto sinfónico. Todos los ponentes coincidieron en que “</w:t>
      </w:r>
      <w:r w:rsidRPr="00F60144">
        <w:rPr>
          <w:rFonts w:ascii="Arial" w:eastAsia="Times New Roman" w:hAnsi="Arial" w:cs="Arial"/>
          <w:b/>
          <w:bCs/>
          <w:color w:val="474747"/>
          <w:sz w:val="24"/>
          <w:szCs w:val="24"/>
          <w:lang w:val="es-UY" w:eastAsia="es-UY"/>
        </w:rPr>
        <w:t>Puebla no fue un punto de llegada, sino de partida</w:t>
      </w:r>
      <w:r w:rsidRPr="00F60144">
        <w:rPr>
          <w:rFonts w:ascii="Arial" w:eastAsia="Times New Roman" w:hAnsi="Arial" w:cs="Arial"/>
          <w:color w:val="333333"/>
          <w:sz w:val="24"/>
          <w:szCs w:val="24"/>
          <w:lang w:val="es-UY" w:eastAsia="es-UY"/>
        </w:rPr>
        <w:t xml:space="preserve">”, que, a pesar de las resistencias del aparato curial, consiguió dar alas al catolicismo </w:t>
      </w:r>
      <w:proofErr w:type="spellStart"/>
      <w:r w:rsidRPr="00F60144">
        <w:rPr>
          <w:rFonts w:ascii="Arial" w:eastAsia="Times New Roman" w:hAnsi="Arial" w:cs="Arial"/>
          <w:color w:val="333333"/>
          <w:sz w:val="24"/>
          <w:szCs w:val="24"/>
          <w:lang w:val="es-UY" w:eastAsia="es-UY"/>
        </w:rPr>
        <w:t>inculturado</w:t>
      </w:r>
      <w:proofErr w:type="spellEnd"/>
      <w:r w:rsidRPr="00F60144">
        <w:rPr>
          <w:rFonts w:ascii="Arial" w:eastAsia="Times New Roman" w:hAnsi="Arial" w:cs="Arial"/>
          <w:color w:val="333333"/>
          <w:sz w:val="24"/>
          <w:szCs w:val="24"/>
          <w:lang w:val="es-UY" w:eastAsia="es-UY"/>
        </w:rPr>
        <w:t xml:space="preserve"> y la “recepción creativa” del Concilio, que, tras estar </w:t>
      </w:r>
      <w:proofErr w:type="spellStart"/>
      <w:r w:rsidRPr="00F60144">
        <w:rPr>
          <w:rFonts w:ascii="Arial" w:eastAsia="Times New Roman" w:hAnsi="Arial" w:cs="Arial"/>
          <w:color w:val="333333"/>
          <w:sz w:val="24"/>
          <w:szCs w:val="24"/>
          <w:lang w:val="es-UY" w:eastAsia="es-UY"/>
        </w:rPr>
        <w:t>dévcadas</w:t>
      </w:r>
      <w:proofErr w:type="spellEnd"/>
      <w:r w:rsidRPr="00F60144">
        <w:rPr>
          <w:rFonts w:ascii="Arial" w:eastAsia="Times New Roman" w:hAnsi="Arial" w:cs="Arial"/>
          <w:color w:val="333333"/>
          <w:sz w:val="24"/>
          <w:szCs w:val="24"/>
          <w:lang w:val="es-UY" w:eastAsia="es-UY"/>
        </w:rPr>
        <w:t xml:space="preserve"> reprimida, vuelve a reivindicar el Papa Francisco.</w:t>
      </w:r>
    </w:p>
    <w:p w:rsidR="00F60144" w:rsidRPr="00F60144" w:rsidRDefault="00F60144" w:rsidP="00F60144">
      <w:pPr>
        <w:shd w:val="clear" w:color="auto" w:fill="FFFFFF"/>
        <w:spacing w:after="465" w:line="300" w:lineRule="atLeast"/>
        <w:jc w:val="both"/>
        <w:rPr>
          <w:rFonts w:ascii="Arial" w:eastAsia="Times New Roman" w:hAnsi="Arial" w:cs="Arial"/>
          <w:color w:val="333333"/>
          <w:sz w:val="24"/>
          <w:szCs w:val="24"/>
          <w:lang w:val="es-UY" w:eastAsia="es-UY"/>
        </w:rPr>
      </w:pPr>
      <w:r w:rsidRPr="00F60144">
        <w:rPr>
          <w:rFonts w:ascii="Arial" w:eastAsia="Times New Roman" w:hAnsi="Arial" w:cs="Arial"/>
          <w:color w:val="333333"/>
          <w:sz w:val="24"/>
          <w:szCs w:val="24"/>
          <w:lang w:val="es-UY" w:eastAsia="es-UY"/>
        </w:rPr>
        <w:t xml:space="preserve">El Coloquio se celebró en la preciosa sala barroca del edificio carolino, capilla del antiguo colegio jesuita del Espíritu Santo y actual sala de juntas de la Benemérita Universidad de Puebla. En el acto de inauguración, intervinieron por </w:t>
      </w:r>
      <w:r w:rsidRPr="00F60144">
        <w:rPr>
          <w:rFonts w:ascii="Arial" w:eastAsia="Times New Roman" w:hAnsi="Arial" w:cs="Arial"/>
          <w:color w:val="333333"/>
          <w:sz w:val="24"/>
          <w:szCs w:val="24"/>
          <w:lang w:val="es-UY" w:eastAsia="es-UY"/>
        </w:rPr>
        <w:lastRenderedPageBreak/>
        <w:t xml:space="preserve">parte de la Universidad, </w:t>
      </w:r>
      <w:proofErr w:type="spellStart"/>
      <w:r w:rsidRPr="00F60144">
        <w:rPr>
          <w:rFonts w:ascii="Arial" w:eastAsia="Times New Roman" w:hAnsi="Arial" w:cs="Arial"/>
          <w:color w:val="333333"/>
          <w:sz w:val="24"/>
          <w:szCs w:val="24"/>
          <w:lang w:val="es-UY" w:eastAsia="es-UY"/>
        </w:rPr>
        <w:t>Maria</w:t>
      </w:r>
      <w:proofErr w:type="spellEnd"/>
      <w:r w:rsidRPr="00F60144">
        <w:rPr>
          <w:rFonts w:ascii="Arial" w:eastAsia="Times New Roman" w:hAnsi="Arial" w:cs="Arial"/>
          <w:color w:val="333333"/>
          <w:sz w:val="24"/>
          <w:szCs w:val="24"/>
          <w:lang w:val="es-UY" w:eastAsia="es-UY"/>
        </w:rPr>
        <w:t xml:space="preserve"> Eugenia Mendoza y Francisco Vélez, para dar la bienvenida y acoger a tan selecto plantel de teólogos. Por parte del Grupo teológico Iberoamericano, Carlos Mendoza, encuadró el evento y dio paso al moderador, Alejandro Ortiz, para que presentase a los diferentes ponentes.</w:t>
      </w:r>
    </w:p>
    <w:p w:rsidR="00F60144" w:rsidRPr="00F60144" w:rsidRDefault="00F60144" w:rsidP="00F60144">
      <w:pPr>
        <w:shd w:val="clear" w:color="auto" w:fill="FFFFFF"/>
        <w:spacing w:after="0" w:line="240" w:lineRule="auto"/>
        <w:jc w:val="both"/>
        <w:rPr>
          <w:rFonts w:ascii="inherit" w:eastAsia="Times New Roman" w:hAnsi="inherit" w:cs="Arial"/>
          <w:color w:val="000000"/>
          <w:sz w:val="24"/>
          <w:szCs w:val="24"/>
          <w:lang w:val="es-UY" w:eastAsia="es-UY"/>
        </w:rPr>
      </w:pPr>
      <w:r w:rsidRPr="00F60144">
        <w:rPr>
          <w:rFonts w:ascii="inherit" w:eastAsia="Times New Roman" w:hAnsi="inherit" w:cs="Arial"/>
          <w:noProof/>
          <w:color w:val="000000"/>
          <w:sz w:val="24"/>
          <w:szCs w:val="24"/>
          <w:lang w:val="es-UY" w:eastAsia="es-UY"/>
        </w:rPr>
        <w:drawing>
          <wp:inline distT="0" distB="0" distL="0" distR="0" wp14:anchorId="365EA8E5" wp14:editId="653DDDF7">
            <wp:extent cx="5542013" cy="3111500"/>
            <wp:effectExtent l="0" t="0" r="1905" b="0"/>
            <wp:docPr id="2" name="Imagen 2" descr="El cardenal Porras, en Pueb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cardenal Porras, en Puebl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54666" cy="3118604"/>
                    </a:xfrm>
                    <a:prstGeom prst="rect">
                      <a:avLst/>
                    </a:prstGeom>
                    <a:noFill/>
                    <a:ln>
                      <a:noFill/>
                    </a:ln>
                  </pic:spPr>
                </pic:pic>
              </a:graphicData>
            </a:graphic>
          </wp:inline>
        </w:drawing>
      </w:r>
    </w:p>
    <w:p w:rsidR="00F60144" w:rsidRPr="00F60144" w:rsidRDefault="00F60144" w:rsidP="00F60144">
      <w:pPr>
        <w:shd w:val="clear" w:color="auto" w:fill="FFFFFF"/>
        <w:spacing w:line="240" w:lineRule="auto"/>
        <w:rPr>
          <w:rFonts w:ascii="inherit" w:eastAsia="Times New Roman" w:hAnsi="inherit" w:cs="Arial"/>
          <w:color w:val="000000"/>
          <w:sz w:val="21"/>
          <w:szCs w:val="21"/>
          <w:lang w:val="es-UY" w:eastAsia="es-UY"/>
        </w:rPr>
      </w:pPr>
      <w:r w:rsidRPr="00F60144">
        <w:rPr>
          <w:rFonts w:ascii="inherit" w:eastAsia="Times New Roman" w:hAnsi="inherit" w:cs="Arial"/>
          <w:color w:val="000000"/>
          <w:sz w:val="21"/>
          <w:szCs w:val="21"/>
          <w:lang w:val="es-UY" w:eastAsia="es-UY"/>
        </w:rPr>
        <w:t>El cardenal Porras, en Puebla</w:t>
      </w:r>
    </w:p>
    <w:p w:rsidR="00F60144" w:rsidRPr="00F60144" w:rsidRDefault="00F60144" w:rsidP="00F60144">
      <w:pPr>
        <w:shd w:val="clear" w:color="auto" w:fill="FFFFFF"/>
        <w:spacing w:after="465" w:line="300" w:lineRule="atLeast"/>
        <w:jc w:val="both"/>
        <w:rPr>
          <w:rFonts w:ascii="Arial" w:eastAsia="Times New Roman" w:hAnsi="Arial" w:cs="Arial"/>
          <w:color w:val="333333"/>
          <w:sz w:val="24"/>
          <w:szCs w:val="24"/>
          <w:lang w:val="es-UY" w:eastAsia="es-UY"/>
        </w:rPr>
      </w:pPr>
      <w:r w:rsidRPr="00F60144">
        <w:rPr>
          <w:rFonts w:ascii="Arial" w:eastAsia="Times New Roman" w:hAnsi="Arial" w:cs="Arial"/>
          <w:color w:val="333333"/>
          <w:sz w:val="24"/>
          <w:szCs w:val="24"/>
          <w:lang w:val="es-UY" w:eastAsia="es-UY"/>
        </w:rPr>
        <w:t>El primero en intervenir fue el </w:t>
      </w:r>
      <w:r w:rsidRPr="00F60144">
        <w:rPr>
          <w:rFonts w:ascii="Arial" w:eastAsia="Times New Roman" w:hAnsi="Arial" w:cs="Arial"/>
          <w:b/>
          <w:bCs/>
          <w:color w:val="474747"/>
          <w:sz w:val="24"/>
          <w:szCs w:val="24"/>
          <w:lang w:val="es-UY" w:eastAsia="es-UY"/>
        </w:rPr>
        <w:t>cardenal Porras</w:t>
      </w:r>
      <w:r w:rsidRPr="00F60144">
        <w:rPr>
          <w:rFonts w:ascii="Arial" w:eastAsia="Times New Roman" w:hAnsi="Arial" w:cs="Arial"/>
          <w:color w:val="333333"/>
          <w:sz w:val="24"/>
          <w:szCs w:val="24"/>
          <w:lang w:val="es-UY" w:eastAsia="es-UY"/>
        </w:rPr>
        <w:t>, arzobispo de Caracas, que disertó sobre 'La vigencia de Puebla 40 años después', en la que comenzó señalando que hoy hay una recepción serena tanto de Puebla como de Medellín. “Hoy, se puede afirmar que tenemos “</w:t>
      </w:r>
      <w:r w:rsidRPr="00F60144">
        <w:rPr>
          <w:rFonts w:ascii="Arial" w:eastAsia="Times New Roman" w:hAnsi="Arial" w:cs="Arial"/>
          <w:i/>
          <w:iCs/>
          <w:color w:val="474747"/>
          <w:sz w:val="24"/>
          <w:szCs w:val="24"/>
          <w:lang w:val="es-UY" w:eastAsia="es-UY"/>
        </w:rPr>
        <w:t>posesión serena</w:t>
      </w:r>
      <w:r w:rsidRPr="00F60144">
        <w:rPr>
          <w:rFonts w:ascii="Arial" w:eastAsia="Times New Roman" w:hAnsi="Arial" w:cs="Arial"/>
          <w:color w:val="333333"/>
          <w:sz w:val="24"/>
          <w:szCs w:val="24"/>
          <w:lang w:val="es-UY" w:eastAsia="es-UY"/>
        </w:rPr>
        <w:t xml:space="preserve">”, dentro de una sana tensión histórica entre memoria, compromiso y proyecto, de la realidad que los documentos de Medellín y Puebla analizaron. Es decir, ellos tuvieron un </w:t>
      </w:r>
      <w:proofErr w:type="spellStart"/>
      <w:r w:rsidRPr="00F60144">
        <w:rPr>
          <w:rFonts w:ascii="Arial" w:eastAsia="Times New Roman" w:hAnsi="Arial" w:cs="Arial"/>
          <w:color w:val="333333"/>
          <w:sz w:val="24"/>
          <w:szCs w:val="24"/>
          <w:lang w:val="es-UY" w:eastAsia="es-UY"/>
        </w:rPr>
        <w:t>iter</w:t>
      </w:r>
      <w:proofErr w:type="spellEnd"/>
      <w:r w:rsidRPr="00F60144">
        <w:rPr>
          <w:rFonts w:ascii="Arial" w:eastAsia="Times New Roman" w:hAnsi="Arial" w:cs="Arial"/>
          <w:color w:val="333333"/>
          <w:sz w:val="24"/>
          <w:szCs w:val="24"/>
          <w:lang w:val="es-UY" w:eastAsia="es-UY"/>
        </w:rPr>
        <w:t xml:space="preserve"> no exento de dificultades y su recepción hay que verla en el marco del nuevo escenario eclesial marcado por el </w:t>
      </w:r>
      <w:r w:rsidRPr="00F60144">
        <w:rPr>
          <w:rFonts w:ascii="Arial" w:eastAsia="Times New Roman" w:hAnsi="Arial" w:cs="Arial"/>
          <w:b/>
          <w:bCs/>
          <w:color w:val="474747"/>
          <w:sz w:val="24"/>
          <w:szCs w:val="24"/>
          <w:lang w:val="es-UY" w:eastAsia="es-UY"/>
        </w:rPr>
        <w:t>Concilio Vaticano II y la intuición latinoamericana</w:t>
      </w:r>
      <w:r w:rsidRPr="00F60144">
        <w:rPr>
          <w:rFonts w:ascii="Arial" w:eastAsia="Times New Roman" w:hAnsi="Arial" w:cs="Arial"/>
          <w:color w:val="333333"/>
          <w:sz w:val="24"/>
          <w:szCs w:val="24"/>
          <w:lang w:val="es-UY" w:eastAsia="es-UY"/>
        </w:rPr>
        <w:t> que se la apropió desde la realidad social y religiosa ciertamente conflictiva de nuestros pueblos”.</w:t>
      </w:r>
    </w:p>
    <w:p w:rsidR="00F60144" w:rsidRPr="00F60144" w:rsidRDefault="00F60144" w:rsidP="00F6014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F60144">
        <w:rPr>
          <w:rFonts w:ascii="Arial" w:eastAsia="Times New Roman" w:hAnsi="Arial" w:cs="Arial"/>
          <w:b/>
          <w:bCs/>
          <w:color w:val="474747"/>
          <w:sz w:val="26"/>
          <w:szCs w:val="26"/>
          <w:lang w:val="es-UY" w:eastAsia="es-UY"/>
        </w:rPr>
        <w:t>Puebla y Medellín</w:t>
      </w:r>
    </w:p>
    <w:p w:rsidR="00F60144" w:rsidRPr="00F60144" w:rsidRDefault="00F60144" w:rsidP="00F60144">
      <w:pPr>
        <w:shd w:val="clear" w:color="auto" w:fill="FFFFFF"/>
        <w:spacing w:after="465" w:line="300" w:lineRule="atLeast"/>
        <w:jc w:val="both"/>
        <w:rPr>
          <w:rFonts w:ascii="Arial" w:eastAsia="Times New Roman" w:hAnsi="Arial" w:cs="Arial"/>
          <w:color w:val="333333"/>
          <w:sz w:val="24"/>
          <w:szCs w:val="24"/>
          <w:lang w:val="es-UY" w:eastAsia="es-UY"/>
        </w:rPr>
      </w:pPr>
      <w:r w:rsidRPr="00F60144">
        <w:rPr>
          <w:rFonts w:ascii="Arial" w:eastAsia="Times New Roman" w:hAnsi="Arial" w:cs="Arial"/>
          <w:color w:val="333333"/>
          <w:sz w:val="24"/>
          <w:szCs w:val="24"/>
          <w:lang w:val="es-UY" w:eastAsia="es-UY"/>
        </w:rPr>
        <w:t xml:space="preserve">A su juicio, “Puebla no se entiende sin Medellín”, que fue la Conferencia del </w:t>
      </w:r>
      <w:proofErr w:type="spellStart"/>
      <w:r w:rsidRPr="00F60144">
        <w:rPr>
          <w:rFonts w:ascii="Arial" w:eastAsia="Times New Roman" w:hAnsi="Arial" w:cs="Arial"/>
          <w:color w:val="333333"/>
          <w:sz w:val="24"/>
          <w:szCs w:val="24"/>
          <w:lang w:val="es-UY" w:eastAsia="es-UY"/>
        </w:rPr>
        <w:t>Celam</w:t>
      </w:r>
      <w:proofErr w:type="spellEnd"/>
      <w:r w:rsidRPr="00F60144">
        <w:rPr>
          <w:rFonts w:ascii="Arial" w:eastAsia="Times New Roman" w:hAnsi="Arial" w:cs="Arial"/>
          <w:color w:val="333333"/>
          <w:sz w:val="24"/>
          <w:szCs w:val="24"/>
          <w:lang w:val="es-UY" w:eastAsia="es-UY"/>
        </w:rPr>
        <w:t xml:space="preserve"> donde se pasó del orden deductivo al inductivo. “En Medellín se aprecia un discurso con sujeto social y adultez cristiana que lleva a los obispos a comprometerse a producir los cambios que demandaban a la sociedad”.</w:t>
      </w:r>
    </w:p>
    <w:p w:rsidR="00F60144" w:rsidRPr="00F60144" w:rsidRDefault="00F60144" w:rsidP="00F60144">
      <w:pPr>
        <w:shd w:val="clear" w:color="auto" w:fill="FFFFFF"/>
        <w:spacing w:after="465" w:line="300" w:lineRule="atLeast"/>
        <w:jc w:val="both"/>
        <w:rPr>
          <w:rFonts w:ascii="Arial" w:eastAsia="Times New Roman" w:hAnsi="Arial" w:cs="Arial"/>
          <w:color w:val="333333"/>
          <w:sz w:val="24"/>
          <w:szCs w:val="24"/>
          <w:lang w:val="es-UY" w:eastAsia="es-UY"/>
        </w:rPr>
      </w:pPr>
      <w:r w:rsidRPr="00F60144">
        <w:rPr>
          <w:rFonts w:ascii="Arial" w:eastAsia="Times New Roman" w:hAnsi="Arial" w:cs="Arial"/>
          <w:color w:val="333333"/>
          <w:sz w:val="24"/>
          <w:szCs w:val="24"/>
          <w:lang w:val="es-UY" w:eastAsia="es-UY"/>
        </w:rPr>
        <w:t>El cardenal aseguró que, en Puebla, aparte de otras muchas cosas, “se salió al paso de las leyendas negra y/o dorada, </w:t>
      </w:r>
      <w:r w:rsidRPr="00F60144">
        <w:rPr>
          <w:rFonts w:ascii="Arial" w:eastAsia="Times New Roman" w:hAnsi="Arial" w:cs="Arial"/>
          <w:b/>
          <w:bCs/>
          <w:color w:val="474747"/>
          <w:sz w:val="24"/>
          <w:szCs w:val="24"/>
          <w:lang w:val="es-UY" w:eastAsia="es-UY"/>
        </w:rPr>
        <w:t>se asumieron los tres siglos coloniales</w:t>
      </w:r>
      <w:r w:rsidRPr="00F60144">
        <w:rPr>
          <w:rFonts w:ascii="Arial" w:eastAsia="Times New Roman" w:hAnsi="Arial" w:cs="Arial"/>
          <w:color w:val="333333"/>
          <w:sz w:val="24"/>
          <w:szCs w:val="24"/>
          <w:lang w:val="es-UY" w:eastAsia="es-UY"/>
        </w:rPr>
        <w:t xml:space="preserve"> como parte integrante del ser mestizo latinoamericano y la realidad </w:t>
      </w:r>
      <w:r w:rsidRPr="00F60144">
        <w:rPr>
          <w:rFonts w:ascii="Arial" w:eastAsia="Times New Roman" w:hAnsi="Arial" w:cs="Arial"/>
          <w:color w:val="333333"/>
          <w:sz w:val="24"/>
          <w:szCs w:val="24"/>
          <w:lang w:val="es-UY" w:eastAsia="es-UY"/>
        </w:rPr>
        <w:lastRenderedPageBreak/>
        <w:t>de las raíces populares católicas originarias del Continente frente al a-historicismo de la Modernidad Ilustrada antirreligiosa”.</w:t>
      </w:r>
    </w:p>
    <w:p w:rsidR="00F60144" w:rsidRPr="00F60144" w:rsidRDefault="00F60144" w:rsidP="00F60144">
      <w:pPr>
        <w:shd w:val="clear" w:color="auto" w:fill="FFFFFF"/>
        <w:spacing w:after="465" w:line="300" w:lineRule="atLeast"/>
        <w:jc w:val="both"/>
        <w:rPr>
          <w:rFonts w:ascii="Arial" w:eastAsia="Times New Roman" w:hAnsi="Arial" w:cs="Arial"/>
          <w:color w:val="333333"/>
          <w:sz w:val="24"/>
          <w:szCs w:val="24"/>
          <w:lang w:val="es-UY" w:eastAsia="es-UY"/>
        </w:rPr>
      </w:pPr>
      <w:r w:rsidRPr="00F60144">
        <w:rPr>
          <w:rFonts w:ascii="Arial" w:eastAsia="Times New Roman" w:hAnsi="Arial" w:cs="Arial"/>
          <w:color w:val="333333"/>
          <w:sz w:val="24"/>
          <w:szCs w:val="24"/>
          <w:lang w:val="es-UY" w:eastAsia="es-UY"/>
        </w:rPr>
        <w:t>Además, “40 años después, </w:t>
      </w:r>
      <w:r w:rsidRPr="00F60144">
        <w:rPr>
          <w:rFonts w:ascii="Arial" w:eastAsia="Times New Roman" w:hAnsi="Arial" w:cs="Arial"/>
          <w:b/>
          <w:bCs/>
          <w:color w:val="474747"/>
          <w:sz w:val="24"/>
          <w:szCs w:val="24"/>
          <w:lang w:val="es-UY" w:eastAsia="es-UY"/>
        </w:rPr>
        <w:t>se puede hablar de un pensamiento latinoamericano católico</w:t>
      </w:r>
      <w:r w:rsidRPr="00F60144">
        <w:rPr>
          <w:rFonts w:ascii="Arial" w:eastAsia="Times New Roman" w:hAnsi="Arial" w:cs="Arial"/>
          <w:color w:val="333333"/>
          <w:sz w:val="24"/>
          <w:szCs w:val="24"/>
          <w:lang w:val="es-UY" w:eastAsia="es-UY"/>
        </w:rPr>
        <w:t>”, amén de constatar que “Medellín y Puebla fueron un punto de partida para la Iglesia latinoamericana”.</w:t>
      </w:r>
    </w:p>
    <w:p w:rsidR="00F60144" w:rsidRPr="00F60144" w:rsidRDefault="00F60144" w:rsidP="00F60144">
      <w:pPr>
        <w:shd w:val="clear" w:color="auto" w:fill="FFFFFF"/>
        <w:spacing w:after="0" w:line="240" w:lineRule="auto"/>
        <w:rPr>
          <w:rFonts w:ascii="inherit" w:eastAsia="Times New Roman" w:hAnsi="inherit" w:cs="Arial"/>
          <w:color w:val="000000"/>
          <w:sz w:val="21"/>
          <w:szCs w:val="21"/>
          <w:lang w:val="es-UY" w:eastAsia="es-UY"/>
        </w:rPr>
      </w:pPr>
      <w:r w:rsidRPr="00F60144">
        <w:rPr>
          <w:rFonts w:ascii="inherit" w:eastAsia="Times New Roman" w:hAnsi="inherit" w:cs="Arial"/>
          <w:noProof/>
          <w:color w:val="000000"/>
          <w:sz w:val="21"/>
          <w:szCs w:val="21"/>
          <w:lang w:val="es-UY" w:eastAsia="es-UY"/>
        </w:rPr>
        <w:drawing>
          <wp:inline distT="0" distB="0" distL="0" distR="0" wp14:anchorId="68821F19" wp14:editId="429BF712">
            <wp:extent cx="5410200" cy="3037495"/>
            <wp:effectExtent l="0" t="0" r="0" b="0"/>
            <wp:docPr id="3" name="Imagen 3" descr="Conferencia final en Pueb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ferencia final en Puebl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1722" cy="3043964"/>
                    </a:xfrm>
                    <a:prstGeom prst="rect">
                      <a:avLst/>
                    </a:prstGeom>
                    <a:noFill/>
                    <a:ln>
                      <a:noFill/>
                    </a:ln>
                  </pic:spPr>
                </pic:pic>
              </a:graphicData>
            </a:graphic>
          </wp:inline>
        </w:drawing>
      </w:r>
    </w:p>
    <w:p w:rsidR="00F60144" w:rsidRPr="00F60144" w:rsidRDefault="00F60144" w:rsidP="00F60144">
      <w:pPr>
        <w:shd w:val="clear" w:color="auto" w:fill="FFFFFF"/>
        <w:spacing w:line="240" w:lineRule="auto"/>
        <w:rPr>
          <w:rFonts w:ascii="inherit" w:eastAsia="Times New Roman" w:hAnsi="inherit" w:cs="Arial"/>
          <w:color w:val="000000"/>
          <w:sz w:val="21"/>
          <w:szCs w:val="21"/>
          <w:lang w:val="es-UY" w:eastAsia="es-UY"/>
        </w:rPr>
      </w:pPr>
      <w:r w:rsidRPr="00F60144">
        <w:rPr>
          <w:rFonts w:ascii="inherit" w:eastAsia="Times New Roman" w:hAnsi="inherit" w:cs="Arial"/>
          <w:color w:val="000000"/>
          <w:sz w:val="21"/>
          <w:szCs w:val="21"/>
          <w:lang w:val="es-UY" w:eastAsia="es-UY"/>
        </w:rPr>
        <w:t>Conferencia final en Puebla</w:t>
      </w:r>
    </w:p>
    <w:p w:rsidR="00F60144" w:rsidRPr="00F60144" w:rsidRDefault="00F60144" w:rsidP="00F6014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F60144">
        <w:rPr>
          <w:rFonts w:ascii="Arial" w:eastAsia="Times New Roman" w:hAnsi="Arial" w:cs="Arial"/>
          <w:b/>
          <w:bCs/>
          <w:color w:val="474747"/>
          <w:sz w:val="26"/>
          <w:szCs w:val="26"/>
          <w:lang w:val="es-UY" w:eastAsia="es-UY"/>
        </w:rPr>
        <w:t>Un proceso que revive en Aparecida</w:t>
      </w:r>
    </w:p>
    <w:p w:rsidR="00F60144" w:rsidRPr="00F60144" w:rsidRDefault="00F60144" w:rsidP="00F60144">
      <w:pPr>
        <w:shd w:val="clear" w:color="auto" w:fill="FFFFFF"/>
        <w:spacing w:after="465" w:line="300" w:lineRule="atLeast"/>
        <w:jc w:val="both"/>
        <w:rPr>
          <w:rFonts w:ascii="Arial" w:eastAsia="Times New Roman" w:hAnsi="Arial" w:cs="Arial"/>
          <w:color w:val="333333"/>
          <w:sz w:val="24"/>
          <w:szCs w:val="24"/>
          <w:lang w:val="es-UY" w:eastAsia="es-UY"/>
        </w:rPr>
      </w:pPr>
      <w:r w:rsidRPr="00F60144">
        <w:rPr>
          <w:rFonts w:ascii="Arial" w:eastAsia="Times New Roman" w:hAnsi="Arial" w:cs="Arial"/>
          <w:color w:val="333333"/>
          <w:sz w:val="24"/>
          <w:szCs w:val="24"/>
          <w:lang w:val="es-UY" w:eastAsia="es-UY"/>
        </w:rPr>
        <w:t xml:space="preserve">Tras el cardenal, intervino el prestigioso pastoralista brasileño, </w:t>
      </w:r>
      <w:proofErr w:type="spellStart"/>
      <w:r w:rsidRPr="00F60144">
        <w:rPr>
          <w:rFonts w:ascii="Arial" w:eastAsia="Times New Roman" w:hAnsi="Arial" w:cs="Arial"/>
          <w:color w:val="333333"/>
          <w:sz w:val="24"/>
          <w:szCs w:val="24"/>
          <w:lang w:val="es-UY" w:eastAsia="es-UY"/>
        </w:rPr>
        <w:t>Agenor</w:t>
      </w:r>
      <w:proofErr w:type="spellEnd"/>
      <w:r w:rsidRPr="00F60144">
        <w:rPr>
          <w:rFonts w:ascii="Arial" w:eastAsia="Times New Roman" w:hAnsi="Arial" w:cs="Arial"/>
          <w:color w:val="333333"/>
          <w:sz w:val="24"/>
          <w:szCs w:val="24"/>
          <w:lang w:val="es-UY" w:eastAsia="es-UY"/>
        </w:rPr>
        <w:t xml:space="preserve"> </w:t>
      </w:r>
      <w:proofErr w:type="spellStart"/>
      <w:r w:rsidRPr="00F60144">
        <w:rPr>
          <w:rFonts w:ascii="Arial" w:eastAsia="Times New Roman" w:hAnsi="Arial" w:cs="Arial"/>
          <w:color w:val="333333"/>
          <w:sz w:val="24"/>
          <w:szCs w:val="24"/>
          <w:lang w:val="es-UY" w:eastAsia="es-UY"/>
        </w:rPr>
        <w:t>Brighenti</w:t>
      </w:r>
      <w:proofErr w:type="spellEnd"/>
      <w:r w:rsidRPr="00F60144">
        <w:rPr>
          <w:rFonts w:ascii="Arial" w:eastAsia="Times New Roman" w:hAnsi="Arial" w:cs="Arial"/>
          <w:color w:val="333333"/>
          <w:sz w:val="24"/>
          <w:szCs w:val="24"/>
          <w:lang w:val="es-UY" w:eastAsia="es-UY"/>
        </w:rPr>
        <w:t xml:space="preserve">, con una conferencia titulada 'Puebla 40 años después, sincronías y diacronías entre el </w:t>
      </w:r>
      <w:proofErr w:type="spellStart"/>
      <w:r w:rsidRPr="00F60144">
        <w:rPr>
          <w:rFonts w:ascii="Arial" w:eastAsia="Times New Roman" w:hAnsi="Arial" w:cs="Arial"/>
          <w:color w:val="333333"/>
          <w:sz w:val="24"/>
          <w:szCs w:val="24"/>
          <w:lang w:val="es-UY" w:eastAsia="es-UY"/>
        </w:rPr>
        <w:t>contesto</w:t>
      </w:r>
      <w:proofErr w:type="spellEnd"/>
      <w:r w:rsidRPr="00F60144">
        <w:rPr>
          <w:rFonts w:ascii="Arial" w:eastAsia="Times New Roman" w:hAnsi="Arial" w:cs="Arial"/>
          <w:color w:val="333333"/>
          <w:sz w:val="24"/>
          <w:szCs w:val="24"/>
          <w:lang w:val="es-UY" w:eastAsia="es-UY"/>
        </w:rPr>
        <w:t xml:space="preserve"> de ayer y el </w:t>
      </w:r>
      <w:proofErr w:type="spellStart"/>
      <w:r w:rsidRPr="00F60144">
        <w:rPr>
          <w:rFonts w:ascii="Arial" w:eastAsia="Times New Roman" w:hAnsi="Arial" w:cs="Arial"/>
          <w:color w:val="333333"/>
          <w:sz w:val="24"/>
          <w:szCs w:val="24"/>
          <w:lang w:val="es-UY" w:eastAsia="es-UY"/>
        </w:rPr>
        <w:t>contesto</w:t>
      </w:r>
      <w:proofErr w:type="spellEnd"/>
      <w:r w:rsidRPr="00F60144">
        <w:rPr>
          <w:rFonts w:ascii="Arial" w:eastAsia="Times New Roman" w:hAnsi="Arial" w:cs="Arial"/>
          <w:color w:val="333333"/>
          <w:sz w:val="24"/>
          <w:szCs w:val="24"/>
          <w:lang w:val="es-UY" w:eastAsia="es-UY"/>
        </w:rPr>
        <w:t xml:space="preserve"> de hoy'.</w:t>
      </w:r>
    </w:p>
    <w:p w:rsidR="00F60144" w:rsidRPr="00F60144" w:rsidRDefault="00F60144" w:rsidP="00F60144">
      <w:pPr>
        <w:shd w:val="clear" w:color="auto" w:fill="FFFFFF"/>
        <w:spacing w:after="465" w:line="300" w:lineRule="atLeast"/>
        <w:jc w:val="both"/>
        <w:rPr>
          <w:rFonts w:ascii="Arial" w:eastAsia="Times New Roman" w:hAnsi="Arial" w:cs="Arial"/>
          <w:color w:val="333333"/>
          <w:sz w:val="24"/>
          <w:szCs w:val="24"/>
          <w:lang w:val="es-UY" w:eastAsia="es-UY"/>
        </w:rPr>
      </w:pPr>
      <w:r w:rsidRPr="00F60144">
        <w:rPr>
          <w:rFonts w:ascii="Arial" w:eastAsia="Times New Roman" w:hAnsi="Arial" w:cs="Arial"/>
          <w:color w:val="333333"/>
          <w:sz w:val="24"/>
          <w:szCs w:val="24"/>
          <w:lang w:val="es-UY" w:eastAsia="es-UY"/>
        </w:rPr>
        <w:t xml:space="preserve">El teólogo comenzó señalando que Puebla hay que situarla </w:t>
      </w:r>
      <w:proofErr w:type="spellStart"/>
      <w:r w:rsidRPr="00F60144">
        <w:rPr>
          <w:rFonts w:ascii="Arial" w:eastAsia="Times New Roman" w:hAnsi="Arial" w:cs="Arial"/>
          <w:color w:val="333333"/>
          <w:sz w:val="24"/>
          <w:szCs w:val="24"/>
          <w:lang w:val="es-UY" w:eastAsia="es-UY"/>
        </w:rPr>
        <w:t>den</w:t>
      </w:r>
      <w:proofErr w:type="spellEnd"/>
      <w:r w:rsidRPr="00F60144">
        <w:rPr>
          <w:rFonts w:ascii="Arial" w:eastAsia="Times New Roman" w:hAnsi="Arial" w:cs="Arial"/>
          <w:color w:val="333333"/>
          <w:sz w:val="24"/>
          <w:szCs w:val="24"/>
          <w:lang w:val="es-UY" w:eastAsia="es-UY"/>
        </w:rPr>
        <w:t xml:space="preserve"> el proceso de “recepción creativa” del Concilio que se hizo en Latinoamérica. A su juicio, “Puebla fue un freno a Medellín y Santo Domingo, un parón a este proceso, que revive en Aparecida”.</w:t>
      </w:r>
    </w:p>
    <w:p w:rsidR="00F60144" w:rsidRPr="00F60144" w:rsidRDefault="00F60144" w:rsidP="00F60144">
      <w:pPr>
        <w:shd w:val="clear" w:color="auto" w:fill="FFFFFF"/>
        <w:spacing w:after="465" w:line="300" w:lineRule="atLeast"/>
        <w:jc w:val="both"/>
        <w:rPr>
          <w:rFonts w:ascii="Arial" w:eastAsia="Times New Roman" w:hAnsi="Arial" w:cs="Arial"/>
          <w:color w:val="333333"/>
          <w:sz w:val="24"/>
          <w:szCs w:val="24"/>
          <w:lang w:val="es-UY" w:eastAsia="es-UY"/>
        </w:rPr>
      </w:pPr>
      <w:r w:rsidRPr="00F60144">
        <w:rPr>
          <w:rFonts w:ascii="Arial" w:eastAsia="Times New Roman" w:hAnsi="Arial" w:cs="Arial"/>
          <w:color w:val="333333"/>
          <w:sz w:val="24"/>
          <w:szCs w:val="24"/>
          <w:lang w:val="es-UY" w:eastAsia="es-UY"/>
        </w:rPr>
        <w:t xml:space="preserve">Para </w:t>
      </w:r>
      <w:proofErr w:type="spellStart"/>
      <w:r w:rsidRPr="00F60144">
        <w:rPr>
          <w:rFonts w:ascii="Arial" w:eastAsia="Times New Roman" w:hAnsi="Arial" w:cs="Arial"/>
          <w:color w:val="333333"/>
          <w:sz w:val="24"/>
          <w:szCs w:val="24"/>
          <w:lang w:val="es-UY" w:eastAsia="es-UY"/>
        </w:rPr>
        <w:t>Agenor</w:t>
      </w:r>
      <w:proofErr w:type="spellEnd"/>
      <w:r w:rsidRPr="00F60144">
        <w:rPr>
          <w:rFonts w:ascii="Arial" w:eastAsia="Times New Roman" w:hAnsi="Arial" w:cs="Arial"/>
          <w:color w:val="333333"/>
          <w:sz w:val="24"/>
          <w:szCs w:val="24"/>
          <w:lang w:val="es-UY" w:eastAsia="es-UY"/>
        </w:rPr>
        <w:t>, “</w:t>
      </w:r>
      <w:proofErr w:type="spellStart"/>
      <w:proofErr w:type="gramStart"/>
      <w:r w:rsidRPr="00F60144">
        <w:rPr>
          <w:rFonts w:ascii="Arial" w:eastAsia="Times New Roman" w:hAnsi="Arial" w:cs="Arial"/>
          <w:color w:val="333333"/>
          <w:sz w:val="24"/>
          <w:szCs w:val="24"/>
          <w:lang w:val="es-UY" w:eastAsia="es-UY"/>
        </w:rPr>
        <w:t>Medellin</w:t>
      </w:r>
      <w:proofErr w:type="spellEnd"/>
      <w:r w:rsidRPr="00F60144">
        <w:rPr>
          <w:rFonts w:ascii="Arial" w:eastAsia="Times New Roman" w:hAnsi="Arial" w:cs="Arial"/>
          <w:color w:val="333333"/>
          <w:sz w:val="24"/>
          <w:szCs w:val="24"/>
          <w:lang w:val="es-UY" w:eastAsia="es-UY"/>
        </w:rPr>
        <w:t xml:space="preserve"> ,</w:t>
      </w:r>
      <w:proofErr w:type="gramEnd"/>
      <w:r w:rsidRPr="00F60144">
        <w:rPr>
          <w:rFonts w:ascii="Arial" w:eastAsia="Times New Roman" w:hAnsi="Arial" w:cs="Arial"/>
          <w:color w:val="333333"/>
          <w:sz w:val="24"/>
          <w:szCs w:val="24"/>
          <w:lang w:val="es-UY" w:eastAsia="es-UY"/>
        </w:rPr>
        <w:t xml:space="preserve"> al igual que el Vaticano II, fue </w:t>
      </w:r>
      <w:r w:rsidRPr="00F60144">
        <w:rPr>
          <w:rFonts w:ascii="Arial" w:eastAsia="Times New Roman" w:hAnsi="Arial" w:cs="Arial"/>
          <w:b/>
          <w:bCs/>
          <w:color w:val="474747"/>
          <w:sz w:val="24"/>
          <w:szCs w:val="24"/>
          <w:lang w:val="es-UY" w:eastAsia="es-UY"/>
        </w:rPr>
        <w:t>uno de esos momentos raros en los que la Teología y el Magisterio coincidieron</w:t>
      </w:r>
      <w:r w:rsidRPr="00F60144">
        <w:rPr>
          <w:rFonts w:ascii="Arial" w:eastAsia="Times New Roman" w:hAnsi="Arial" w:cs="Arial"/>
          <w:color w:val="333333"/>
          <w:sz w:val="24"/>
          <w:szCs w:val="24"/>
          <w:lang w:val="es-UY" w:eastAsia="es-UY"/>
        </w:rPr>
        <w:t>”. Una convergencia que duró poco y, de hecho, los “teólogos que sustentaron Medellín, después fueron perseguidos y su teología se convirtió en mártir”.</w:t>
      </w:r>
    </w:p>
    <w:p w:rsidR="00F60144" w:rsidRPr="00F60144" w:rsidRDefault="00F60144" w:rsidP="00F60144">
      <w:pPr>
        <w:shd w:val="clear" w:color="auto" w:fill="FFFFFF"/>
        <w:spacing w:after="465" w:line="300" w:lineRule="atLeast"/>
        <w:jc w:val="both"/>
        <w:rPr>
          <w:rFonts w:ascii="Arial" w:eastAsia="Times New Roman" w:hAnsi="Arial" w:cs="Arial"/>
          <w:color w:val="333333"/>
          <w:sz w:val="24"/>
          <w:szCs w:val="24"/>
          <w:lang w:val="es-UY" w:eastAsia="es-UY"/>
        </w:rPr>
      </w:pPr>
      <w:r w:rsidRPr="00F60144">
        <w:rPr>
          <w:rFonts w:ascii="Arial" w:eastAsia="Times New Roman" w:hAnsi="Arial" w:cs="Arial"/>
          <w:color w:val="333333"/>
          <w:sz w:val="24"/>
          <w:szCs w:val="24"/>
          <w:lang w:val="es-UY" w:eastAsia="es-UY"/>
        </w:rPr>
        <w:t xml:space="preserve">Por lo que a Puebla respecta, </w:t>
      </w:r>
      <w:proofErr w:type="spellStart"/>
      <w:r w:rsidRPr="00F60144">
        <w:rPr>
          <w:rFonts w:ascii="Arial" w:eastAsia="Times New Roman" w:hAnsi="Arial" w:cs="Arial"/>
          <w:color w:val="333333"/>
          <w:sz w:val="24"/>
          <w:szCs w:val="24"/>
          <w:lang w:val="es-UY" w:eastAsia="es-UY"/>
        </w:rPr>
        <w:t>Agenor</w:t>
      </w:r>
      <w:proofErr w:type="spellEnd"/>
      <w:r w:rsidRPr="00F60144">
        <w:rPr>
          <w:rFonts w:ascii="Arial" w:eastAsia="Times New Roman" w:hAnsi="Arial" w:cs="Arial"/>
          <w:color w:val="333333"/>
          <w:sz w:val="24"/>
          <w:szCs w:val="24"/>
          <w:lang w:val="es-UY" w:eastAsia="es-UY"/>
        </w:rPr>
        <w:t xml:space="preserve"> sostuvo que</w:t>
      </w:r>
    </w:p>
    <w:p w:rsidR="00F60144" w:rsidRPr="00F60144" w:rsidRDefault="00F60144" w:rsidP="00F6014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F60144">
        <w:rPr>
          <w:rFonts w:ascii="Arial" w:eastAsia="Times New Roman" w:hAnsi="Arial" w:cs="Arial"/>
          <w:b/>
          <w:bCs/>
          <w:i/>
          <w:iCs/>
          <w:color w:val="D49400"/>
          <w:sz w:val="24"/>
          <w:szCs w:val="24"/>
          <w:lang w:val="es-UY" w:eastAsia="es-UY"/>
        </w:rPr>
        <w:lastRenderedPageBreak/>
        <w:t>“Juan Pablo II llegó a Puebla con otra sensibilidad, porque él mismo tuvo dificultades para asumir el Concilio y, mucho más, para comprender su recepción creativa en Latinoamérica”.</w:t>
      </w:r>
    </w:p>
    <w:p w:rsidR="00F60144" w:rsidRPr="00F60144" w:rsidRDefault="00F60144" w:rsidP="00F6014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F60144">
        <w:rPr>
          <w:rFonts w:ascii="Arial" w:eastAsia="Times New Roman" w:hAnsi="Arial" w:cs="Arial"/>
          <w:b/>
          <w:bCs/>
          <w:color w:val="474747"/>
          <w:sz w:val="26"/>
          <w:szCs w:val="26"/>
          <w:lang w:val="es-UY" w:eastAsia="es-UY"/>
        </w:rPr>
        <w:t>Décadas de involución eclesial</w:t>
      </w:r>
    </w:p>
    <w:p w:rsidR="00F60144" w:rsidRPr="00F60144" w:rsidRDefault="00F60144" w:rsidP="00F60144">
      <w:pPr>
        <w:shd w:val="clear" w:color="auto" w:fill="FFFFFF"/>
        <w:spacing w:after="465" w:line="300" w:lineRule="atLeast"/>
        <w:jc w:val="both"/>
        <w:rPr>
          <w:rFonts w:ascii="Arial" w:eastAsia="Times New Roman" w:hAnsi="Arial" w:cs="Arial"/>
          <w:color w:val="333333"/>
          <w:sz w:val="24"/>
          <w:szCs w:val="24"/>
          <w:lang w:val="es-UY" w:eastAsia="es-UY"/>
        </w:rPr>
      </w:pPr>
      <w:r w:rsidRPr="00F60144">
        <w:rPr>
          <w:rFonts w:ascii="Arial" w:eastAsia="Times New Roman" w:hAnsi="Arial" w:cs="Arial"/>
          <w:color w:val="333333"/>
          <w:sz w:val="24"/>
          <w:szCs w:val="24"/>
          <w:lang w:val="es-UY" w:eastAsia="es-UY"/>
        </w:rPr>
        <w:t>Por eso, a partir de Puebla “tuvimos tres décadas de involución eclesial o de noche oscura, que se prolongó hasta la renuncia de Benedicto XVI y sólo volvió a salir el sol con la llegada del Papa Francisco”.</w:t>
      </w:r>
    </w:p>
    <w:p w:rsidR="00F60144" w:rsidRPr="00F60144" w:rsidRDefault="00F60144" w:rsidP="00F60144">
      <w:pPr>
        <w:shd w:val="clear" w:color="auto" w:fill="FFFFFF"/>
        <w:spacing w:after="465" w:line="300" w:lineRule="atLeast"/>
        <w:jc w:val="both"/>
        <w:rPr>
          <w:rFonts w:ascii="Arial" w:eastAsia="Times New Roman" w:hAnsi="Arial" w:cs="Arial"/>
          <w:color w:val="333333"/>
          <w:sz w:val="24"/>
          <w:szCs w:val="24"/>
          <w:lang w:val="es-UY" w:eastAsia="es-UY"/>
        </w:rPr>
      </w:pPr>
      <w:r w:rsidRPr="00F60144">
        <w:rPr>
          <w:rFonts w:ascii="Arial" w:eastAsia="Times New Roman" w:hAnsi="Arial" w:cs="Arial"/>
          <w:color w:val="333333"/>
          <w:sz w:val="24"/>
          <w:szCs w:val="24"/>
          <w:lang w:val="es-UY" w:eastAsia="es-UY"/>
        </w:rPr>
        <w:t>Porque, a juicio del pastoralista brasileño, “</w:t>
      </w:r>
      <w:r w:rsidRPr="00F60144">
        <w:rPr>
          <w:rFonts w:ascii="Arial" w:eastAsia="Times New Roman" w:hAnsi="Arial" w:cs="Arial"/>
          <w:b/>
          <w:bCs/>
          <w:color w:val="474747"/>
          <w:sz w:val="24"/>
          <w:szCs w:val="24"/>
          <w:lang w:val="es-UY" w:eastAsia="es-UY"/>
        </w:rPr>
        <w:t>Francisco reafirma el Vaticano II</w:t>
      </w:r>
      <w:r w:rsidRPr="00F60144">
        <w:rPr>
          <w:rFonts w:ascii="Arial" w:eastAsia="Times New Roman" w:hAnsi="Arial" w:cs="Arial"/>
          <w:color w:val="333333"/>
          <w:sz w:val="24"/>
          <w:szCs w:val="24"/>
          <w:lang w:val="es-UY" w:eastAsia="es-UY"/>
        </w:rPr>
        <w:t> y, más aún, se propone hacer las reformas que quedaron pendientes en el Concilio”. Eso produce “una radicalización de los movimientos más conservadores”, pero “la diferencia estriba en que hoy tenemos un pontificado que anima, nos inspira y nos lanza”.</w:t>
      </w:r>
    </w:p>
    <w:p w:rsidR="00F60144" w:rsidRPr="00F60144" w:rsidRDefault="00F60144" w:rsidP="00F60144">
      <w:pPr>
        <w:shd w:val="clear" w:color="auto" w:fill="FFFFFF"/>
        <w:spacing w:after="0" w:line="240" w:lineRule="auto"/>
        <w:rPr>
          <w:rFonts w:ascii="inherit" w:eastAsia="Times New Roman" w:hAnsi="inherit" w:cs="Arial"/>
          <w:color w:val="000000"/>
          <w:sz w:val="21"/>
          <w:szCs w:val="21"/>
          <w:lang w:val="es-UY" w:eastAsia="es-UY"/>
        </w:rPr>
      </w:pPr>
      <w:r w:rsidRPr="00F60144">
        <w:rPr>
          <w:rFonts w:ascii="inherit" w:eastAsia="Times New Roman" w:hAnsi="inherit" w:cs="Arial"/>
          <w:noProof/>
          <w:color w:val="000000"/>
          <w:sz w:val="21"/>
          <w:szCs w:val="21"/>
          <w:lang w:val="es-UY" w:eastAsia="es-UY"/>
        </w:rPr>
        <w:drawing>
          <wp:inline distT="0" distB="0" distL="0" distR="0" wp14:anchorId="62EFEDFA" wp14:editId="2889F6D9">
            <wp:extent cx="5461000" cy="3066016"/>
            <wp:effectExtent l="0" t="0" r="6350" b="1270"/>
            <wp:docPr id="4" name="Imagen 4" descr="Pedro Tri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edro Tri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69132" cy="3070581"/>
                    </a:xfrm>
                    <a:prstGeom prst="rect">
                      <a:avLst/>
                    </a:prstGeom>
                    <a:noFill/>
                    <a:ln>
                      <a:noFill/>
                    </a:ln>
                  </pic:spPr>
                </pic:pic>
              </a:graphicData>
            </a:graphic>
          </wp:inline>
        </w:drawing>
      </w:r>
    </w:p>
    <w:p w:rsidR="00F60144" w:rsidRPr="00F60144" w:rsidRDefault="00F60144" w:rsidP="00F60144">
      <w:pPr>
        <w:shd w:val="clear" w:color="auto" w:fill="FFFFFF"/>
        <w:spacing w:line="240" w:lineRule="auto"/>
        <w:rPr>
          <w:rFonts w:ascii="inherit" w:eastAsia="Times New Roman" w:hAnsi="inherit" w:cs="Arial"/>
          <w:color w:val="000000"/>
          <w:sz w:val="21"/>
          <w:szCs w:val="21"/>
          <w:lang w:val="es-UY" w:eastAsia="es-UY"/>
        </w:rPr>
      </w:pPr>
      <w:r w:rsidRPr="00F60144">
        <w:rPr>
          <w:rFonts w:ascii="inherit" w:eastAsia="Times New Roman" w:hAnsi="inherit" w:cs="Arial"/>
          <w:color w:val="000000"/>
          <w:sz w:val="21"/>
          <w:szCs w:val="21"/>
          <w:lang w:val="es-UY" w:eastAsia="es-UY"/>
        </w:rPr>
        <w:t>Pedro Trigo</w:t>
      </w:r>
    </w:p>
    <w:p w:rsidR="00F60144" w:rsidRPr="00F60144" w:rsidRDefault="00F60144" w:rsidP="00F6014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F60144">
        <w:rPr>
          <w:rFonts w:ascii="Arial" w:eastAsia="Times New Roman" w:hAnsi="Arial" w:cs="Arial"/>
          <w:b/>
          <w:bCs/>
          <w:color w:val="474747"/>
          <w:sz w:val="26"/>
          <w:szCs w:val="26"/>
          <w:lang w:val="es-UY" w:eastAsia="es-UY"/>
        </w:rPr>
        <w:t>El grito del pueblo que sufre</w:t>
      </w:r>
    </w:p>
    <w:p w:rsidR="00F60144" w:rsidRPr="00F60144" w:rsidRDefault="00F60144" w:rsidP="00F60144">
      <w:pPr>
        <w:shd w:val="clear" w:color="auto" w:fill="FFFFFF"/>
        <w:spacing w:after="465" w:line="300" w:lineRule="atLeast"/>
        <w:jc w:val="both"/>
        <w:rPr>
          <w:rFonts w:ascii="Arial" w:eastAsia="Times New Roman" w:hAnsi="Arial" w:cs="Arial"/>
          <w:color w:val="333333"/>
          <w:sz w:val="24"/>
          <w:szCs w:val="24"/>
          <w:lang w:val="es-UY" w:eastAsia="es-UY"/>
        </w:rPr>
      </w:pPr>
      <w:r w:rsidRPr="00F60144">
        <w:rPr>
          <w:rFonts w:ascii="Arial" w:eastAsia="Times New Roman" w:hAnsi="Arial" w:cs="Arial"/>
          <w:color w:val="333333"/>
          <w:sz w:val="24"/>
          <w:szCs w:val="24"/>
          <w:lang w:val="es-UY" w:eastAsia="es-UY"/>
        </w:rPr>
        <w:t>La tercera ponencia corrió a cargo del célebre teólogo de la Liberación hispano-venezolano, Pedro Trigo, que disertó sobre 'El pueblo y su cristianismo', para comenzar asegurando que “Puebla reconoce al catolicismo popular como un modo completo de vivir el cristianismo”, a pesar de que a la Conferencia </w:t>
      </w:r>
      <w:r w:rsidRPr="00F60144">
        <w:rPr>
          <w:rFonts w:ascii="Arial" w:eastAsia="Times New Roman" w:hAnsi="Arial" w:cs="Arial"/>
          <w:b/>
          <w:bCs/>
          <w:color w:val="474747"/>
          <w:sz w:val="24"/>
          <w:szCs w:val="24"/>
          <w:lang w:val="es-UY" w:eastAsia="es-UY"/>
        </w:rPr>
        <w:t>“acudieron todos los cardenales de la Curia, para imponer su autoridad”</w:t>
      </w:r>
    </w:p>
    <w:p w:rsidR="00F60144" w:rsidRPr="00F60144" w:rsidRDefault="00F60144" w:rsidP="00F60144">
      <w:pPr>
        <w:shd w:val="clear" w:color="auto" w:fill="FFFFFF"/>
        <w:spacing w:after="465" w:line="300" w:lineRule="atLeast"/>
        <w:jc w:val="both"/>
        <w:rPr>
          <w:rFonts w:ascii="Arial" w:eastAsia="Times New Roman" w:hAnsi="Arial" w:cs="Arial"/>
          <w:color w:val="333333"/>
          <w:sz w:val="24"/>
          <w:szCs w:val="24"/>
          <w:lang w:val="es-UY" w:eastAsia="es-UY"/>
        </w:rPr>
      </w:pPr>
      <w:r w:rsidRPr="00F60144">
        <w:rPr>
          <w:rFonts w:ascii="Arial" w:eastAsia="Times New Roman" w:hAnsi="Arial" w:cs="Arial"/>
          <w:color w:val="333333"/>
          <w:sz w:val="24"/>
          <w:szCs w:val="24"/>
          <w:lang w:val="es-UY" w:eastAsia="es-UY"/>
        </w:rPr>
        <w:t>Según el teólogo jesuita, Puebla también “reconoce el grito de un pueblo que sufre y que demanda justicia y libertad”, y, quizás por eso, “es un compromiso histórico entre tendencias opuestas de obispos presentes”.</w:t>
      </w:r>
    </w:p>
    <w:p w:rsidR="00F60144" w:rsidRPr="00F60144" w:rsidRDefault="00F60144" w:rsidP="00F60144">
      <w:pPr>
        <w:shd w:val="clear" w:color="auto" w:fill="FFFFFF"/>
        <w:spacing w:after="465" w:line="300" w:lineRule="atLeast"/>
        <w:jc w:val="both"/>
        <w:rPr>
          <w:rFonts w:ascii="Arial" w:eastAsia="Times New Roman" w:hAnsi="Arial" w:cs="Arial"/>
          <w:color w:val="333333"/>
          <w:sz w:val="24"/>
          <w:szCs w:val="24"/>
          <w:lang w:val="es-UY" w:eastAsia="es-UY"/>
        </w:rPr>
      </w:pPr>
      <w:r w:rsidRPr="00F60144">
        <w:rPr>
          <w:rFonts w:ascii="Arial" w:eastAsia="Times New Roman" w:hAnsi="Arial" w:cs="Arial"/>
          <w:color w:val="333333"/>
          <w:sz w:val="24"/>
          <w:szCs w:val="24"/>
          <w:lang w:val="es-UY" w:eastAsia="es-UY"/>
        </w:rPr>
        <w:lastRenderedPageBreak/>
        <w:t>Y todo eso a pesar “de las </w:t>
      </w:r>
      <w:r w:rsidRPr="00F60144">
        <w:rPr>
          <w:rFonts w:ascii="Arial" w:eastAsia="Times New Roman" w:hAnsi="Arial" w:cs="Arial"/>
          <w:b/>
          <w:bCs/>
          <w:color w:val="474747"/>
          <w:sz w:val="24"/>
          <w:szCs w:val="24"/>
          <w:lang w:val="es-UY" w:eastAsia="es-UY"/>
        </w:rPr>
        <w:t>calumnias constantes, sospechas represión e, incluso, martiri</w:t>
      </w:r>
      <w:r w:rsidRPr="00F60144">
        <w:rPr>
          <w:rFonts w:ascii="Arial" w:eastAsia="Times New Roman" w:hAnsi="Arial" w:cs="Arial"/>
          <w:color w:val="333333"/>
          <w:sz w:val="24"/>
          <w:szCs w:val="24"/>
          <w:lang w:val="es-UY" w:eastAsia="es-UY"/>
        </w:rPr>
        <w:t>o” de muchos teólogos. Una dinámica que se mantuvo en la Iglesia hasta que llegó el Papa Francisco, con el que “pasó el invierno eclesial”. Ahora, con Bergoglio, “estamos en un tiempo oportuno, es ahorita y hay que aprovecharlo”.</w:t>
      </w:r>
    </w:p>
    <w:p w:rsidR="00F60144" w:rsidRPr="00F60144" w:rsidRDefault="00F60144" w:rsidP="00F60144">
      <w:pPr>
        <w:shd w:val="clear" w:color="auto" w:fill="FFFFFF"/>
        <w:spacing w:after="465" w:line="300" w:lineRule="atLeast"/>
        <w:jc w:val="both"/>
        <w:rPr>
          <w:rFonts w:ascii="Arial" w:eastAsia="Times New Roman" w:hAnsi="Arial" w:cs="Arial"/>
          <w:color w:val="333333"/>
          <w:sz w:val="24"/>
          <w:szCs w:val="24"/>
          <w:lang w:val="es-UY" w:eastAsia="es-UY"/>
        </w:rPr>
      </w:pPr>
      <w:r w:rsidRPr="00F60144">
        <w:rPr>
          <w:rFonts w:ascii="Arial" w:eastAsia="Times New Roman" w:hAnsi="Arial" w:cs="Arial"/>
          <w:color w:val="333333"/>
          <w:sz w:val="24"/>
          <w:szCs w:val="24"/>
          <w:lang w:val="es-UY" w:eastAsia="es-UY"/>
        </w:rPr>
        <w:t>Aprovecharlo, para “volver de la misa a la cena del Señor”, para “denunciar el orden establecido”, para poner en marcha una “</w:t>
      </w:r>
      <w:r w:rsidRPr="00F60144">
        <w:rPr>
          <w:rFonts w:ascii="Arial" w:eastAsia="Times New Roman" w:hAnsi="Arial" w:cs="Arial"/>
          <w:b/>
          <w:bCs/>
          <w:color w:val="474747"/>
          <w:sz w:val="24"/>
          <w:szCs w:val="24"/>
          <w:lang w:val="es-UY" w:eastAsia="es-UY"/>
        </w:rPr>
        <w:t>opción por los pobres que defina nuestra vida en su calidad cristiana</w:t>
      </w:r>
      <w:r w:rsidRPr="00F60144">
        <w:rPr>
          <w:rFonts w:ascii="Arial" w:eastAsia="Times New Roman" w:hAnsi="Arial" w:cs="Arial"/>
          <w:color w:val="333333"/>
          <w:sz w:val="24"/>
          <w:szCs w:val="24"/>
          <w:lang w:val="es-UY" w:eastAsia="es-UY"/>
        </w:rPr>
        <w:t xml:space="preserve">”, para “encarnarnos en el mundo de los pobres como alianza vital”, para promover comunidades, para “entregarle la palabra al pueblo como tradición constituyente en una relación </w:t>
      </w:r>
      <w:proofErr w:type="spellStart"/>
      <w:r w:rsidRPr="00F60144">
        <w:rPr>
          <w:rFonts w:ascii="Arial" w:eastAsia="Times New Roman" w:hAnsi="Arial" w:cs="Arial"/>
          <w:color w:val="333333"/>
          <w:sz w:val="24"/>
          <w:szCs w:val="24"/>
          <w:lang w:val="es-UY" w:eastAsia="es-UY"/>
        </w:rPr>
        <w:t>condiscipular</w:t>
      </w:r>
      <w:proofErr w:type="spellEnd"/>
      <w:r w:rsidRPr="00F60144">
        <w:rPr>
          <w:rFonts w:ascii="Arial" w:eastAsia="Times New Roman" w:hAnsi="Arial" w:cs="Arial"/>
          <w:color w:val="333333"/>
          <w:sz w:val="24"/>
          <w:szCs w:val="24"/>
          <w:lang w:val="es-UY" w:eastAsia="es-UY"/>
        </w:rPr>
        <w:t>” y para que “los pobres con espíritu nos enseñen la interlocución continua con Dios como fuente de personalización”.</w:t>
      </w:r>
    </w:p>
    <w:p w:rsidR="002E2F5B" w:rsidRDefault="00F60144">
      <w:hyperlink r:id="rId10" w:history="1">
        <w:r>
          <w:rPr>
            <w:rStyle w:val="Hipervnculo"/>
          </w:rPr>
          <w:t>https://www.religiondigital.org/america/CardenaPorras-Puebla-coloniales-integrante-latinoamericano-religon-iglesia-grupo-iberoamericano-teologia_0_2116288352.html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330E1"/>
    <w:multiLevelType w:val="multilevel"/>
    <w:tmpl w:val="A2F86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144"/>
    <w:rsid w:val="002E2F5B"/>
    <w:rsid w:val="00F601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A475A"/>
  <w15:chartTrackingRefBased/>
  <w15:docId w15:val="{0A005E8E-901D-4A78-8DA0-01FD264FE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F601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874100">
      <w:bodyDiv w:val="1"/>
      <w:marLeft w:val="0"/>
      <w:marRight w:val="0"/>
      <w:marTop w:val="0"/>
      <w:marBottom w:val="0"/>
      <w:divBdr>
        <w:top w:val="none" w:sz="0" w:space="0" w:color="auto"/>
        <w:left w:val="none" w:sz="0" w:space="0" w:color="auto"/>
        <w:bottom w:val="none" w:sz="0" w:space="0" w:color="auto"/>
        <w:right w:val="none" w:sz="0" w:space="0" w:color="auto"/>
      </w:divBdr>
      <w:divsChild>
        <w:div w:id="704015771">
          <w:marLeft w:val="0"/>
          <w:marRight w:val="0"/>
          <w:marTop w:val="0"/>
          <w:marBottom w:val="0"/>
          <w:divBdr>
            <w:top w:val="none" w:sz="0" w:space="0" w:color="auto"/>
            <w:left w:val="none" w:sz="0" w:space="0" w:color="auto"/>
            <w:bottom w:val="none" w:sz="0" w:space="0" w:color="auto"/>
            <w:right w:val="none" w:sz="0" w:space="0" w:color="auto"/>
          </w:divBdr>
          <w:divsChild>
            <w:div w:id="1297487174">
              <w:marLeft w:val="0"/>
              <w:marRight w:val="0"/>
              <w:marTop w:val="0"/>
              <w:marBottom w:val="600"/>
              <w:divBdr>
                <w:top w:val="none" w:sz="0" w:space="0" w:color="auto"/>
                <w:left w:val="none" w:sz="0" w:space="0" w:color="auto"/>
                <w:bottom w:val="none" w:sz="0" w:space="0" w:color="auto"/>
                <w:right w:val="none" w:sz="0" w:space="0" w:color="auto"/>
              </w:divBdr>
              <w:divsChild>
                <w:div w:id="186594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101234">
          <w:marLeft w:val="0"/>
          <w:marRight w:val="0"/>
          <w:marTop w:val="0"/>
          <w:marBottom w:val="0"/>
          <w:divBdr>
            <w:top w:val="none" w:sz="0" w:space="0" w:color="auto"/>
            <w:left w:val="none" w:sz="0" w:space="0" w:color="auto"/>
            <w:bottom w:val="none" w:sz="0" w:space="0" w:color="auto"/>
            <w:right w:val="none" w:sz="0" w:space="0" w:color="auto"/>
          </w:divBdr>
          <w:divsChild>
            <w:div w:id="1830174075">
              <w:marLeft w:val="0"/>
              <w:marRight w:val="0"/>
              <w:marTop w:val="0"/>
              <w:marBottom w:val="0"/>
              <w:divBdr>
                <w:top w:val="none" w:sz="0" w:space="0" w:color="auto"/>
                <w:left w:val="none" w:sz="0" w:space="0" w:color="auto"/>
                <w:bottom w:val="none" w:sz="0" w:space="0" w:color="auto"/>
                <w:right w:val="none" w:sz="0" w:space="0" w:color="auto"/>
              </w:divBdr>
              <w:divsChild>
                <w:div w:id="1487747590">
                  <w:marLeft w:val="-1275"/>
                  <w:marRight w:val="0"/>
                  <w:marTop w:val="0"/>
                  <w:marBottom w:val="0"/>
                  <w:divBdr>
                    <w:top w:val="none" w:sz="0" w:space="0" w:color="auto"/>
                    <w:left w:val="none" w:sz="0" w:space="0" w:color="auto"/>
                    <w:bottom w:val="none" w:sz="0" w:space="0" w:color="auto"/>
                    <w:right w:val="none" w:sz="0" w:space="0" w:color="auto"/>
                  </w:divBdr>
                </w:div>
                <w:div w:id="211112755">
                  <w:marLeft w:val="0"/>
                  <w:marRight w:val="0"/>
                  <w:marTop w:val="0"/>
                  <w:marBottom w:val="0"/>
                  <w:divBdr>
                    <w:top w:val="none" w:sz="0" w:space="0" w:color="auto"/>
                    <w:left w:val="none" w:sz="0" w:space="0" w:color="auto"/>
                    <w:bottom w:val="none" w:sz="0" w:space="0" w:color="auto"/>
                    <w:right w:val="none" w:sz="0" w:space="0" w:color="auto"/>
                  </w:divBdr>
                  <w:divsChild>
                    <w:div w:id="563834959">
                      <w:marLeft w:val="0"/>
                      <w:marRight w:val="0"/>
                      <w:marTop w:val="0"/>
                      <w:marBottom w:val="0"/>
                      <w:divBdr>
                        <w:top w:val="none" w:sz="0" w:space="0" w:color="auto"/>
                        <w:left w:val="none" w:sz="0" w:space="0" w:color="auto"/>
                        <w:bottom w:val="none" w:sz="0" w:space="0" w:color="auto"/>
                        <w:right w:val="none" w:sz="0" w:space="0" w:color="auto"/>
                      </w:divBdr>
                    </w:div>
                    <w:div w:id="1185627768">
                      <w:marLeft w:val="0"/>
                      <w:marRight w:val="0"/>
                      <w:marTop w:val="0"/>
                      <w:marBottom w:val="0"/>
                      <w:divBdr>
                        <w:top w:val="none" w:sz="0" w:space="0" w:color="auto"/>
                        <w:left w:val="none" w:sz="0" w:space="0" w:color="auto"/>
                        <w:bottom w:val="none" w:sz="0" w:space="0" w:color="auto"/>
                        <w:right w:val="none" w:sz="0" w:space="0" w:color="auto"/>
                      </w:divBdr>
                      <w:divsChild>
                        <w:div w:id="1118377847">
                          <w:marLeft w:val="0"/>
                          <w:marRight w:val="0"/>
                          <w:marTop w:val="0"/>
                          <w:marBottom w:val="450"/>
                          <w:divBdr>
                            <w:top w:val="none" w:sz="0" w:space="0" w:color="auto"/>
                            <w:left w:val="none" w:sz="0" w:space="0" w:color="auto"/>
                            <w:bottom w:val="none" w:sz="0" w:space="0" w:color="auto"/>
                            <w:right w:val="none" w:sz="0" w:space="0" w:color="auto"/>
                          </w:divBdr>
                          <w:divsChild>
                            <w:div w:id="793139325">
                              <w:marLeft w:val="0"/>
                              <w:marRight w:val="0"/>
                              <w:marTop w:val="0"/>
                              <w:marBottom w:val="0"/>
                              <w:divBdr>
                                <w:top w:val="none" w:sz="0" w:space="0" w:color="auto"/>
                                <w:left w:val="none" w:sz="0" w:space="0" w:color="auto"/>
                                <w:bottom w:val="none" w:sz="0" w:space="0" w:color="auto"/>
                                <w:right w:val="none" w:sz="0" w:space="0" w:color="auto"/>
                              </w:divBdr>
                            </w:div>
                          </w:divsChild>
                        </w:div>
                        <w:div w:id="410585566">
                          <w:marLeft w:val="0"/>
                          <w:marRight w:val="0"/>
                          <w:marTop w:val="0"/>
                          <w:marBottom w:val="450"/>
                          <w:divBdr>
                            <w:top w:val="none" w:sz="0" w:space="0" w:color="auto"/>
                            <w:left w:val="none" w:sz="0" w:space="0" w:color="auto"/>
                            <w:bottom w:val="none" w:sz="0" w:space="0" w:color="auto"/>
                            <w:right w:val="none" w:sz="0" w:space="0" w:color="auto"/>
                          </w:divBdr>
                          <w:divsChild>
                            <w:div w:id="847446120">
                              <w:marLeft w:val="0"/>
                              <w:marRight w:val="0"/>
                              <w:marTop w:val="0"/>
                              <w:marBottom w:val="0"/>
                              <w:divBdr>
                                <w:top w:val="none" w:sz="0" w:space="0" w:color="auto"/>
                                <w:left w:val="none" w:sz="0" w:space="0" w:color="auto"/>
                                <w:bottom w:val="none" w:sz="0" w:space="0" w:color="auto"/>
                                <w:right w:val="none" w:sz="0" w:space="0" w:color="auto"/>
                              </w:divBdr>
                            </w:div>
                          </w:divsChild>
                        </w:div>
                        <w:div w:id="40521820">
                          <w:blockQuote w:val="1"/>
                          <w:marLeft w:val="0"/>
                          <w:marRight w:val="0"/>
                          <w:marTop w:val="0"/>
                          <w:marBottom w:val="300"/>
                          <w:divBdr>
                            <w:top w:val="none" w:sz="0" w:space="0" w:color="auto"/>
                            <w:left w:val="none" w:sz="0" w:space="0" w:color="auto"/>
                            <w:bottom w:val="none" w:sz="0" w:space="0" w:color="auto"/>
                            <w:right w:val="none" w:sz="0" w:space="0" w:color="auto"/>
                          </w:divBdr>
                        </w:div>
                        <w:div w:id="1320115245">
                          <w:marLeft w:val="0"/>
                          <w:marRight w:val="0"/>
                          <w:marTop w:val="0"/>
                          <w:marBottom w:val="450"/>
                          <w:divBdr>
                            <w:top w:val="none" w:sz="0" w:space="0" w:color="auto"/>
                            <w:left w:val="none" w:sz="0" w:space="0" w:color="auto"/>
                            <w:bottom w:val="none" w:sz="0" w:space="0" w:color="auto"/>
                            <w:right w:val="none" w:sz="0" w:space="0" w:color="auto"/>
                          </w:divBdr>
                          <w:divsChild>
                            <w:div w:id="177015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nuel_vida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america/CardenaPorras-Puebla-coloniales-integrante-latinoamericano-religon-iglesia-grupo-iberoamericano-teologia_0_2116288352.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1033</Words>
  <Characters>5685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2019-04-30T12:39:00Z</dcterms:created>
  <dcterms:modified xsi:type="dcterms:W3CDTF">2019-04-30T12:41:00Z</dcterms:modified>
</cp:coreProperties>
</file>