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BFD" w:rsidRPr="00B52BFD" w:rsidRDefault="00B52BFD" w:rsidP="00B52BFD">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2"/>
          <w:szCs w:val="32"/>
          <w:lang w:val="es-UY" w:eastAsia="es-UY"/>
        </w:rPr>
      </w:pPr>
      <w:r w:rsidRPr="00B52BFD">
        <w:rPr>
          <w:rFonts w:ascii="Arial" w:eastAsia="Times New Roman" w:hAnsi="Arial" w:cs="Arial"/>
          <w:b/>
          <w:bCs/>
          <w:color w:val="222222"/>
          <w:sz w:val="32"/>
          <w:szCs w:val="32"/>
          <w:lang w:val="es-ES_tradnl" w:eastAsia="es-UY"/>
        </w:rPr>
        <w:t>Pongo ante ti… dos proyectos</w:t>
      </w:r>
    </w:p>
    <w:p w:rsidR="00B52BFD" w:rsidRPr="00B52BFD" w:rsidRDefault="00B52BFD" w:rsidP="00B52BFD">
      <w:pPr>
        <w:shd w:val="clear" w:color="auto" w:fill="FFFFFF"/>
        <w:spacing w:after="0" w:line="240" w:lineRule="auto"/>
        <w:jc w:val="center"/>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right"/>
        <w:rPr>
          <w:rFonts w:ascii="Arial" w:eastAsia="Times New Roman" w:hAnsi="Arial" w:cs="Arial"/>
          <w:color w:val="222222"/>
          <w:sz w:val="24"/>
          <w:szCs w:val="24"/>
          <w:lang w:val="es-UY" w:eastAsia="es-UY"/>
        </w:rPr>
      </w:pPr>
      <w:r w:rsidRPr="00B52BFD">
        <w:rPr>
          <w:rFonts w:ascii="Arial" w:eastAsia="Times New Roman" w:hAnsi="Arial" w:cs="Arial"/>
          <w:i/>
          <w:iCs/>
          <w:color w:val="222222"/>
          <w:sz w:val="24"/>
          <w:szCs w:val="24"/>
          <w:lang w:val="es-ES_tradnl" w:eastAsia="es-UY"/>
        </w:rPr>
        <w:t>Eduardo de la Serna</w:t>
      </w:r>
    </w:p>
    <w:p w:rsidR="00B52BFD" w:rsidRDefault="00B52BFD" w:rsidP="00B52BFD">
      <w:pPr>
        <w:shd w:val="clear" w:color="auto" w:fill="FFFFFF"/>
        <w:spacing w:after="0" w:line="240" w:lineRule="auto"/>
        <w:jc w:val="right"/>
        <w:rPr>
          <w:rFonts w:ascii="Arial" w:eastAsia="Times New Roman" w:hAnsi="Arial" w:cs="Arial"/>
          <w:color w:val="222222"/>
          <w:sz w:val="24"/>
          <w:szCs w:val="24"/>
          <w:lang w:val="es-UY" w:eastAsia="es-UY"/>
        </w:rPr>
      </w:pPr>
    </w:p>
    <w:p w:rsidR="00B52BFD" w:rsidRPr="00B52BFD" w:rsidRDefault="00B52BFD" w:rsidP="00B52BFD">
      <w:pPr>
        <w:shd w:val="clear" w:color="auto" w:fill="FFFFFF"/>
        <w:spacing w:after="0" w:line="240" w:lineRule="auto"/>
        <w:jc w:val="right"/>
        <w:rPr>
          <w:rFonts w:ascii="Arial" w:eastAsia="Times New Roman" w:hAnsi="Arial" w:cs="Arial"/>
          <w:color w:val="222222"/>
          <w:sz w:val="24"/>
          <w:szCs w:val="24"/>
          <w:lang w:val="es-UY" w:eastAsia="es-UY"/>
        </w:rPr>
      </w:pPr>
      <w:r>
        <w:rPr>
          <w:noProof/>
        </w:rPr>
        <w:drawing>
          <wp:inline distT="0" distB="0" distL="0" distR="0" wp14:anchorId="67E8DC66" wp14:editId="5633C7C4">
            <wp:extent cx="5400040" cy="2700020"/>
            <wp:effectExtent l="0" t="0" r="0" b="5080"/>
            <wp:docPr id="1" name="Imagen 1" descr="https://3.bp.blogspot.com/-NiTsbSnaKYQ/XJ0cCNME5lI/AAAAAAAABmw/nuDcD6QlVCcO04p_5-DQa98Uve0a5PrpQCEwYBhgL/s1600/Angel%2By%2Bdemon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NiTsbSnaKYQ/XJ0cCNME5lI/AAAAAAAABmw/nuDcD6QlVCcO04p_5-DQa98Uve0a5PrpQCEwYBhgL/s1600/Angel%2By%2Bdemoni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2700020"/>
                    </a:xfrm>
                    <a:prstGeom prst="rect">
                      <a:avLst/>
                    </a:prstGeom>
                    <a:noFill/>
                    <a:ln>
                      <a:noFill/>
                    </a:ln>
                  </pic:spPr>
                </pic:pic>
              </a:graphicData>
            </a:graphic>
          </wp:inline>
        </w:drawing>
      </w: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right"/>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ES_tradnl" w:eastAsia="es-UY"/>
        </w:rPr>
        <w:t>Dos proyectos están en pugna. Dos caminos. En la Biblia, especialmente en la literatura sapiencial, se hizo frecuente este tema: “</w:t>
      </w:r>
      <w:r w:rsidRPr="00B52BFD">
        <w:rPr>
          <w:rFonts w:ascii="Arial" w:eastAsia="Times New Roman" w:hAnsi="Arial" w:cs="Arial"/>
          <w:i/>
          <w:iCs/>
          <w:color w:val="222222"/>
          <w:sz w:val="24"/>
          <w:szCs w:val="24"/>
          <w:lang w:val="es-ES_tradnl" w:eastAsia="es-UY"/>
        </w:rPr>
        <w:t>pongo ante ti la vida y la muerte</w:t>
      </w:r>
      <w:r w:rsidRPr="00B52BFD">
        <w:rPr>
          <w:rFonts w:ascii="Arial" w:eastAsia="Times New Roman" w:hAnsi="Arial" w:cs="Arial"/>
          <w:color w:val="222222"/>
          <w:sz w:val="24"/>
          <w:szCs w:val="24"/>
          <w:lang w:val="es-ES_tradnl" w:eastAsia="es-UY"/>
        </w:rPr>
        <w:t>” (</w:t>
      </w:r>
      <w:proofErr w:type="spellStart"/>
      <w:r w:rsidRPr="00B52BFD">
        <w:rPr>
          <w:rFonts w:ascii="Arial" w:eastAsia="Times New Roman" w:hAnsi="Arial" w:cs="Arial"/>
          <w:color w:val="222222"/>
          <w:sz w:val="24"/>
          <w:szCs w:val="24"/>
          <w:lang w:val="es-ES_tradnl" w:eastAsia="es-UY"/>
        </w:rPr>
        <w:t>Dt</w:t>
      </w:r>
      <w:proofErr w:type="spellEnd"/>
      <w:r w:rsidRPr="00B52BFD">
        <w:rPr>
          <w:rFonts w:ascii="Arial" w:eastAsia="Times New Roman" w:hAnsi="Arial" w:cs="Arial"/>
          <w:color w:val="222222"/>
          <w:sz w:val="24"/>
          <w:szCs w:val="24"/>
          <w:lang w:val="es-ES_tradnl" w:eastAsia="es-UY"/>
        </w:rPr>
        <w:t xml:space="preserve"> 30), “</w:t>
      </w:r>
      <w:r w:rsidRPr="00B52BFD">
        <w:rPr>
          <w:rFonts w:ascii="Arial" w:eastAsia="Times New Roman" w:hAnsi="Arial" w:cs="Arial"/>
          <w:i/>
          <w:iCs/>
          <w:color w:val="222222"/>
          <w:sz w:val="24"/>
          <w:szCs w:val="24"/>
          <w:lang w:val="es-ES_tradnl" w:eastAsia="es-UY"/>
        </w:rPr>
        <w:t>feliz el que no sigue el camino de los impíos, sino que su senda</w:t>
      </w:r>
      <w:r w:rsidRPr="00B52BFD">
        <w:rPr>
          <w:rFonts w:ascii="Arial" w:eastAsia="Times New Roman" w:hAnsi="Arial" w:cs="Arial"/>
          <w:color w:val="222222"/>
          <w:sz w:val="24"/>
          <w:szCs w:val="24"/>
          <w:lang w:val="es-ES_tradnl" w:eastAsia="es-UY"/>
        </w:rPr>
        <w:t>” (Sal 1), “</w:t>
      </w:r>
      <w:r w:rsidRPr="00B52BFD">
        <w:rPr>
          <w:rFonts w:ascii="Arial" w:eastAsia="Times New Roman" w:hAnsi="Arial" w:cs="Arial"/>
          <w:i/>
          <w:iCs/>
          <w:color w:val="222222"/>
          <w:sz w:val="24"/>
          <w:szCs w:val="24"/>
          <w:lang w:val="es-ES_tradnl" w:eastAsia="es-UY"/>
        </w:rPr>
        <w:t>angosta la puerta y el camino</w:t>
      </w:r>
      <w:r w:rsidRPr="00B52BFD">
        <w:rPr>
          <w:rFonts w:ascii="Arial" w:eastAsia="Times New Roman" w:hAnsi="Arial" w:cs="Arial"/>
          <w:color w:val="222222"/>
          <w:sz w:val="24"/>
          <w:szCs w:val="24"/>
          <w:lang w:val="es-ES_tradnl" w:eastAsia="es-UY"/>
        </w:rPr>
        <w:t>” (Mt 7) … Incluso fue frecuente en los primeros escritos del cristianismo primitivo como la llamada </w:t>
      </w:r>
      <w:proofErr w:type="spellStart"/>
      <w:r w:rsidRPr="00B52BFD">
        <w:rPr>
          <w:rFonts w:ascii="Arial" w:eastAsia="Times New Roman" w:hAnsi="Arial" w:cs="Arial"/>
          <w:i/>
          <w:iCs/>
          <w:color w:val="222222"/>
          <w:sz w:val="24"/>
          <w:szCs w:val="24"/>
          <w:lang w:val="es-ES_tradnl" w:eastAsia="es-UY"/>
        </w:rPr>
        <w:t>Didajé</w:t>
      </w:r>
      <w:proofErr w:type="spellEnd"/>
      <w:r w:rsidRPr="00B52BFD">
        <w:rPr>
          <w:rFonts w:ascii="Arial" w:eastAsia="Times New Roman" w:hAnsi="Arial" w:cs="Arial"/>
          <w:color w:val="222222"/>
          <w:sz w:val="24"/>
          <w:szCs w:val="24"/>
          <w:lang w:val="es-ES_tradnl" w:eastAsia="es-UY"/>
        </w:rPr>
        <w:t> y la </w:t>
      </w:r>
      <w:r w:rsidRPr="00B52BFD">
        <w:rPr>
          <w:rFonts w:ascii="Arial" w:eastAsia="Times New Roman" w:hAnsi="Arial" w:cs="Arial"/>
          <w:i/>
          <w:iCs/>
          <w:color w:val="222222"/>
          <w:sz w:val="24"/>
          <w:szCs w:val="24"/>
          <w:lang w:val="es-ES_tradnl" w:eastAsia="es-UY"/>
        </w:rPr>
        <w:t>carta de Clemente</w:t>
      </w:r>
      <w:r w:rsidRPr="00B52BFD">
        <w:rPr>
          <w:rFonts w:ascii="Arial" w:eastAsia="Times New Roman" w:hAnsi="Arial" w:cs="Arial"/>
          <w:color w:val="222222"/>
          <w:sz w:val="24"/>
          <w:szCs w:val="24"/>
          <w:lang w:val="es-ES_tradnl" w:eastAsia="es-UY"/>
        </w:rPr>
        <w:t>, por ejemplo.</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ES_tradnl" w:eastAsia="es-UY"/>
        </w:rPr>
        <w:t>Metafóricamente es frecuente la imagen de la persona que intenta ser seducida a la vez por un ángel y un demonio, por ejemplo.</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ES_tradnl" w:eastAsia="es-UY"/>
        </w:rPr>
        <w:t>Y señalo que hay dos proyectos en pugna precisamente haciendo referencia a todo esto.</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ES_tradnl" w:eastAsia="es-UY"/>
        </w:rPr>
        <w:t>Todos sabemos que, especialmente en los momentos críticos (aunque no solo en ellos) en algunas personas aflora lo peor del ser humano y en otras aflora lo mejor. Ante una catástrofe aparecen todas las cadenas de solidaridad, de entrega, disponibilidad y hasta de heroísmo, o también los “vivos”, estafadores, aprovechadores, perversos. Basta con pensar momentos dramáticos recientes y todos tendremos, probablemente, imágenes o escenas de ambos grupos humanos.</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ES_tradnl" w:eastAsia="es-UY"/>
        </w:rPr>
        <w:t xml:space="preserve">La publicidad, como aquellos seductores angélicos aludidos, intentará alentar el egoísmo, el individualismo, el “sálvese quien pueda”, por ejemplo. Y aparecerá la “meritocracia”, como ya lo hemos visto. La imagen de lo más negativo del ser humano aparece en la “competencia”, “¿por qué tengo yo que hacer algo por los demás?” (sea jubilaciones, educación o salud pública, impuestos), yo quiero </w:t>
      </w:r>
      <w:r w:rsidRPr="00B52BFD">
        <w:rPr>
          <w:rFonts w:ascii="Arial" w:eastAsia="Times New Roman" w:hAnsi="Arial" w:cs="Arial"/>
          <w:color w:val="222222"/>
          <w:sz w:val="24"/>
          <w:szCs w:val="24"/>
          <w:lang w:val="es-ES_tradnl" w:eastAsia="es-UY"/>
        </w:rPr>
        <w:lastRenderedPageBreak/>
        <w:t>poder comprar, viajar, hacer lo que me venga en gana, si uno no puede, ¿yo qué tengo que ver? En todo caso, a lo sumo, si cada uno es feliz, todos lo serán, se afirma en una filosofía pseudo zen y ciertamente falsa e irreal. El capitalismo mismo, por individualista, está basado en el egoísmo, la codicia, la avaricia, la posesión, la indiferencia (a lo sumo disfrazada de solidaridad en una ocasión puntual… y breve) allí radica su fuerza, su “alma”. La mirada en uno mismo termina, sin embargo, en un problema. Como inconscientemente “</w:t>
      </w:r>
      <w:r w:rsidRPr="00B52BFD">
        <w:rPr>
          <w:rFonts w:ascii="Arial" w:eastAsia="Times New Roman" w:hAnsi="Arial" w:cs="Arial"/>
          <w:i/>
          <w:iCs/>
          <w:color w:val="222222"/>
          <w:sz w:val="24"/>
          <w:szCs w:val="24"/>
          <w:lang w:val="es-ES_tradnl" w:eastAsia="es-UY"/>
        </w:rPr>
        <w:t>el estado soy yo</w:t>
      </w:r>
      <w:r w:rsidRPr="00B52BFD">
        <w:rPr>
          <w:rFonts w:ascii="Arial" w:eastAsia="Times New Roman" w:hAnsi="Arial" w:cs="Arial"/>
          <w:color w:val="222222"/>
          <w:sz w:val="24"/>
          <w:szCs w:val="24"/>
          <w:lang w:val="es-ES_tradnl" w:eastAsia="es-UY"/>
        </w:rPr>
        <w:t>”, el problema es que hay otros más poderosos, ambiciosos, codiciosos, y – habitualmente – inescrupulosos. Y entonces, mi pequeña fiesta termina pisada por los que quieren ser más “</w:t>
      </w:r>
      <w:r w:rsidRPr="00B52BFD">
        <w:rPr>
          <w:rFonts w:ascii="Arial" w:eastAsia="Times New Roman" w:hAnsi="Arial" w:cs="Arial"/>
          <w:i/>
          <w:iCs/>
          <w:color w:val="222222"/>
          <w:sz w:val="24"/>
          <w:szCs w:val="24"/>
          <w:lang w:val="es-ES_tradnl" w:eastAsia="es-UY"/>
        </w:rPr>
        <w:t>rey sol</w:t>
      </w:r>
      <w:r w:rsidRPr="00B52BFD">
        <w:rPr>
          <w:rFonts w:ascii="Arial" w:eastAsia="Times New Roman" w:hAnsi="Arial" w:cs="Arial"/>
          <w:color w:val="222222"/>
          <w:sz w:val="24"/>
          <w:szCs w:val="24"/>
          <w:lang w:val="es-ES_tradnl" w:eastAsia="es-UY"/>
        </w:rPr>
        <w:t>” que yo. Cuando se alentaba el enojo porque los pobres podían viajar, tener computadoras, tener vacaciones, o un auto, o jubilaciones, “yo puedo tener aire acondicionado, ¡ellos no!”, este modelo brillaba en su más patético esplendor. Pero la posibilidad de “tener” (que creen que es “ser”) se reveló cada vez más falaz y escasa.</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ES_tradnl" w:eastAsia="es-UY"/>
        </w:rPr>
        <w:t>Pero hay otro modelo, ya no vertical sino horizontal. Un modelo de solidaridad. Un modelo, debemos reconocerlo, quizás más incómodo, o más perjudicial a mi mirada a mí mismo. Especialmente para los que se creen (real o ficticiamente), más arriba que la media. Ya no se trata de “mi disfrute” sino del “nuestro”, ya no se trata de mí sino del hermano, la hermana. Se trata de buscar que todos (nunca serán todos, pero ese “todos” es la utopía hacia la que se camina) tengan acceso a su / nuestra felicidad. Que “todos” puedan tener trabajo, salud, educación, vacaciones, disfrute de la vida. Sin duda que, si la mirada está en el todos, seguramente “yo” tenga menos que lo que “merezco” por aquello de los “bienes escasos”. Pero “todos” tendrán acceso a lo necesario. Y eso es fiesta de hermanos y hermanas. No se trata del “estado soy yo” sino de “</w:t>
      </w:r>
      <w:r w:rsidRPr="00B52BFD">
        <w:rPr>
          <w:rFonts w:ascii="Arial" w:eastAsia="Times New Roman" w:hAnsi="Arial" w:cs="Arial"/>
          <w:i/>
          <w:iCs/>
          <w:color w:val="222222"/>
          <w:sz w:val="24"/>
          <w:szCs w:val="24"/>
          <w:lang w:val="es-ES_tradnl" w:eastAsia="es-UY"/>
        </w:rPr>
        <w:t>el estado es el otro</w:t>
      </w:r>
      <w:r w:rsidRPr="00B52BFD">
        <w:rPr>
          <w:rFonts w:ascii="Arial" w:eastAsia="Times New Roman" w:hAnsi="Arial" w:cs="Arial"/>
          <w:color w:val="222222"/>
          <w:sz w:val="24"/>
          <w:szCs w:val="24"/>
          <w:lang w:val="es-ES_tradnl" w:eastAsia="es-UY"/>
        </w:rPr>
        <w:t>”. No es “</w:t>
      </w:r>
      <w:r w:rsidRPr="00B52BFD">
        <w:rPr>
          <w:rFonts w:ascii="Arial" w:eastAsia="Times New Roman" w:hAnsi="Arial" w:cs="Arial"/>
          <w:i/>
          <w:iCs/>
          <w:color w:val="222222"/>
          <w:sz w:val="24"/>
          <w:szCs w:val="24"/>
          <w:lang w:val="es-ES_tradnl" w:eastAsia="es-UY"/>
        </w:rPr>
        <w:t>el estado es estar</w:t>
      </w:r>
      <w:r w:rsidRPr="00B52BFD">
        <w:rPr>
          <w:rFonts w:ascii="Arial" w:eastAsia="Times New Roman" w:hAnsi="Arial" w:cs="Arial"/>
          <w:color w:val="222222"/>
          <w:sz w:val="24"/>
          <w:szCs w:val="24"/>
          <w:lang w:val="es-ES_tradnl" w:eastAsia="es-UY"/>
        </w:rPr>
        <w:t>” (sic) sino que el estado es abrazar, el estado es compartir. Nada más ajeno a la meritocracia de los “emprendedores”.</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ES_tradnl" w:eastAsia="es-UY"/>
        </w:rPr>
        <w:t>En el día a día, especialmente en los momentos decisivos (crisis, elecciones) se juegan estos modelos. Aparecerán los seductores de uno y de otro, los que alientan el “miedo” (a cuidar “tu” pequeña – cada vez más pequeña – quintita), el odio (a los otros, especialmente los que están más debajo de la verticalidad: pobres, negros, indígenas, extranjeros) el egoísmo, o – por otro lado – el encuentro, la fiesta, la esperanza. Claro que la tentación nunca será tan explícita. No se dirá “</w:t>
      </w:r>
      <w:proofErr w:type="spellStart"/>
      <w:r w:rsidRPr="00B52BFD">
        <w:rPr>
          <w:rFonts w:ascii="Arial" w:eastAsia="Times New Roman" w:hAnsi="Arial" w:cs="Arial"/>
          <w:color w:val="222222"/>
          <w:sz w:val="24"/>
          <w:szCs w:val="24"/>
          <w:lang w:val="es-ES_tradnl" w:eastAsia="es-UY"/>
        </w:rPr>
        <w:t>desentendete</w:t>
      </w:r>
      <w:proofErr w:type="spellEnd"/>
      <w:r w:rsidRPr="00B52BFD">
        <w:rPr>
          <w:rFonts w:ascii="Arial" w:eastAsia="Times New Roman" w:hAnsi="Arial" w:cs="Arial"/>
          <w:color w:val="222222"/>
          <w:sz w:val="24"/>
          <w:szCs w:val="24"/>
          <w:lang w:val="es-ES_tradnl" w:eastAsia="es-UY"/>
        </w:rPr>
        <w:t xml:space="preserve"> de todos”, “</w:t>
      </w:r>
      <w:proofErr w:type="spellStart"/>
      <w:r w:rsidRPr="00B52BFD">
        <w:rPr>
          <w:rFonts w:ascii="Arial" w:eastAsia="Times New Roman" w:hAnsi="Arial" w:cs="Arial"/>
          <w:color w:val="222222"/>
          <w:sz w:val="24"/>
          <w:szCs w:val="24"/>
          <w:lang w:val="es-ES_tradnl" w:eastAsia="es-UY"/>
        </w:rPr>
        <w:t>aborrecé</w:t>
      </w:r>
      <w:proofErr w:type="spellEnd"/>
      <w:r w:rsidRPr="00B52BFD">
        <w:rPr>
          <w:rFonts w:ascii="Arial" w:eastAsia="Times New Roman" w:hAnsi="Arial" w:cs="Arial"/>
          <w:color w:val="222222"/>
          <w:sz w:val="24"/>
          <w:szCs w:val="24"/>
          <w:lang w:val="es-ES_tradnl" w:eastAsia="es-UY"/>
        </w:rPr>
        <w:t xml:space="preserve"> a los otros” sino que con sonrisa angelical (el diablo “</w:t>
      </w:r>
      <w:r w:rsidRPr="00B52BFD">
        <w:rPr>
          <w:rFonts w:ascii="Arial" w:eastAsia="Times New Roman" w:hAnsi="Arial" w:cs="Arial"/>
          <w:i/>
          <w:iCs/>
          <w:color w:val="222222"/>
          <w:sz w:val="24"/>
          <w:szCs w:val="24"/>
          <w:lang w:val="es-ES_tradnl" w:eastAsia="es-UY"/>
        </w:rPr>
        <w:t>se disfraza de ángel de luz</w:t>
      </w:r>
      <w:r w:rsidRPr="00B52BFD">
        <w:rPr>
          <w:rFonts w:ascii="Arial" w:eastAsia="Times New Roman" w:hAnsi="Arial" w:cs="Arial"/>
          <w:color w:val="222222"/>
          <w:sz w:val="24"/>
          <w:szCs w:val="24"/>
          <w:lang w:val="es-ES_tradnl" w:eastAsia="es-UY"/>
        </w:rPr>
        <w:t xml:space="preserve">”, dice san Pablo, 2 </w:t>
      </w:r>
      <w:proofErr w:type="spellStart"/>
      <w:r w:rsidRPr="00B52BFD">
        <w:rPr>
          <w:rFonts w:ascii="Arial" w:eastAsia="Times New Roman" w:hAnsi="Arial" w:cs="Arial"/>
          <w:color w:val="222222"/>
          <w:sz w:val="24"/>
          <w:szCs w:val="24"/>
          <w:lang w:val="es-ES_tradnl" w:eastAsia="es-UY"/>
        </w:rPr>
        <w:t>Cor</w:t>
      </w:r>
      <w:proofErr w:type="spellEnd"/>
      <w:r w:rsidRPr="00B52BFD">
        <w:rPr>
          <w:rFonts w:ascii="Arial" w:eastAsia="Times New Roman" w:hAnsi="Arial" w:cs="Arial"/>
          <w:color w:val="222222"/>
          <w:sz w:val="24"/>
          <w:szCs w:val="24"/>
          <w:lang w:val="es-ES_tradnl" w:eastAsia="es-UY"/>
        </w:rPr>
        <w:t xml:space="preserve"> 11) te mirará cómplice y simulando ternura, aunque mientras lo hace diga que los pobres no van a la universidad y no tienen derecho a la salud pública ni a buena educación bien remunerada. Si “</w:t>
      </w:r>
      <w:r w:rsidRPr="00B52BFD">
        <w:rPr>
          <w:rFonts w:ascii="Arial" w:eastAsia="Times New Roman" w:hAnsi="Arial" w:cs="Arial"/>
          <w:i/>
          <w:iCs/>
          <w:color w:val="222222"/>
          <w:sz w:val="24"/>
          <w:szCs w:val="24"/>
          <w:lang w:val="es-ES_tradnl" w:eastAsia="es-UY"/>
        </w:rPr>
        <w:t>en la cancha se ven los pingos</w:t>
      </w:r>
      <w:r w:rsidRPr="00B52BFD">
        <w:rPr>
          <w:rFonts w:ascii="Arial" w:eastAsia="Times New Roman" w:hAnsi="Arial" w:cs="Arial"/>
          <w:color w:val="222222"/>
          <w:sz w:val="24"/>
          <w:szCs w:val="24"/>
          <w:lang w:val="es-ES_tradnl" w:eastAsia="es-UY"/>
        </w:rPr>
        <w:t xml:space="preserve">” las actitudes frente a los otros deberían ser </w:t>
      </w:r>
      <w:proofErr w:type="gramStart"/>
      <w:r w:rsidRPr="00B52BFD">
        <w:rPr>
          <w:rFonts w:ascii="Arial" w:eastAsia="Times New Roman" w:hAnsi="Arial" w:cs="Arial"/>
          <w:color w:val="222222"/>
          <w:sz w:val="24"/>
          <w:szCs w:val="24"/>
          <w:lang w:val="es-ES_tradnl" w:eastAsia="es-UY"/>
        </w:rPr>
        <w:t>el test</w:t>
      </w:r>
      <w:proofErr w:type="gramEnd"/>
      <w:r w:rsidRPr="00B52BFD">
        <w:rPr>
          <w:rFonts w:ascii="Arial" w:eastAsia="Times New Roman" w:hAnsi="Arial" w:cs="Arial"/>
          <w:color w:val="222222"/>
          <w:sz w:val="24"/>
          <w:szCs w:val="24"/>
          <w:lang w:val="es-ES_tradnl" w:eastAsia="es-UY"/>
        </w:rPr>
        <w:t xml:space="preserve"> del proyecto. No es lo fundamental tal o cual persona, sino tal o cual proyecto (si una persona perversa invalidara un proyecto hace siglos la Iglesia habría perdido su razón de ser). Es fundamental tenerlo claro, no cuento “yo”, sino “el/la otro/a”, eso es el amor. Eso es lo más parecido al Evangelio.</w:t>
      </w:r>
    </w:p>
    <w:p w:rsidR="00B52BFD" w:rsidRPr="00B52BFD" w:rsidRDefault="00B52BFD" w:rsidP="00B52BFD">
      <w:pPr>
        <w:shd w:val="clear" w:color="auto" w:fill="FFFFFF"/>
        <w:spacing w:after="0" w:line="240" w:lineRule="auto"/>
        <w:jc w:val="both"/>
        <w:rPr>
          <w:rFonts w:ascii="Arial" w:eastAsia="Times New Roman" w:hAnsi="Arial" w:cs="Arial"/>
          <w:color w:val="222222"/>
          <w:sz w:val="24"/>
          <w:szCs w:val="24"/>
          <w:lang w:val="es-UY" w:eastAsia="es-UY"/>
        </w:rPr>
      </w:pPr>
      <w:r w:rsidRPr="00B52BFD">
        <w:rPr>
          <w:rFonts w:ascii="Arial" w:eastAsia="Times New Roman" w:hAnsi="Arial" w:cs="Arial"/>
          <w:color w:val="222222"/>
          <w:sz w:val="24"/>
          <w:szCs w:val="24"/>
          <w:lang w:val="es-UY" w:eastAsia="es-UY"/>
        </w:rPr>
        <w:t> </w:t>
      </w:r>
    </w:p>
    <w:p w:rsidR="00B52BFD" w:rsidRPr="00B52BFD" w:rsidRDefault="00B52BFD" w:rsidP="00B52BFD">
      <w:pPr>
        <w:shd w:val="clear" w:color="auto" w:fill="FFFFFF"/>
        <w:spacing w:after="0" w:line="240" w:lineRule="auto"/>
        <w:jc w:val="both"/>
        <w:rPr>
          <w:rFonts w:ascii="Arial" w:eastAsia="Times New Roman" w:hAnsi="Arial" w:cs="Arial"/>
          <w:color w:val="222222"/>
          <w:sz w:val="20"/>
          <w:szCs w:val="20"/>
          <w:lang w:val="es-UY" w:eastAsia="es-UY"/>
        </w:rPr>
      </w:pPr>
      <w:r w:rsidRPr="00B52BFD">
        <w:rPr>
          <w:rFonts w:ascii="Arial" w:eastAsia="Times New Roman" w:hAnsi="Arial" w:cs="Arial"/>
          <w:color w:val="222222"/>
          <w:sz w:val="20"/>
          <w:szCs w:val="20"/>
          <w:lang w:val="es-ES_tradnl" w:eastAsia="es-UY"/>
        </w:rPr>
        <w:t>dibujo tomado de </w:t>
      </w:r>
      <w:hyperlink r:id="rId5" w:tgtFrame="_blank" w:history="1">
        <w:r w:rsidRPr="00B52BFD">
          <w:rPr>
            <w:rFonts w:ascii="Arial" w:eastAsia="Times New Roman" w:hAnsi="Arial" w:cs="Arial"/>
            <w:color w:val="1155CC"/>
            <w:sz w:val="20"/>
            <w:szCs w:val="20"/>
            <w:u w:val="single"/>
            <w:lang w:val="es-ES_tradnl" w:eastAsia="es-UY"/>
          </w:rPr>
          <w:t>https://es.aleteia.org/2017/10/11/ha-dejado-ya-de-creer-la-iglesia-catolica-en-el-demonio/</w:t>
        </w:r>
      </w:hyperlink>
    </w:p>
    <w:p w:rsidR="002E2F5B" w:rsidRDefault="00B52BFD" w:rsidP="00B52BFD">
      <w:pPr>
        <w:shd w:val="clear" w:color="auto" w:fill="FFFFFF"/>
        <w:spacing w:after="0" w:line="240" w:lineRule="auto"/>
      </w:pPr>
      <w:r w:rsidRPr="00B52BFD">
        <w:rPr>
          <w:rFonts w:ascii="Arial" w:eastAsia="Times New Roman" w:hAnsi="Arial" w:cs="Arial"/>
          <w:color w:val="222222"/>
          <w:sz w:val="24"/>
          <w:szCs w:val="24"/>
          <w:lang w:val="es-UY" w:eastAsia="es-UY"/>
        </w:rPr>
        <w:br/>
        <w:t>Publicado por Blog de Eduardo en </w:t>
      </w:r>
      <w:hyperlink r:id="rId6" w:tgtFrame="_blank" w:history="1">
        <w:r w:rsidRPr="00B52BFD">
          <w:rPr>
            <w:rFonts w:ascii="Arial" w:eastAsia="Times New Roman" w:hAnsi="Arial" w:cs="Arial"/>
            <w:color w:val="1155CC"/>
            <w:sz w:val="24"/>
            <w:szCs w:val="24"/>
            <w:u w:val="single"/>
            <w:lang w:val="es-UY" w:eastAsia="es-UY"/>
          </w:rPr>
          <w:t>2º Blog de Eduardo de la Serna</w:t>
        </w:r>
      </w:hyperlink>
      <w:r w:rsidRPr="00B52BFD">
        <w:rPr>
          <w:rFonts w:ascii="Arial" w:eastAsia="Times New Roman" w:hAnsi="Arial" w:cs="Arial"/>
          <w:color w:val="222222"/>
          <w:sz w:val="24"/>
          <w:szCs w:val="24"/>
          <w:lang w:val="es-UY" w:eastAsia="es-UY"/>
        </w:rPr>
        <w:t> el 3/28/2019 04:11:00 p.m.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FD"/>
    <w:rsid w:val="002E2F5B"/>
    <w:rsid w:val="00B52B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D0DE"/>
  <w15:chartTrackingRefBased/>
  <w15:docId w15:val="{0C4C7150-8F97-4EB2-9557-172A4759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44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3/pongo-ante-ti-dos-proyectos.html" TargetMode="External"/><Relationship Id="rId5" Type="http://schemas.openxmlformats.org/officeDocument/2006/relationships/hyperlink" Target="https://es.aleteia.org/2017/10/11/ha-dejado-ya-de-creer-la-iglesia-catolica-en-el-demoni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813</Words>
  <Characters>4474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2019-03-29T13:55:00Z</dcterms:created>
  <dcterms:modified xsi:type="dcterms:W3CDTF">2019-03-29T13:57:00Z</dcterms:modified>
</cp:coreProperties>
</file>