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2B8" w:rsidRPr="007D12B8" w:rsidRDefault="007D12B8" w:rsidP="007D12B8">
      <w:pPr>
        <w:spacing w:after="300" w:line="276" w:lineRule="auto"/>
        <w:jc w:val="center"/>
        <w:outlineLvl w:val="0"/>
        <w:rPr>
          <w:rFonts w:ascii="Arial Narrow" w:eastAsia="Times New Roman" w:hAnsi="Arial Narrow" w:cs="Times New Roman"/>
          <w:b/>
          <w:bCs/>
          <w:kern w:val="36"/>
          <w:sz w:val="28"/>
          <w:szCs w:val="28"/>
          <w:lang w:eastAsia="es-UY"/>
        </w:rPr>
      </w:pPr>
      <w:bookmarkStart w:id="0" w:name="_GoBack"/>
      <w:bookmarkEnd w:id="0"/>
      <w:r w:rsidRPr="007D12B8">
        <w:rPr>
          <w:rFonts w:ascii="Arial Narrow" w:eastAsia="Times New Roman" w:hAnsi="Arial Narrow" w:cs="Times New Roman"/>
          <w:b/>
          <w:bCs/>
          <w:kern w:val="36"/>
          <w:sz w:val="28"/>
          <w:szCs w:val="28"/>
          <w:lang w:eastAsia="es-UY"/>
        </w:rPr>
        <w:t>La fortuna de los milmillonarios creció a un ritmo de 2500 millones de dólares al día el año pasado, mientras que la mitad más pobre de la población mundial se empobreció aún más</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Publicado: </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21 enero 2019</w:t>
      </w:r>
    </w:p>
    <w:p w:rsidR="007D12B8" w:rsidRDefault="007D12B8" w:rsidP="007D12B8">
      <w:pPr>
        <w:spacing w:after="0" w:line="276" w:lineRule="auto"/>
        <w:jc w:val="both"/>
        <w:rPr>
          <w:rFonts w:ascii="Arial Narrow" w:eastAsia="Times New Roman" w:hAnsi="Arial Narrow" w:cs="Times New Roman"/>
          <w:sz w:val="24"/>
          <w:szCs w:val="24"/>
          <w:lang w:eastAsia="es-UY"/>
        </w:rPr>
      </w:pPr>
    </w:p>
    <w:p w:rsidR="007D12B8" w:rsidRDefault="007D12B8" w:rsidP="007D12B8">
      <w:pPr>
        <w:spacing w:after="0" w:line="276" w:lineRule="auto"/>
        <w:jc w:val="both"/>
        <w:rPr>
          <w:rFonts w:ascii="Arial Narrow" w:eastAsia="Times New Roman" w:hAnsi="Arial Narrow" w:cs="Times New Roman"/>
          <w:sz w:val="24"/>
          <w:szCs w:val="24"/>
          <w:lang w:eastAsia="es-UY"/>
        </w:rPr>
      </w:pP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Un nuevo informe de Oxfam publicado hoy revela que la fortuna de los milmillonarios aumentó en un 12% en el último año, es decir, 2500 millones de dólares diarios, mientras la riqueza de la mitad más pobre de la población mundial, que equivale a 3800 millones de personas, se redujo en un 11%. La publicación del informe coincide con el </w:t>
      </w:r>
      <w:hyperlink r:id="rId5" w:history="1">
        <w:r w:rsidRPr="007D12B8">
          <w:rPr>
            <w:rFonts w:ascii="Arial Narrow" w:eastAsia="Times New Roman" w:hAnsi="Arial Narrow" w:cs="Times New Roman"/>
            <w:sz w:val="24"/>
            <w:szCs w:val="24"/>
            <w:u w:val="single"/>
            <w:lang w:eastAsia="es-UY"/>
          </w:rPr>
          <w:t>Foro Económico Mundial de Davos</w:t>
        </w:r>
      </w:hyperlink>
      <w:r w:rsidRPr="007D12B8">
        <w:rPr>
          <w:rFonts w:ascii="Arial Narrow" w:eastAsia="Times New Roman" w:hAnsi="Arial Narrow" w:cs="Times New Roman"/>
          <w:sz w:val="24"/>
          <w:szCs w:val="24"/>
          <w:lang w:eastAsia="es-UY"/>
        </w:rPr>
        <w:t>, en Suiza, donde se reúnen los líderes políticos y económicos.</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El informe, titulado '</w:t>
      </w:r>
      <w:hyperlink r:id="rId6" w:history="1">
        <w:r w:rsidRPr="007D12B8">
          <w:rPr>
            <w:rFonts w:ascii="Arial Narrow" w:eastAsia="Times New Roman" w:hAnsi="Arial Narrow" w:cs="Times New Roman"/>
            <w:sz w:val="24"/>
            <w:szCs w:val="24"/>
            <w:u w:val="single"/>
            <w:lang w:eastAsia="es-UY"/>
          </w:rPr>
          <w:t>Bienestar público o beneficio privado</w:t>
        </w:r>
      </w:hyperlink>
      <w:r w:rsidRPr="007D12B8">
        <w:rPr>
          <w:rFonts w:ascii="Arial Narrow" w:eastAsia="Times New Roman" w:hAnsi="Arial Narrow" w:cs="Times New Roman"/>
          <w:sz w:val="24"/>
          <w:szCs w:val="24"/>
          <w:lang w:eastAsia="es-UY"/>
        </w:rPr>
        <w:t>', muestra cómo la creciente brecha entre las personas ricas y pobres está poniendo en peligro la lucha contra la pobreza, perjudicando nuestras economías y alimentando la indignación de las ciudadanas y ciudadanos en todo el mundo. A su vez, revela cómo los Gobiernos están exacerbando la desigualdad al no dotar los servicios públicos, como la educación y la salud, de la financiación necesaria, al conceder beneficios fiscales a las grandes empresas y las personas más ricas, y al no frenar la elusión fiscal. El informe también constata que la creciente desigualdad económica afecta especialmente a las mujeres y las niñas.</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El informe revela que, a pesar de que el número de milmillonarios prácticamente se ha duplicado desde el inicio de la crisis económica (entre los años 2017 y 2018 surgía un nuevo milmillonario cada dos días), las élites económicas y las grandes empresas tributan a los tipos impositivos más bajos de las últimas décadas.</w:t>
      </w:r>
    </w:p>
    <w:p w:rsidR="007D12B8" w:rsidRPr="007D12B8" w:rsidRDefault="007D12B8" w:rsidP="007D12B8">
      <w:pPr>
        <w:numPr>
          <w:ilvl w:val="0"/>
          <w:numId w:val="1"/>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Si el 1% más rico pagase solo un 0,5% más de impuestos sobre su riqueza, podría recaudarse más dinero del necesario para escolarizar a los 262 millones de niñas y niños que actualmente no tienen acceso a la educación, y proporcionar asistencia médica que podría salvar la vida de 3,3 millones de personas.</w:t>
      </w:r>
    </w:p>
    <w:p w:rsidR="007D12B8" w:rsidRPr="007D12B8" w:rsidRDefault="007D12B8" w:rsidP="007D12B8">
      <w:pPr>
        <w:numPr>
          <w:ilvl w:val="0"/>
          <w:numId w:val="1"/>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En 2015, tan solo cuatro centavos de cada dólar recaudado a través de impuestos correspondían a impuestos sobre la riqueza, como el impuesto sobre sucesiones o sobre la propiedad. Estos tipos de impuestos se han reducido o incluso eliminado en un gran número de países ricos y apenas se aplican en los países en desarrollo.</w:t>
      </w:r>
    </w:p>
    <w:p w:rsidR="007D12B8" w:rsidRPr="007D12B8" w:rsidRDefault="007D12B8" w:rsidP="007D12B8">
      <w:pPr>
        <w:numPr>
          <w:ilvl w:val="0"/>
          <w:numId w:val="1"/>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También se han reducido drásticamente los tipos impositivos aplicables a las grandes empresas y a las grandes fortunas. Por ejemplo, en los países ricos, el tipo marginal máximo en el impuesto sobre la renta personal se ha reducido, pasando del 62% en 1970 al 38% en 2013. En los países en desarrollo, el tipo marginal máximo en el impuesto sobre la renta personal se sitúa, en promedio, en el 28%.  </w:t>
      </w:r>
    </w:p>
    <w:p w:rsidR="007D12B8" w:rsidRPr="007D12B8" w:rsidRDefault="007D12B8" w:rsidP="007D12B8">
      <w:pPr>
        <w:numPr>
          <w:ilvl w:val="0"/>
          <w:numId w:val="1"/>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En algunos países, como Brasil, el 10% más pobre de la población dedica al pago de impuestos un porcentaje mayor de sus ingresos que el 10% más rico.</w:t>
      </w:r>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lastRenderedPageBreak/>
        <w:t>El equipo de Oxfam también realizó cálculos para América Latina y el Caribe, donde mientras aumentó la riqueza de los milmillonarios, la pobreza extrema continuó creciendo, alcanzado su nivel más alto desde 2008 y afectando a 62 millones de personas (10,2% de la población):</w:t>
      </w:r>
    </w:p>
    <w:p w:rsidR="007D12B8" w:rsidRPr="007D12B8" w:rsidRDefault="007D12B8" w:rsidP="007D12B8">
      <w:pPr>
        <w:numPr>
          <w:ilvl w:val="0"/>
          <w:numId w:val="2"/>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La fortuna de los milmillonarios aumentó en un 10% en el último año, es decir, 36 000 millones de dólares, mientras el 20% más pobre de la población, que equivale a 130 millones de personas, vio aumentar sus deudas. </w:t>
      </w:r>
    </w:p>
    <w:p w:rsidR="007D12B8" w:rsidRPr="007D12B8" w:rsidRDefault="007D12B8" w:rsidP="007D12B8">
      <w:pPr>
        <w:numPr>
          <w:ilvl w:val="0"/>
          <w:numId w:val="2"/>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La fortuna acumulada de los milmillonarios asciende a 414 000 millones de dólares, un monto mayor al PIB de casi todos los países de la región, excepto Brasil, México y Argentina. </w:t>
      </w:r>
    </w:p>
    <w:p w:rsidR="007D12B8" w:rsidRPr="007D12B8" w:rsidRDefault="007D12B8" w:rsidP="007D12B8">
      <w:pPr>
        <w:numPr>
          <w:ilvl w:val="0"/>
          <w:numId w:val="2"/>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El 10% de los más ricos paga solo un 4,8% de impuesto sobre la renta, aunque debería pagar en promedio un 28%. </w:t>
      </w:r>
    </w:p>
    <w:p w:rsidR="007D12B8" w:rsidRPr="007D12B8" w:rsidRDefault="007D12B8" w:rsidP="007D12B8">
      <w:pPr>
        <w:numPr>
          <w:ilvl w:val="0"/>
          <w:numId w:val="2"/>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Con el dinero que las empresas dejan de pagar cada año por beneficios fiscales en el impuesto sobre la renta, se podría contratar a 93 000 médicos en Guatemala o 349 000 en Brasil, construir 120 000 viviendas en República Dominicana o 70 000 en Paraguay, y contratar a 94 000 docentes en Bolivia o 41 000 en El Salvador. </w:t>
      </w:r>
    </w:p>
    <w:p w:rsidR="007D12B8" w:rsidRPr="007D12B8" w:rsidRDefault="007D12B8" w:rsidP="007D12B8">
      <w:pPr>
        <w:numPr>
          <w:ilvl w:val="0"/>
          <w:numId w:val="2"/>
        </w:numPr>
        <w:spacing w:after="20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Las mujeres dedican 38 horas semanales al trabajo de cuidados no remunerado, mientras los hombres dedican 16 horas. En comunidades rurales de Colombia, las mujeres dedican en promedio 14 horas diarias a cuidar de sus familiares.</w:t>
      </w:r>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xml:space="preserve">Winnie </w:t>
      </w:r>
      <w:proofErr w:type="spellStart"/>
      <w:r w:rsidRPr="007D12B8">
        <w:rPr>
          <w:rFonts w:ascii="Arial Narrow" w:eastAsia="Times New Roman" w:hAnsi="Arial Narrow" w:cs="Times New Roman"/>
          <w:sz w:val="24"/>
          <w:szCs w:val="24"/>
          <w:lang w:eastAsia="es-UY"/>
        </w:rPr>
        <w:t>Byanyima</w:t>
      </w:r>
      <w:proofErr w:type="spellEnd"/>
      <w:r w:rsidRPr="007D12B8">
        <w:rPr>
          <w:rFonts w:ascii="Arial Narrow" w:eastAsia="Times New Roman" w:hAnsi="Arial Narrow" w:cs="Times New Roman"/>
          <w:sz w:val="24"/>
          <w:szCs w:val="24"/>
          <w:lang w:eastAsia="es-UY"/>
        </w:rPr>
        <w:t>, directora ejecutiva de Oxfam Internacional, ha señalado:</w:t>
      </w:r>
      <w:r w:rsidRPr="007D12B8">
        <w:rPr>
          <w:rFonts w:ascii="Arial Narrow" w:eastAsia="Times New Roman" w:hAnsi="Arial Narrow" w:cs="Times New Roman"/>
          <w:sz w:val="24"/>
          <w:szCs w:val="24"/>
          <w:lang w:eastAsia="es-UY"/>
        </w:rPr>
        <w:br/>
        <w:t> </w:t>
      </w:r>
      <w:r w:rsidRPr="007D12B8">
        <w:rPr>
          <w:rFonts w:ascii="Arial Narrow" w:eastAsia="Times New Roman" w:hAnsi="Arial Narrow" w:cs="Times New Roman"/>
          <w:sz w:val="24"/>
          <w:szCs w:val="24"/>
          <w:lang w:eastAsia="es-UY"/>
        </w:rPr>
        <w:br/>
      </w:r>
      <w:r w:rsidRPr="007D12B8">
        <w:rPr>
          <w:rFonts w:ascii="Arial Narrow" w:eastAsia="Times New Roman" w:hAnsi="Arial Narrow" w:cs="Times New Roman"/>
          <w:i/>
          <w:iCs/>
          <w:sz w:val="24"/>
          <w:szCs w:val="24"/>
          <w:lang w:eastAsia="es-UY"/>
        </w:rPr>
        <w:t>"El tamaño de tu cuenta bancaria no debería determinar los años que permaneces en la escuela ni cuál es tu esperanza de vida. Lamentablemente, esto es una realidad en demasiados países del mundo. Las grandes empresas y los súper ricos disfrutan de bajas facturas fiscales mientras a millones de niñas se les niega su derecho a la educación y muchas mujeres pierden la vida por la falta de acceso a servicios de atención materna".</w:t>
      </w:r>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El informe también señala que los servicios públicos sufren un déficit crónico de financiación o se subcontratan a empresas privadas que excluyen a las personas más pobres. En muchos países, los servicios de educación o salud de calidad se han convertido en un lujo que solo se pueden permitir las personas ricas. Cada día mueren 10 000 personas por no poder pagar la atención sanitaria. En los países en desarrollo, una niña o niño de una familia pobre tiene dos veces más probabilidades de morir antes de alcanzar los 5 años que una niña o niño de una familia rica. En países como Kenia, una niña o niño de una familia rica estudia, en promedio, el doble de años que una niña o niño de una familia pobre.</w:t>
      </w:r>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xml:space="preserve">Las bajadas de los tipos impositivos en el impuesto sobre la riqueza benefician sobre todo a los hombres, quienes poseen un 50% más de riqueza que las mujeres a nivel global y controlan más del 86% de las grandes empresas. En cambio, cuando se descuidan los servicios públicos, son las mujeres y las niñas en situación de pobreza las que más sufren las consecuencias. Por ejemplo, las mujeres dedican horas no remuneradas para cuidar de sus familiares enfermos </w:t>
      </w:r>
      <w:r w:rsidRPr="007D12B8">
        <w:rPr>
          <w:rFonts w:ascii="Arial Narrow" w:eastAsia="Times New Roman" w:hAnsi="Arial Narrow" w:cs="Times New Roman"/>
          <w:sz w:val="24"/>
          <w:szCs w:val="24"/>
          <w:lang w:eastAsia="es-UY"/>
        </w:rPr>
        <w:lastRenderedPageBreak/>
        <w:t>cuando los servicios públicos de salud fallan. Oxfam estima que, si una única empresa se encargase de realizar el trabajo de cuidados no remunerado que llevan a cabo las mujeres de todo el mundo, su facturación anual ascendería a 10 billones de dólares, 43 veces más que la de Apple, la mayor empresa del mundo.</w:t>
      </w:r>
      <w:r w:rsidRPr="007D12B8">
        <w:rPr>
          <w:rFonts w:ascii="Arial Narrow" w:eastAsia="Times New Roman" w:hAnsi="Arial Narrow" w:cs="Times New Roman"/>
          <w:sz w:val="24"/>
          <w:szCs w:val="24"/>
          <w:lang w:eastAsia="es-UY"/>
        </w:rPr>
        <w:br/>
        <w:t> </w:t>
      </w:r>
      <w:r w:rsidRPr="007D12B8">
        <w:rPr>
          <w:rFonts w:ascii="Arial Narrow" w:eastAsia="Times New Roman" w:hAnsi="Arial Narrow" w:cs="Times New Roman"/>
          <w:sz w:val="24"/>
          <w:szCs w:val="24"/>
          <w:lang w:eastAsia="es-UY"/>
        </w:rPr>
        <w:br/>
        <w:t>"</w:t>
      </w:r>
      <w:r w:rsidRPr="007D12B8">
        <w:rPr>
          <w:rFonts w:ascii="Arial Narrow" w:eastAsia="Times New Roman" w:hAnsi="Arial Narrow" w:cs="Times New Roman"/>
          <w:i/>
          <w:iCs/>
          <w:sz w:val="24"/>
          <w:szCs w:val="24"/>
          <w:lang w:eastAsia="es-UY"/>
        </w:rPr>
        <w:t>En todo el mundo hay cada vez más personas que se sienten frustradas y enfadadas. Los Gobiernos deberían actuar inmediatamente para lograr cambios reales asegurándose de que las grandes empresas y las personas más ricas paguen los impuestos que les corresponden justamente, e invirtiendo este dinero en servicios gratuitos de educación y salud que satisfagan las necesidades de toda la población, incluidas las mujeres y las niñas, que se ignoran con demasiada frecuencia. Los Gobiernos pueden construir un futuro más prometedor para todas las personas y no solo para una minoría privilegiada</w:t>
      </w:r>
      <w:r w:rsidRPr="007D12B8">
        <w:rPr>
          <w:rFonts w:ascii="Arial Narrow" w:eastAsia="Times New Roman" w:hAnsi="Arial Narrow" w:cs="Times New Roman"/>
          <w:sz w:val="24"/>
          <w:szCs w:val="24"/>
          <w:lang w:eastAsia="es-UY"/>
        </w:rPr>
        <w:t xml:space="preserve">", añade </w:t>
      </w:r>
      <w:proofErr w:type="spellStart"/>
      <w:r w:rsidRPr="007D12B8">
        <w:rPr>
          <w:rFonts w:ascii="Arial Narrow" w:eastAsia="Times New Roman" w:hAnsi="Arial Narrow" w:cs="Times New Roman"/>
          <w:sz w:val="24"/>
          <w:szCs w:val="24"/>
          <w:lang w:eastAsia="es-UY"/>
        </w:rPr>
        <w:t>Byanyima</w:t>
      </w:r>
      <w:proofErr w:type="spellEnd"/>
      <w:r w:rsidRPr="007D12B8">
        <w:rPr>
          <w:rFonts w:ascii="Arial Narrow" w:eastAsia="Times New Roman" w:hAnsi="Arial Narrow" w:cs="Times New Roman"/>
          <w:sz w:val="24"/>
          <w:szCs w:val="24"/>
          <w:lang w:eastAsia="es-UY"/>
        </w:rPr>
        <w:t>.</w:t>
      </w:r>
    </w:p>
    <w:p w:rsidR="007D12B8" w:rsidRPr="007D12B8" w:rsidRDefault="007D12B8" w:rsidP="007D12B8">
      <w:pPr>
        <w:pBdr>
          <w:bottom w:val="single" w:sz="12" w:space="0" w:color="0C884A"/>
        </w:pBdr>
        <w:spacing w:before="257" w:after="257" w:line="276" w:lineRule="auto"/>
        <w:jc w:val="both"/>
        <w:outlineLvl w:val="1"/>
        <w:rPr>
          <w:rFonts w:ascii="Arial Narrow" w:eastAsia="Times New Roman" w:hAnsi="Arial Narrow" w:cs="Times New Roman"/>
          <w:b/>
          <w:bCs/>
          <w:sz w:val="24"/>
          <w:szCs w:val="24"/>
          <w:lang w:eastAsia="es-UY"/>
        </w:rPr>
      </w:pPr>
      <w:r w:rsidRPr="007D12B8">
        <w:rPr>
          <w:rFonts w:ascii="Arial Narrow" w:eastAsia="Times New Roman" w:hAnsi="Arial Narrow" w:cs="Times New Roman"/>
          <w:b/>
          <w:bCs/>
          <w:sz w:val="24"/>
          <w:szCs w:val="24"/>
          <w:lang w:eastAsia="es-UY"/>
        </w:rPr>
        <w:t>Notas a los editores</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El informe, la nota metodológica que explica cómo Oxfam ha realizado los cálculos y los datos están disponibles </w:t>
      </w:r>
      <w:hyperlink r:id="rId7" w:history="1">
        <w:r w:rsidRPr="007D12B8">
          <w:rPr>
            <w:rFonts w:ascii="Arial Narrow" w:eastAsia="Times New Roman" w:hAnsi="Arial Narrow" w:cs="Times New Roman"/>
            <w:sz w:val="24"/>
            <w:szCs w:val="24"/>
            <w:u w:val="single"/>
            <w:lang w:eastAsia="es-UY"/>
          </w:rPr>
          <w:t>aquí</w:t>
        </w:r>
      </w:hyperlink>
      <w:r w:rsidRPr="007D12B8">
        <w:rPr>
          <w:rFonts w:ascii="Arial Narrow" w:eastAsia="Times New Roman" w:hAnsi="Arial Narrow" w:cs="Times New Roman"/>
          <w:sz w:val="24"/>
          <w:szCs w:val="24"/>
          <w:lang w:eastAsia="es-UY"/>
        </w:rPr>
        <w:t>.</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xml:space="preserve">Los cálculos de Oxfam se basan en las fuentes de datos más completas y actualizadas que hay disponibles. Las cifras relacionadas con el porcentaje de riqueza que está en manos de la mitad más pobre de la humanidad proceden de la base de datos sobre riqueza mundial de </w:t>
      </w:r>
      <w:proofErr w:type="spellStart"/>
      <w:r w:rsidRPr="007D12B8">
        <w:rPr>
          <w:rFonts w:ascii="Arial Narrow" w:eastAsia="Times New Roman" w:hAnsi="Arial Narrow" w:cs="Times New Roman"/>
          <w:sz w:val="24"/>
          <w:szCs w:val="24"/>
          <w:lang w:eastAsia="es-UY"/>
        </w:rPr>
        <w:t>Credit</w:t>
      </w:r>
      <w:proofErr w:type="spellEnd"/>
      <w:r w:rsidRPr="007D12B8">
        <w:rPr>
          <w:rFonts w:ascii="Arial Narrow" w:eastAsia="Times New Roman" w:hAnsi="Arial Narrow" w:cs="Times New Roman"/>
          <w:sz w:val="24"/>
          <w:szCs w:val="24"/>
          <w:lang w:eastAsia="es-UY"/>
        </w:rPr>
        <w:t xml:space="preserve"> </w:t>
      </w:r>
      <w:proofErr w:type="spellStart"/>
      <w:r w:rsidRPr="007D12B8">
        <w:rPr>
          <w:rFonts w:ascii="Arial Narrow" w:eastAsia="Times New Roman" w:hAnsi="Arial Narrow" w:cs="Times New Roman"/>
          <w:sz w:val="24"/>
          <w:szCs w:val="24"/>
          <w:lang w:eastAsia="es-UY"/>
        </w:rPr>
        <w:t>Suisse</w:t>
      </w:r>
      <w:proofErr w:type="spellEnd"/>
      <w:r w:rsidRPr="007D12B8">
        <w:rPr>
          <w:rFonts w:ascii="Arial Narrow" w:eastAsia="Times New Roman" w:hAnsi="Arial Narrow" w:cs="Times New Roman"/>
          <w:sz w:val="24"/>
          <w:szCs w:val="24"/>
          <w:lang w:eastAsia="es-UY"/>
        </w:rPr>
        <w:t xml:space="preserve"> y se refieren al período comprendido entre junio de 2017 y junio de 2018. Las cifras en relación con las personas más ricas se basan en datos más completos que proceden de la lista anual de milmillonarios de </w:t>
      </w:r>
      <w:r w:rsidRPr="007D12B8">
        <w:rPr>
          <w:rFonts w:ascii="Arial Narrow" w:eastAsia="Times New Roman" w:hAnsi="Arial Narrow" w:cs="Times New Roman"/>
          <w:i/>
          <w:iCs/>
          <w:sz w:val="24"/>
          <w:szCs w:val="24"/>
          <w:lang w:eastAsia="es-UY"/>
        </w:rPr>
        <w:t>Forbes</w:t>
      </w:r>
      <w:r w:rsidRPr="007D12B8">
        <w:rPr>
          <w:rFonts w:ascii="Arial Narrow" w:eastAsia="Times New Roman" w:hAnsi="Arial Narrow" w:cs="Times New Roman"/>
          <w:sz w:val="24"/>
          <w:szCs w:val="24"/>
          <w:lang w:eastAsia="es-UY"/>
        </w:rPr>
        <w:t> para el período comprendido entre Marzo de 2017 y Marzo de 2018.</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w:t>
      </w:r>
    </w:p>
    <w:p w:rsidR="007D12B8" w:rsidRPr="007D12B8" w:rsidRDefault="007D12B8" w:rsidP="007D12B8">
      <w:pPr>
        <w:spacing w:after="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Oxfam se enorgullece de formar parte de la </w:t>
      </w:r>
      <w:proofErr w:type="spellStart"/>
      <w:r w:rsidRPr="007D12B8">
        <w:rPr>
          <w:rFonts w:ascii="Arial Narrow" w:eastAsia="Times New Roman" w:hAnsi="Arial Narrow" w:cs="Times New Roman"/>
          <w:sz w:val="24"/>
          <w:szCs w:val="24"/>
          <w:lang w:eastAsia="es-UY"/>
        </w:rPr>
        <w:fldChar w:fldCharType="begin"/>
      </w:r>
      <w:r w:rsidRPr="007D12B8">
        <w:rPr>
          <w:rFonts w:ascii="Arial Narrow" w:eastAsia="Times New Roman" w:hAnsi="Arial Narrow" w:cs="Times New Roman"/>
          <w:sz w:val="24"/>
          <w:szCs w:val="24"/>
          <w:lang w:eastAsia="es-UY"/>
        </w:rPr>
        <w:instrText xml:space="preserve"> HYPERLINK "http://www.fightinequality.org/" </w:instrText>
      </w:r>
      <w:r w:rsidRPr="007D12B8">
        <w:rPr>
          <w:rFonts w:ascii="Arial Narrow" w:eastAsia="Times New Roman" w:hAnsi="Arial Narrow" w:cs="Times New Roman"/>
          <w:sz w:val="24"/>
          <w:szCs w:val="24"/>
          <w:lang w:eastAsia="es-UY"/>
        </w:rPr>
        <w:fldChar w:fldCharType="separate"/>
      </w:r>
      <w:r w:rsidRPr="007D12B8">
        <w:rPr>
          <w:rFonts w:ascii="Arial Narrow" w:eastAsia="Times New Roman" w:hAnsi="Arial Narrow" w:cs="Times New Roman"/>
          <w:sz w:val="24"/>
          <w:szCs w:val="24"/>
          <w:u w:val="single"/>
          <w:lang w:eastAsia="es-UY"/>
        </w:rPr>
        <w:t>Fight</w:t>
      </w:r>
      <w:proofErr w:type="spellEnd"/>
      <w:r w:rsidRPr="007D12B8">
        <w:rPr>
          <w:rFonts w:ascii="Arial Narrow" w:eastAsia="Times New Roman" w:hAnsi="Arial Narrow" w:cs="Times New Roman"/>
          <w:sz w:val="24"/>
          <w:szCs w:val="24"/>
          <w:u w:val="single"/>
          <w:lang w:eastAsia="es-UY"/>
        </w:rPr>
        <w:t xml:space="preserve"> </w:t>
      </w:r>
      <w:proofErr w:type="spellStart"/>
      <w:r w:rsidRPr="007D12B8">
        <w:rPr>
          <w:rFonts w:ascii="Arial Narrow" w:eastAsia="Times New Roman" w:hAnsi="Arial Narrow" w:cs="Times New Roman"/>
          <w:sz w:val="24"/>
          <w:szCs w:val="24"/>
          <w:u w:val="single"/>
          <w:lang w:eastAsia="es-UY"/>
        </w:rPr>
        <w:t>Inequality</w:t>
      </w:r>
      <w:proofErr w:type="spellEnd"/>
      <w:r w:rsidRPr="007D12B8">
        <w:rPr>
          <w:rFonts w:ascii="Arial Narrow" w:eastAsia="Times New Roman" w:hAnsi="Arial Narrow" w:cs="Times New Roman"/>
          <w:sz w:val="24"/>
          <w:szCs w:val="24"/>
          <w:u w:val="single"/>
          <w:lang w:eastAsia="es-UY"/>
        </w:rPr>
        <w:t xml:space="preserve"> Alliance</w:t>
      </w:r>
      <w:r w:rsidRPr="007D12B8">
        <w:rPr>
          <w:rFonts w:ascii="Arial Narrow" w:eastAsia="Times New Roman" w:hAnsi="Arial Narrow" w:cs="Times New Roman"/>
          <w:sz w:val="24"/>
          <w:szCs w:val="24"/>
          <w:lang w:eastAsia="es-UY"/>
        </w:rPr>
        <w:fldChar w:fldCharType="end"/>
      </w:r>
      <w:r w:rsidRPr="007D12B8">
        <w:rPr>
          <w:rFonts w:ascii="Arial Narrow" w:eastAsia="Times New Roman" w:hAnsi="Arial Narrow" w:cs="Times New Roman"/>
          <w:sz w:val="24"/>
          <w:szCs w:val="24"/>
          <w:lang w:eastAsia="es-UY"/>
        </w:rPr>
        <w:t>, una coalición compuesta por movimientos sociales, grupos defensores de los derechos de las mujeres y del medio ambiente, sindicatos y organizaciones no gubernamentales. La coalición llevará a cabo eventos en más de 30 países entre el 18 y el 25 de enero, coincidiendo con el Foro Económico Mundial en Davos, con el objetivo de pedir a los líderes que escuchen las peticiones y las soluciones de la ciudadanía para abordar la desigualdad, y no a las élites reunidas en Davos. </w:t>
      </w:r>
    </w:p>
    <w:p w:rsidR="007D12B8" w:rsidRPr="007D12B8" w:rsidRDefault="007D12B8" w:rsidP="007D12B8">
      <w:pPr>
        <w:pBdr>
          <w:bottom w:val="single" w:sz="12" w:space="0" w:color="0C884A"/>
        </w:pBdr>
        <w:spacing w:before="257" w:after="257" w:line="276" w:lineRule="auto"/>
        <w:jc w:val="both"/>
        <w:outlineLvl w:val="1"/>
        <w:rPr>
          <w:rFonts w:ascii="Arial Narrow" w:eastAsia="Times New Roman" w:hAnsi="Arial Narrow" w:cs="Times New Roman"/>
          <w:b/>
          <w:bCs/>
          <w:sz w:val="24"/>
          <w:szCs w:val="24"/>
          <w:lang w:eastAsia="es-UY"/>
        </w:rPr>
      </w:pPr>
      <w:r w:rsidRPr="007D12B8">
        <w:rPr>
          <w:rFonts w:ascii="Arial Narrow" w:eastAsia="Times New Roman" w:hAnsi="Arial Narrow" w:cs="Times New Roman"/>
          <w:b/>
          <w:bCs/>
          <w:sz w:val="24"/>
          <w:szCs w:val="24"/>
          <w:lang w:eastAsia="es-UY"/>
        </w:rPr>
        <w:t>Contacto para medios</w:t>
      </w:r>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 xml:space="preserve">Annie </w:t>
      </w:r>
      <w:proofErr w:type="spellStart"/>
      <w:r w:rsidRPr="007D12B8">
        <w:rPr>
          <w:rFonts w:ascii="Arial Narrow" w:eastAsia="Times New Roman" w:hAnsi="Arial Narrow" w:cs="Times New Roman"/>
          <w:sz w:val="24"/>
          <w:szCs w:val="24"/>
          <w:lang w:eastAsia="es-UY"/>
        </w:rPr>
        <w:t>Thériault</w:t>
      </w:r>
      <w:proofErr w:type="spellEnd"/>
      <w:r w:rsidRPr="007D12B8">
        <w:rPr>
          <w:rFonts w:ascii="Arial Narrow" w:eastAsia="Times New Roman" w:hAnsi="Arial Narrow" w:cs="Times New Roman"/>
          <w:sz w:val="24"/>
          <w:szCs w:val="24"/>
          <w:lang w:eastAsia="es-UY"/>
        </w:rPr>
        <w:t xml:space="preserve"> en Lima, Perú | annie.theriault@oxfam.org | +51 936 307 990 | </w:t>
      </w:r>
      <w:hyperlink r:id="rId8" w:history="1">
        <w:r w:rsidRPr="007D12B8">
          <w:rPr>
            <w:rFonts w:ascii="Arial Narrow" w:eastAsia="Times New Roman" w:hAnsi="Arial Narrow" w:cs="Times New Roman"/>
            <w:sz w:val="24"/>
            <w:szCs w:val="24"/>
            <w:u w:val="single"/>
            <w:lang w:eastAsia="es-UY"/>
          </w:rPr>
          <w:t>@</w:t>
        </w:r>
        <w:proofErr w:type="spellStart"/>
        <w:r w:rsidRPr="007D12B8">
          <w:rPr>
            <w:rFonts w:ascii="Arial Narrow" w:eastAsia="Times New Roman" w:hAnsi="Arial Narrow" w:cs="Times New Roman"/>
            <w:sz w:val="24"/>
            <w:szCs w:val="24"/>
            <w:u w:val="single"/>
            <w:lang w:eastAsia="es-UY"/>
          </w:rPr>
          <w:t>annietheri</w:t>
        </w:r>
        <w:proofErr w:type="spellEnd"/>
      </w:hyperlink>
    </w:p>
    <w:p w:rsidR="007D12B8" w:rsidRPr="007D12B8" w:rsidRDefault="007D12B8" w:rsidP="007D12B8">
      <w:pPr>
        <w:spacing w:before="240" w:after="240" w:line="276" w:lineRule="auto"/>
        <w:jc w:val="both"/>
        <w:rPr>
          <w:rFonts w:ascii="Arial Narrow" w:eastAsia="Times New Roman" w:hAnsi="Arial Narrow" w:cs="Times New Roman"/>
          <w:sz w:val="24"/>
          <w:szCs w:val="24"/>
          <w:lang w:eastAsia="es-UY"/>
        </w:rPr>
      </w:pPr>
      <w:r w:rsidRPr="007D12B8">
        <w:rPr>
          <w:rFonts w:ascii="Arial Narrow" w:eastAsia="Times New Roman" w:hAnsi="Arial Narrow" w:cs="Times New Roman"/>
          <w:sz w:val="24"/>
          <w:szCs w:val="24"/>
          <w:lang w:eastAsia="es-UY"/>
        </w:rPr>
        <w:t>Para actualizaciones, por favor siga </w:t>
      </w:r>
      <w:hyperlink r:id="rId9" w:history="1">
        <w:r w:rsidRPr="007D12B8">
          <w:rPr>
            <w:rFonts w:ascii="Arial Narrow" w:eastAsia="Times New Roman" w:hAnsi="Arial Narrow" w:cs="Times New Roman"/>
            <w:sz w:val="24"/>
            <w:szCs w:val="24"/>
            <w:u w:val="single"/>
            <w:lang w:eastAsia="es-UY"/>
          </w:rPr>
          <w:t>@</w:t>
        </w:r>
        <w:proofErr w:type="spellStart"/>
        <w:r w:rsidRPr="007D12B8">
          <w:rPr>
            <w:rFonts w:ascii="Arial Narrow" w:eastAsia="Times New Roman" w:hAnsi="Arial Narrow" w:cs="Times New Roman"/>
            <w:sz w:val="24"/>
            <w:szCs w:val="24"/>
            <w:u w:val="single"/>
            <w:lang w:eastAsia="es-UY"/>
          </w:rPr>
          <w:t>Oxfam_es</w:t>
        </w:r>
        <w:proofErr w:type="spellEnd"/>
      </w:hyperlink>
      <w:r w:rsidRPr="007D12B8">
        <w:rPr>
          <w:rFonts w:ascii="Arial Narrow" w:eastAsia="Times New Roman" w:hAnsi="Arial Narrow" w:cs="Times New Roman"/>
          <w:sz w:val="24"/>
          <w:szCs w:val="24"/>
          <w:lang w:eastAsia="es-UY"/>
        </w:rPr>
        <w:t> </w:t>
      </w:r>
    </w:p>
    <w:p w:rsidR="007D12B8" w:rsidRPr="007D12B8" w:rsidRDefault="007D12B8" w:rsidP="007D12B8">
      <w:pPr>
        <w:spacing w:after="0" w:line="276" w:lineRule="auto"/>
        <w:jc w:val="both"/>
        <w:rPr>
          <w:rFonts w:ascii="Arial Narrow" w:eastAsia="Times New Roman" w:hAnsi="Arial Narrow" w:cs="Times New Roman"/>
          <w:b/>
          <w:bCs/>
          <w:sz w:val="24"/>
          <w:szCs w:val="24"/>
          <w:lang w:eastAsia="es-UY"/>
        </w:rPr>
      </w:pPr>
      <w:r w:rsidRPr="007D12B8">
        <w:rPr>
          <w:rFonts w:ascii="Arial Narrow" w:eastAsia="Times New Roman" w:hAnsi="Arial Narrow" w:cs="Times New Roman"/>
          <w:b/>
          <w:bCs/>
          <w:sz w:val="24"/>
          <w:szCs w:val="24"/>
          <w:lang w:eastAsia="es-UY"/>
        </w:rPr>
        <w:t>Palabras clave: </w:t>
      </w:r>
    </w:p>
    <w:p w:rsidR="007D12B8" w:rsidRPr="007D12B8" w:rsidRDefault="00655AD8" w:rsidP="007D12B8">
      <w:pPr>
        <w:spacing w:line="276" w:lineRule="auto"/>
        <w:jc w:val="both"/>
        <w:rPr>
          <w:rFonts w:ascii="Arial Narrow" w:eastAsia="Times New Roman" w:hAnsi="Arial Narrow" w:cs="Times New Roman"/>
          <w:sz w:val="24"/>
          <w:szCs w:val="24"/>
          <w:lang w:eastAsia="es-UY"/>
        </w:rPr>
      </w:pPr>
      <w:hyperlink r:id="rId10" w:history="1">
        <w:proofErr w:type="spellStart"/>
        <w:r w:rsidR="007D12B8" w:rsidRPr="007D12B8">
          <w:rPr>
            <w:rFonts w:ascii="Arial Narrow" w:eastAsia="Times New Roman" w:hAnsi="Arial Narrow" w:cs="Times New Roman"/>
            <w:sz w:val="24"/>
            <w:szCs w:val="24"/>
            <w:lang w:eastAsia="es-UY"/>
          </w:rPr>
          <w:t>inequality</w:t>
        </w:r>
      </w:hyperlink>
      <w:hyperlink r:id="rId11" w:history="1">
        <w:r w:rsidR="007D12B8" w:rsidRPr="007D12B8">
          <w:rPr>
            <w:rFonts w:ascii="Arial Narrow" w:eastAsia="Times New Roman" w:hAnsi="Arial Narrow" w:cs="Times New Roman"/>
            <w:sz w:val="24"/>
            <w:szCs w:val="24"/>
            <w:lang w:eastAsia="es-UY"/>
          </w:rPr>
          <w:t>davos</w:t>
        </w:r>
      </w:hyperlink>
      <w:hyperlink r:id="rId12" w:history="1">
        <w:r w:rsidR="007D12B8" w:rsidRPr="007D12B8">
          <w:rPr>
            <w:rFonts w:ascii="Arial Narrow" w:eastAsia="Times New Roman" w:hAnsi="Arial Narrow" w:cs="Times New Roman"/>
            <w:sz w:val="24"/>
            <w:szCs w:val="24"/>
            <w:lang w:eastAsia="es-UY"/>
          </w:rPr>
          <w:t>World</w:t>
        </w:r>
        <w:proofErr w:type="spellEnd"/>
        <w:r w:rsidR="007D12B8" w:rsidRPr="007D12B8">
          <w:rPr>
            <w:rFonts w:ascii="Arial Narrow" w:eastAsia="Times New Roman" w:hAnsi="Arial Narrow" w:cs="Times New Roman"/>
            <w:sz w:val="24"/>
            <w:szCs w:val="24"/>
            <w:lang w:eastAsia="es-UY"/>
          </w:rPr>
          <w:t xml:space="preserve"> </w:t>
        </w:r>
        <w:proofErr w:type="spellStart"/>
        <w:r w:rsidR="007D12B8" w:rsidRPr="007D12B8">
          <w:rPr>
            <w:rFonts w:ascii="Arial Narrow" w:eastAsia="Times New Roman" w:hAnsi="Arial Narrow" w:cs="Times New Roman"/>
            <w:sz w:val="24"/>
            <w:szCs w:val="24"/>
            <w:lang w:eastAsia="es-UY"/>
          </w:rPr>
          <w:t>Economic</w:t>
        </w:r>
        <w:proofErr w:type="spellEnd"/>
        <w:r w:rsidR="007D12B8" w:rsidRPr="007D12B8">
          <w:rPr>
            <w:rFonts w:ascii="Arial Narrow" w:eastAsia="Times New Roman" w:hAnsi="Arial Narrow" w:cs="Times New Roman"/>
            <w:sz w:val="24"/>
            <w:szCs w:val="24"/>
            <w:lang w:eastAsia="es-UY"/>
          </w:rPr>
          <w:t xml:space="preserve"> </w:t>
        </w:r>
        <w:proofErr w:type="spellStart"/>
        <w:r w:rsidR="007D12B8" w:rsidRPr="007D12B8">
          <w:rPr>
            <w:rFonts w:ascii="Arial Narrow" w:eastAsia="Times New Roman" w:hAnsi="Arial Narrow" w:cs="Times New Roman"/>
            <w:sz w:val="24"/>
            <w:szCs w:val="24"/>
            <w:lang w:eastAsia="es-UY"/>
          </w:rPr>
          <w:t>Forum</w:t>
        </w:r>
      </w:hyperlink>
      <w:hyperlink r:id="rId13" w:history="1">
        <w:r w:rsidR="007D12B8" w:rsidRPr="007D12B8">
          <w:rPr>
            <w:rFonts w:ascii="Arial Narrow" w:eastAsia="Times New Roman" w:hAnsi="Arial Narrow" w:cs="Times New Roman"/>
            <w:sz w:val="24"/>
            <w:szCs w:val="24"/>
            <w:lang w:eastAsia="es-UY"/>
          </w:rPr>
          <w:t>tax</w:t>
        </w:r>
      </w:hyperlink>
      <w:hyperlink r:id="rId14" w:history="1">
        <w:r w:rsidR="007D12B8" w:rsidRPr="007D12B8">
          <w:rPr>
            <w:rFonts w:ascii="Arial Narrow" w:eastAsia="Times New Roman" w:hAnsi="Arial Narrow" w:cs="Times New Roman"/>
            <w:sz w:val="24"/>
            <w:szCs w:val="24"/>
            <w:lang w:eastAsia="es-UY"/>
          </w:rPr>
          <w:t>wealth</w:t>
        </w:r>
      </w:hyperlink>
      <w:hyperlink r:id="rId15" w:history="1">
        <w:r w:rsidR="007D12B8" w:rsidRPr="007D12B8">
          <w:rPr>
            <w:rFonts w:ascii="Arial Narrow" w:eastAsia="Times New Roman" w:hAnsi="Arial Narrow" w:cs="Times New Roman"/>
            <w:sz w:val="24"/>
            <w:szCs w:val="24"/>
            <w:lang w:eastAsia="es-UY"/>
          </w:rPr>
          <w:t>health</w:t>
        </w:r>
      </w:hyperlink>
      <w:hyperlink r:id="rId16" w:history="1">
        <w:r w:rsidR="007D12B8" w:rsidRPr="007D12B8">
          <w:rPr>
            <w:rFonts w:ascii="Arial Narrow" w:eastAsia="Times New Roman" w:hAnsi="Arial Narrow" w:cs="Times New Roman"/>
            <w:sz w:val="24"/>
            <w:szCs w:val="24"/>
            <w:lang w:eastAsia="es-UY"/>
          </w:rPr>
          <w:t>education</w:t>
        </w:r>
      </w:hyperlink>
      <w:hyperlink r:id="rId17" w:history="1">
        <w:r w:rsidR="007D12B8" w:rsidRPr="007D12B8">
          <w:rPr>
            <w:rFonts w:ascii="Arial Narrow" w:eastAsia="Times New Roman" w:hAnsi="Arial Narrow" w:cs="Times New Roman"/>
            <w:sz w:val="24"/>
            <w:szCs w:val="24"/>
            <w:lang w:eastAsia="es-UY"/>
          </w:rPr>
          <w:t>women</w:t>
        </w:r>
      </w:hyperlink>
      <w:hyperlink r:id="rId18" w:history="1">
        <w:r w:rsidR="007D12B8" w:rsidRPr="007D12B8">
          <w:rPr>
            <w:rFonts w:ascii="Arial Narrow" w:eastAsia="Times New Roman" w:hAnsi="Arial Narrow" w:cs="Times New Roman"/>
            <w:sz w:val="24"/>
            <w:szCs w:val="24"/>
            <w:lang w:eastAsia="es-UY"/>
          </w:rPr>
          <w:t>girls</w:t>
        </w:r>
        <w:proofErr w:type="spellEnd"/>
      </w:hyperlink>
    </w:p>
    <w:p w:rsidR="00296128" w:rsidRPr="007D12B8" w:rsidRDefault="00296128" w:rsidP="007D12B8">
      <w:pPr>
        <w:spacing w:line="276" w:lineRule="auto"/>
        <w:jc w:val="both"/>
        <w:rPr>
          <w:rFonts w:ascii="Arial Narrow" w:hAnsi="Arial Narrow"/>
          <w:sz w:val="24"/>
          <w:szCs w:val="24"/>
        </w:rPr>
      </w:pPr>
    </w:p>
    <w:sectPr w:rsidR="00296128" w:rsidRPr="007D12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A60355"/>
    <w:multiLevelType w:val="multilevel"/>
    <w:tmpl w:val="0802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073ABB"/>
    <w:multiLevelType w:val="multilevel"/>
    <w:tmpl w:val="941C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B8"/>
    <w:rsid w:val="00296128"/>
    <w:rsid w:val="00655AD8"/>
    <w:rsid w:val="007D12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F73F3-52E1-4D45-BC86-A05494A8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807175">
      <w:bodyDiv w:val="1"/>
      <w:marLeft w:val="0"/>
      <w:marRight w:val="0"/>
      <w:marTop w:val="0"/>
      <w:marBottom w:val="0"/>
      <w:divBdr>
        <w:top w:val="none" w:sz="0" w:space="0" w:color="auto"/>
        <w:left w:val="none" w:sz="0" w:space="0" w:color="auto"/>
        <w:bottom w:val="none" w:sz="0" w:space="0" w:color="auto"/>
        <w:right w:val="none" w:sz="0" w:space="0" w:color="auto"/>
      </w:divBdr>
      <w:divsChild>
        <w:div w:id="1741898852">
          <w:marLeft w:val="0"/>
          <w:marRight w:val="0"/>
          <w:marTop w:val="0"/>
          <w:marBottom w:val="0"/>
          <w:divBdr>
            <w:top w:val="none" w:sz="0" w:space="0" w:color="auto"/>
            <w:left w:val="none" w:sz="0" w:space="0" w:color="auto"/>
            <w:bottom w:val="none" w:sz="0" w:space="0" w:color="auto"/>
            <w:right w:val="none" w:sz="0" w:space="0" w:color="auto"/>
          </w:divBdr>
          <w:divsChild>
            <w:div w:id="1235044833">
              <w:marLeft w:val="0"/>
              <w:marRight w:val="0"/>
              <w:marTop w:val="0"/>
              <w:marBottom w:val="0"/>
              <w:divBdr>
                <w:top w:val="none" w:sz="0" w:space="0" w:color="auto"/>
                <w:left w:val="none" w:sz="0" w:space="0" w:color="auto"/>
                <w:bottom w:val="none" w:sz="0" w:space="0" w:color="auto"/>
                <w:right w:val="none" w:sz="0" w:space="0" w:color="auto"/>
              </w:divBdr>
            </w:div>
          </w:divsChild>
        </w:div>
        <w:div w:id="12613953">
          <w:marLeft w:val="0"/>
          <w:marRight w:val="0"/>
          <w:marTop w:val="0"/>
          <w:marBottom w:val="0"/>
          <w:divBdr>
            <w:top w:val="none" w:sz="0" w:space="0" w:color="auto"/>
            <w:left w:val="none" w:sz="0" w:space="0" w:color="auto"/>
            <w:bottom w:val="none" w:sz="0" w:space="0" w:color="auto"/>
            <w:right w:val="none" w:sz="0" w:space="0" w:color="auto"/>
          </w:divBdr>
        </w:div>
        <w:div w:id="1444112087">
          <w:marLeft w:val="0"/>
          <w:marRight w:val="0"/>
          <w:marTop w:val="0"/>
          <w:marBottom w:val="0"/>
          <w:divBdr>
            <w:top w:val="none" w:sz="0" w:space="0" w:color="auto"/>
            <w:left w:val="none" w:sz="0" w:space="0" w:color="auto"/>
            <w:bottom w:val="none" w:sz="0" w:space="0" w:color="auto"/>
            <w:right w:val="none" w:sz="0" w:space="0" w:color="auto"/>
          </w:divBdr>
        </w:div>
        <w:div w:id="1878665056">
          <w:marLeft w:val="0"/>
          <w:marRight w:val="0"/>
          <w:marTop w:val="0"/>
          <w:marBottom w:val="300"/>
          <w:divBdr>
            <w:top w:val="none" w:sz="0" w:space="0" w:color="auto"/>
            <w:left w:val="none" w:sz="0" w:space="0" w:color="auto"/>
            <w:bottom w:val="none" w:sz="0" w:space="0" w:color="auto"/>
            <w:right w:val="none" w:sz="0" w:space="0" w:color="auto"/>
          </w:divBdr>
          <w:divsChild>
            <w:div w:id="176568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annietheri?lang=es" TargetMode="External"/><Relationship Id="rId13" Type="http://schemas.openxmlformats.org/officeDocument/2006/relationships/hyperlink" Target="https://www.oxfam.org/es/tags/tax" TargetMode="External"/><Relationship Id="rId18" Type="http://schemas.openxmlformats.org/officeDocument/2006/relationships/hyperlink" Target="https://www.oxfam.org/es/tags/girls" TargetMode="External"/><Relationship Id="rId3" Type="http://schemas.openxmlformats.org/officeDocument/2006/relationships/settings" Target="settings.xml"/><Relationship Id="rId7" Type="http://schemas.openxmlformats.org/officeDocument/2006/relationships/hyperlink" Target="https://oxfam.box.com/s/f9meuz1jrd9e1xrkrq59e37tpoppqup0" TargetMode="External"/><Relationship Id="rId12" Type="http://schemas.openxmlformats.org/officeDocument/2006/relationships/hyperlink" Target="https://www.oxfam.org/es/tags/world-economic-forum" TargetMode="External"/><Relationship Id="rId17" Type="http://schemas.openxmlformats.org/officeDocument/2006/relationships/hyperlink" Target="https://www.oxfam.org/es/tags/women" TargetMode="External"/><Relationship Id="rId2" Type="http://schemas.openxmlformats.org/officeDocument/2006/relationships/styles" Target="styles.xml"/><Relationship Id="rId16" Type="http://schemas.openxmlformats.org/officeDocument/2006/relationships/hyperlink" Target="https://www.oxfam.org/es/tags/education-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xf.am/2To83XB" TargetMode="External"/><Relationship Id="rId11" Type="http://schemas.openxmlformats.org/officeDocument/2006/relationships/hyperlink" Target="https://www.oxfam.org/es/tags/davos" TargetMode="External"/><Relationship Id="rId5" Type="http://schemas.openxmlformats.org/officeDocument/2006/relationships/hyperlink" Target="https://www.weforum.org/" TargetMode="External"/><Relationship Id="rId15" Type="http://schemas.openxmlformats.org/officeDocument/2006/relationships/hyperlink" Target="https://www.oxfam.org/es/tags/health" TargetMode="External"/><Relationship Id="rId10" Type="http://schemas.openxmlformats.org/officeDocument/2006/relationships/hyperlink" Target="https://www.oxfam.org/es/tags/inequalit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witter.com/oxfam_es?lang=es" TargetMode="External"/><Relationship Id="rId14" Type="http://schemas.openxmlformats.org/officeDocument/2006/relationships/hyperlink" Target="https://www.oxfam.org/es/tags/wealt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1395</Words>
  <Characters>7674</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Rosario Hermano</cp:lastModifiedBy>
  <cp:revision>2</cp:revision>
  <dcterms:created xsi:type="dcterms:W3CDTF">2019-01-22T19:00:00Z</dcterms:created>
  <dcterms:modified xsi:type="dcterms:W3CDTF">2019-01-22T19:00:00Z</dcterms:modified>
</cp:coreProperties>
</file>