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2EB9" w:rsidRPr="000D2EB9" w:rsidRDefault="000D2EB9" w:rsidP="000D2EB9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Calibri" w:eastAsia="Times New Roman" w:hAnsi="Calibri" w:cs="Calibri"/>
          <w:b/>
          <w:bCs/>
          <w:color w:val="222222"/>
          <w:sz w:val="36"/>
          <w:szCs w:val="36"/>
          <w:lang w:val="es-AR" w:eastAsia="es-UY"/>
        </w:rPr>
      </w:pPr>
      <w:proofErr w:type="spellStart"/>
      <w:r w:rsidRPr="000D2EB9">
        <w:rPr>
          <w:rFonts w:ascii="Arial" w:eastAsia="Times New Roman" w:hAnsi="Arial" w:cs="Arial"/>
          <w:b/>
          <w:bCs/>
          <w:color w:val="000000"/>
          <w:sz w:val="24"/>
          <w:szCs w:val="24"/>
          <w:lang w:val="es-AR" w:eastAsia="es-UY"/>
        </w:rPr>
        <w:t>Sacheri</w:t>
      </w:r>
      <w:proofErr w:type="spellEnd"/>
      <w:r w:rsidRPr="000D2EB9">
        <w:rPr>
          <w:rFonts w:ascii="Arial" w:eastAsia="Times New Roman" w:hAnsi="Arial" w:cs="Arial"/>
          <w:b/>
          <w:bCs/>
          <w:color w:val="000000"/>
          <w:sz w:val="24"/>
          <w:szCs w:val="24"/>
          <w:lang w:val="es-AR" w:eastAsia="es-UY"/>
        </w:rPr>
        <w:t xml:space="preserve"> y Angelelli</w:t>
      </w:r>
    </w:p>
    <w:p w:rsidR="000D2EB9" w:rsidRPr="000D2EB9" w:rsidRDefault="000D2EB9" w:rsidP="000D2EB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  <w:lang w:val="es-AR" w:eastAsia="es-UY"/>
        </w:rPr>
      </w:pPr>
      <w:r w:rsidRPr="000D2EB9">
        <w:rPr>
          <w:rFonts w:ascii="Times New Roman" w:eastAsia="Times New Roman" w:hAnsi="Times New Roman" w:cs="Times New Roman"/>
          <w:color w:val="000000"/>
          <w:sz w:val="27"/>
          <w:szCs w:val="27"/>
          <w:lang w:val="es-AR" w:eastAsia="es-UY"/>
        </w:rPr>
        <w:t> </w:t>
      </w:r>
    </w:p>
    <w:p w:rsidR="000D2EB9" w:rsidRPr="000D2EB9" w:rsidRDefault="000D2EB9" w:rsidP="000D2EB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  <w:lang w:val="es-AR" w:eastAsia="es-UY"/>
        </w:rPr>
      </w:pPr>
      <w:r w:rsidRPr="000D2EB9">
        <w:rPr>
          <w:rFonts w:ascii="Arial" w:eastAsia="Times New Roman" w:hAnsi="Arial" w:cs="Arial"/>
          <w:i/>
          <w:iCs/>
          <w:color w:val="000000"/>
          <w:sz w:val="24"/>
          <w:szCs w:val="24"/>
          <w:lang w:val="es-AR" w:eastAsia="es-UY"/>
        </w:rPr>
        <w:t xml:space="preserve">                                                                                </w:t>
      </w:r>
      <w:r>
        <w:rPr>
          <w:rFonts w:ascii="Arial" w:eastAsia="Times New Roman" w:hAnsi="Arial" w:cs="Arial"/>
          <w:i/>
          <w:iCs/>
          <w:color w:val="000000"/>
          <w:sz w:val="24"/>
          <w:szCs w:val="24"/>
          <w:lang w:val="es-AR" w:eastAsia="es-UY"/>
        </w:rPr>
        <w:t xml:space="preserve">            </w:t>
      </w:r>
      <w:r w:rsidRPr="000D2EB9">
        <w:rPr>
          <w:rFonts w:ascii="Arial" w:eastAsia="Times New Roman" w:hAnsi="Arial" w:cs="Arial"/>
          <w:i/>
          <w:iCs/>
          <w:color w:val="000000"/>
          <w:sz w:val="24"/>
          <w:szCs w:val="24"/>
          <w:lang w:val="es-AR" w:eastAsia="es-UY"/>
        </w:rPr>
        <w:t> Eduardo de la Serna</w:t>
      </w:r>
    </w:p>
    <w:p w:rsidR="000D2EB9" w:rsidRPr="000D2EB9" w:rsidRDefault="000D2EB9" w:rsidP="000D2EB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  <w:lang w:val="es-AR" w:eastAsia="es-UY"/>
        </w:rPr>
      </w:pPr>
      <w:r w:rsidRPr="000D2EB9">
        <w:rPr>
          <w:rFonts w:ascii="Times New Roman" w:eastAsia="Times New Roman" w:hAnsi="Times New Roman" w:cs="Times New Roman"/>
          <w:color w:val="000000"/>
          <w:sz w:val="27"/>
          <w:szCs w:val="27"/>
          <w:lang w:val="es-AR" w:eastAsia="es-UY"/>
        </w:rPr>
        <w:t> </w:t>
      </w:r>
    </w:p>
    <w:p w:rsidR="000D2EB9" w:rsidRPr="000D2EB9" w:rsidRDefault="000D2EB9" w:rsidP="000D2EB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  <w:lang w:val="es-AR" w:eastAsia="es-UY"/>
        </w:rPr>
      </w:pPr>
      <w:r>
        <w:rPr>
          <w:noProof/>
        </w:rPr>
        <w:drawing>
          <wp:inline distT="0" distB="0" distL="0" distR="0" wp14:anchorId="3026A365" wp14:editId="441C3468">
            <wp:extent cx="4762500" cy="1371600"/>
            <wp:effectExtent l="0" t="0" r="0" b="0"/>
            <wp:docPr id="3" name="Imagen 3" descr="https://1.bp.blogspot.com/-VkIYRwYt6OE/W2vK1Nde2cI/AAAAAAAABPg/ptIf0k_-ZcAqmxKm_pCoysFyI-tojk4yACLcBGAs/s1600/Mafalda%2B-%2BNegro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1.bp.blogspot.com/-VkIYRwYt6OE/W2vK1Nde2cI/AAAAAAAABPg/ptIf0k_-ZcAqmxKm_pCoysFyI-tojk4yACLcBGAs/s1600/Mafalda%2B-%2BNegros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Pr="000D2EB9">
        <w:rPr>
          <w:rFonts w:ascii="Times New Roman" w:eastAsia="Times New Roman" w:hAnsi="Times New Roman" w:cs="Times New Roman"/>
          <w:color w:val="000000"/>
          <w:sz w:val="27"/>
          <w:szCs w:val="27"/>
          <w:lang w:val="es-AR" w:eastAsia="es-UY"/>
        </w:rPr>
        <w:t> </w:t>
      </w:r>
    </w:p>
    <w:p w:rsidR="000D2EB9" w:rsidRPr="000D2EB9" w:rsidRDefault="000D2EB9" w:rsidP="000D2EB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  <w:lang w:val="es-AR" w:eastAsia="es-UY"/>
        </w:rPr>
      </w:pPr>
      <w:r w:rsidRPr="000D2EB9">
        <w:rPr>
          <w:rFonts w:ascii="Times New Roman" w:eastAsia="Times New Roman" w:hAnsi="Times New Roman" w:cs="Times New Roman"/>
          <w:color w:val="000000"/>
          <w:sz w:val="27"/>
          <w:szCs w:val="27"/>
          <w:lang w:val="es-AR" w:eastAsia="es-UY"/>
        </w:rPr>
        <w:t> </w:t>
      </w:r>
    </w:p>
    <w:p w:rsidR="000D2EB9" w:rsidRPr="000D2EB9" w:rsidRDefault="000D2EB9" w:rsidP="000D2E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val="es-AR" w:eastAsia="es-UY"/>
        </w:rPr>
      </w:pPr>
      <w:r w:rsidRPr="000D2EB9">
        <w:rPr>
          <w:rFonts w:ascii="Arial" w:eastAsia="Times New Roman" w:hAnsi="Arial" w:cs="Arial"/>
          <w:color w:val="000000"/>
          <w:sz w:val="24"/>
          <w:szCs w:val="24"/>
          <w:lang w:val="es-AR" w:eastAsia="es-UY"/>
        </w:rPr>
        <w:t xml:space="preserve">Aprovechando la “libertad” que le da no tener que estar en estricta comunión con el Papa y la Iglesia Argentina, el obispo emérito de La Plata, Héctor </w:t>
      </w:r>
      <w:proofErr w:type="spellStart"/>
      <w:r w:rsidRPr="000D2EB9">
        <w:rPr>
          <w:rFonts w:ascii="Arial" w:eastAsia="Times New Roman" w:hAnsi="Arial" w:cs="Arial"/>
          <w:color w:val="000000"/>
          <w:sz w:val="24"/>
          <w:szCs w:val="24"/>
          <w:lang w:val="es-AR" w:eastAsia="es-UY"/>
        </w:rPr>
        <w:t>Aguer</w:t>
      </w:r>
      <w:proofErr w:type="spellEnd"/>
      <w:r w:rsidRPr="000D2EB9">
        <w:rPr>
          <w:rFonts w:ascii="Arial" w:eastAsia="Times New Roman" w:hAnsi="Arial" w:cs="Arial"/>
          <w:color w:val="000000"/>
          <w:sz w:val="24"/>
          <w:szCs w:val="24"/>
          <w:lang w:val="es-AR" w:eastAsia="es-UY"/>
        </w:rPr>
        <w:t xml:space="preserve"> manifestó, en una reciente carta de Lectores al “eminentísimo” diario La Nación su solidaridad con el mismo a las críticas por la inminente beatificación de monseñor Angelelli, mártir.</w:t>
      </w:r>
    </w:p>
    <w:p w:rsidR="000D2EB9" w:rsidRPr="000D2EB9" w:rsidRDefault="000D2EB9" w:rsidP="000D2E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val="es-AR" w:eastAsia="es-UY"/>
        </w:rPr>
      </w:pPr>
      <w:r w:rsidRPr="000D2EB9">
        <w:rPr>
          <w:rFonts w:ascii="Times New Roman" w:eastAsia="Times New Roman" w:hAnsi="Times New Roman" w:cs="Times New Roman"/>
          <w:color w:val="000000"/>
          <w:sz w:val="27"/>
          <w:szCs w:val="27"/>
          <w:lang w:val="es-AR" w:eastAsia="es-UY"/>
        </w:rPr>
        <w:t> </w:t>
      </w:r>
    </w:p>
    <w:p w:rsidR="000D2EB9" w:rsidRPr="000D2EB9" w:rsidRDefault="000D2EB9" w:rsidP="000D2E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val="es-AR" w:eastAsia="es-UY"/>
        </w:rPr>
      </w:pPr>
      <w:r w:rsidRPr="000D2EB9">
        <w:rPr>
          <w:rFonts w:ascii="Arial" w:eastAsia="Times New Roman" w:hAnsi="Arial" w:cs="Arial"/>
          <w:color w:val="000000"/>
          <w:sz w:val="24"/>
          <w:szCs w:val="24"/>
          <w:lang w:val="es-AR" w:eastAsia="es-UY"/>
        </w:rPr>
        <w:t xml:space="preserve">Allí dice varias cosas, a las que remito. Por ejemplo, afirma que escuchó lo que decía monseñor </w:t>
      </w:r>
      <w:proofErr w:type="spellStart"/>
      <w:r w:rsidRPr="000D2EB9">
        <w:rPr>
          <w:rFonts w:ascii="Arial" w:eastAsia="Times New Roman" w:hAnsi="Arial" w:cs="Arial"/>
          <w:color w:val="000000"/>
          <w:sz w:val="24"/>
          <w:szCs w:val="24"/>
          <w:lang w:val="es-AR" w:eastAsia="es-UY"/>
        </w:rPr>
        <w:t>Witte</w:t>
      </w:r>
      <w:proofErr w:type="spellEnd"/>
      <w:r w:rsidRPr="000D2EB9">
        <w:rPr>
          <w:rFonts w:ascii="Arial" w:eastAsia="Times New Roman" w:hAnsi="Arial" w:cs="Arial"/>
          <w:color w:val="000000"/>
          <w:sz w:val="24"/>
          <w:szCs w:val="24"/>
          <w:lang w:val="es-AR" w:eastAsia="es-UY"/>
        </w:rPr>
        <w:t xml:space="preserve"> afirmando que se había tratado de un accidente (cosa que nadie niega: sabemos que </w:t>
      </w:r>
      <w:proofErr w:type="spellStart"/>
      <w:r w:rsidRPr="000D2EB9">
        <w:rPr>
          <w:rFonts w:ascii="Arial" w:eastAsia="Times New Roman" w:hAnsi="Arial" w:cs="Arial"/>
          <w:color w:val="000000"/>
          <w:sz w:val="24"/>
          <w:szCs w:val="24"/>
          <w:lang w:val="es-AR" w:eastAsia="es-UY"/>
        </w:rPr>
        <w:t>Witte</w:t>
      </w:r>
      <w:proofErr w:type="spellEnd"/>
      <w:r w:rsidRPr="000D2EB9">
        <w:rPr>
          <w:rFonts w:ascii="Arial" w:eastAsia="Times New Roman" w:hAnsi="Arial" w:cs="Arial"/>
          <w:color w:val="000000"/>
          <w:sz w:val="24"/>
          <w:szCs w:val="24"/>
          <w:lang w:val="es-AR" w:eastAsia="es-UY"/>
        </w:rPr>
        <w:t xml:space="preserve"> decía eso. Lo que negamos es la veracidad de ese dicho). Pero – como el título lo afirma – se pregunta por qué no se reconoce el martirio (¿en lugar del de Angelelli?) de Carlos </w:t>
      </w:r>
      <w:proofErr w:type="spellStart"/>
      <w:r w:rsidRPr="000D2EB9">
        <w:rPr>
          <w:rFonts w:ascii="Arial" w:eastAsia="Times New Roman" w:hAnsi="Arial" w:cs="Arial"/>
          <w:color w:val="000000"/>
          <w:sz w:val="24"/>
          <w:szCs w:val="24"/>
          <w:lang w:val="es-AR" w:eastAsia="es-UY"/>
        </w:rPr>
        <w:t>Sacheri</w:t>
      </w:r>
      <w:proofErr w:type="spellEnd"/>
      <w:r w:rsidRPr="000D2EB9">
        <w:rPr>
          <w:rFonts w:ascii="Arial" w:eastAsia="Times New Roman" w:hAnsi="Arial" w:cs="Arial"/>
          <w:color w:val="000000"/>
          <w:sz w:val="24"/>
          <w:szCs w:val="24"/>
          <w:lang w:val="es-AR" w:eastAsia="es-UY"/>
        </w:rPr>
        <w:t>, asesinado por el ERP. Y concluye, en clara crítica al Papa, que este reconocimiento de martirio sería “</w:t>
      </w:r>
      <w:r w:rsidRPr="000D2EB9">
        <w:rPr>
          <w:rFonts w:ascii="Arial" w:eastAsia="Times New Roman" w:hAnsi="Arial" w:cs="Arial"/>
          <w:i/>
          <w:iCs/>
          <w:color w:val="000000"/>
          <w:sz w:val="24"/>
          <w:szCs w:val="24"/>
          <w:lang w:val="es-AR" w:eastAsia="es-UY"/>
        </w:rPr>
        <w:t>eclesiásticamente incorrecto</w:t>
      </w:r>
      <w:r w:rsidRPr="000D2EB9">
        <w:rPr>
          <w:rFonts w:ascii="Arial" w:eastAsia="Times New Roman" w:hAnsi="Arial" w:cs="Arial"/>
          <w:color w:val="000000"/>
          <w:sz w:val="24"/>
          <w:szCs w:val="24"/>
          <w:lang w:val="es-AR" w:eastAsia="es-UY"/>
        </w:rPr>
        <w:t>” (se refiere incorrecto en la Iglesia de Francisco, no en la de Juan Pablo o Benito, por cierto).</w:t>
      </w:r>
    </w:p>
    <w:p w:rsidR="000D2EB9" w:rsidRPr="000D2EB9" w:rsidRDefault="000D2EB9" w:rsidP="000D2E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val="es-AR" w:eastAsia="es-UY"/>
        </w:rPr>
      </w:pPr>
      <w:r w:rsidRPr="000D2EB9">
        <w:rPr>
          <w:rFonts w:ascii="Times New Roman" w:eastAsia="Times New Roman" w:hAnsi="Times New Roman" w:cs="Times New Roman"/>
          <w:color w:val="000000"/>
          <w:sz w:val="27"/>
          <w:szCs w:val="27"/>
          <w:lang w:val="es-AR" w:eastAsia="es-UY"/>
        </w:rPr>
        <w:t> </w:t>
      </w:r>
    </w:p>
    <w:p w:rsidR="000D2EB9" w:rsidRPr="000D2EB9" w:rsidRDefault="000D2EB9" w:rsidP="000D2E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val="es-AR" w:eastAsia="es-UY"/>
        </w:rPr>
      </w:pPr>
      <w:r w:rsidRPr="000D2EB9">
        <w:rPr>
          <w:rFonts w:ascii="Arial" w:eastAsia="Times New Roman" w:hAnsi="Arial" w:cs="Arial"/>
          <w:color w:val="000000"/>
          <w:sz w:val="24"/>
          <w:szCs w:val="24"/>
          <w:lang w:val="es-AR" w:eastAsia="es-UY"/>
        </w:rPr>
        <w:t xml:space="preserve">Es sabido que </w:t>
      </w:r>
      <w:proofErr w:type="spellStart"/>
      <w:r w:rsidRPr="000D2EB9">
        <w:rPr>
          <w:rFonts w:ascii="Arial" w:eastAsia="Times New Roman" w:hAnsi="Arial" w:cs="Arial"/>
          <w:color w:val="000000"/>
          <w:sz w:val="24"/>
          <w:szCs w:val="24"/>
          <w:lang w:val="es-AR" w:eastAsia="es-UY"/>
        </w:rPr>
        <w:t>Sacheri</w:t>
      </w:r>
      <w:proofErr w:type="spellEnd"/>
      <w:r w:rsidRPr="000D2EB9">
        <w:rPr>
          <w:rFonts w:ascii="Arial" w:eastAsia="Times New Roman" w:hAnsi="Arial" w:cs="Arial"/>
          <w:color w:val="000000"/>
          <w:sz w:val="24"/>
          <w:szCs w:val="24"/>
          <w:lang w:val="es-AR" w:eastAsia="es-UY"/>
        </w:rPr>
        <w:t xml:space="preserve"> era un “abanderado” de la derecha católica a la que </w:t>
      </w:r>
      <w:proofErr w:type="spellStart"/>
      <w:r w:rsidRPr="000D2EB9">
        <w:rPr>
          <w:rFonts w:ascii="Arial" w:eastAsia="Times New Roman" w:hAnsi="Arial" w:cs="Arial"/>
          <w:color w:val="000000"/>
          <w:sz w:val="24"/>
          <w:szCs w:val="24"/>
          <w:lang w:val="es-AR" w:eastAsia="es-UY"/>
        </w:rPr>
        <w:t>Aguer</w:t>
      </w:r>
      <w:proofErr w:type="spellEnd"/>
      <w:r w:rsidRPr="000D2EB9">
        <w:rPr>
          <w:rFonts w:ascii="Arial" w:eastAsia="Times New Roman" w:hAnsi="Arial" w:cs="Arial"/>
          <w:color w:val="000000"/>
          <w:sz w:val="24"/>
          <w:szCs w:val="24"/>
          <w:lang w:val="es-AR" w:eastAsia="es-UY"/>
        </w:rPr>
        <w:t xml:space="preserve"> firmemente adscribe; como lo era Jordán Bruno Genta, también asesinado por el ERP (ambos en 1974); ambos discípulos de Julio Menvielle a quién también </w:t>
      </w:r>
      <w:proofErr w:type="spellStart"/>
      <w:r w:rsidRPr="000D2EB9">
        <w:rPr>
          <w:rFonts w:ascii="Arial" w:eastAsia="Times New Roman" w:hAnsi="Arial" w:cs="Arial"/>
          <w:color w:val="000000"/>
          <w:sz w:val="24"/>
          <w:szCs w:val="24"/>
          <w:lang w:val="es-AR" w:eastAsia="es-UY"/>
        </w:rPr>
        <w:t>Aguer</w:t>
      </w:r>
      <w:proofErr w:type="spellEnd"/>
      <w:r w:rsidRPr="000D2EB9">
        <w:rPr>
          <w:rFonts w:ascii="Arial" w:eastAsia="Times New Roman" w:hAnsi="Arial" w:cs="Arial"/>
          <w:color w:val="000000"/>
          <w:sz w:val="24"/>
          <w:szCs w:val="24"/>
          <w:lang w:val="es-AR" w:eastAsia="es-UY"/>
        </w:rPr>
        <w:t xml:space="preserve"> frecuentaba. Es razonable, entonces, que este cruel asesinato lo afecte, aunque desconozco si siendo un poderoso arzobispo argentino hizo algo por la beatificación y el reconocimiento martirial de su “amigo”.</w:t>
      </w:r>
    </w:p>
    <w:p w:rsidR="000D2EB9" w:rsidRPr="000D2EB9" w:rsidRDefault="000D2EB9" w:rsidP="000D2E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val="es-AR" w:eastAsia="es-UY"/>
        </w:rPr>
      </w:pPr>
      <w:r w:rsidRPr="000D2EB9">
        <w:rPr>
          <w:rFonts w:ascii="Times New Roman" w:eastAsia="Times New Roman" w:hAnsi="Times New Roman" w:cs="Times New Roman"/>
          <w:color w:val="000000"/>
          <w:sz w:val="27"/>
          <w:szCs w:val="27"/>
          <w:lang w:val="es-AR" w:eastAsia="es-UY"/>
        </w:rPr>
        <w:t> </w:t>
      </w:r>
    </w:p>
    <w:p w:rsidR="000D2EB9" w:rsidRPr="000D2EB9" w:rsidRDefault="000D2EB9" w:rsidP="000D2E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val="es-AR" w:eastAsia="es-UY"/>
        </w:rPr>
      </w:pPr>
      <w:r w:rsidRPr="000D2EB9">
        <w:rPr>
          <w:rFonts w:ascii="Arial" w:eastAsia="Times New Roman" w:hAnsi="Arial" w:cs="Arial"/>
          <w:color w:val="000000"/>
          <w:sz w:val="24"/>
          <w:szCs w:val="24"/>
          <w:lang w:val="es-AR" w:eastAsia="es-UY"/>
        </w:rPr>
        <w:t xml:space="preserve">En la tradición católica se han reconocido muchos mártires y martirios los cuales, obviamente, no en todos los casos nos “tocan de cerca” y nos aluden (Juan el Bautista, los mártires de Uganda, Maximiliano Kolbe o santa María Goretti, por ejemplo); que se reconozcan sus martirios no implica que sean </w:t>
      </w:r>
      <w:proofErr w:type="gramStart"/>
      <w:r w:rsidRPr="000D2EB9">
        <w:rPr>
          <w:rFonts w:ascii="Arial" w:eastAsia="Times New Roman" w:hAnsi="Arial" w:cs="Arial"/>
          <w:color w:val="000000"/>
          <w:sz w:val="24"/>
          <w:szCs w:val="24"/>
          <w:lang w:val="es-AR" w:eastAsia="es-UY"/>
        </w:rPr>
        <w:t>ejemplos a querer</w:t>
      </w:r>
      <w:proofErr w:type="gramEnd"/>
      <w:r w:rsidRPr="000D2EB9">
        <w:rPr>
          <w:rFonts w:ascii="Arial" w:eastAsia="Times New Roman" w:hAnsi="Arial" w:cs="Arial"/>
          <w:color w:val="000000"/>
          <w:sz w:val="24"/>
          <w:szCs w:val="24"/>
          <w:lang w:val="es-AR" w:eastAsia="es-UY"/>
        </w:rPr>
        <w:t xml:space="preserve"> seguir, por cierto.</w:t>
      </w:r>
    </w:p>
    <w:p w:rsidR="000D2EB9" w:rsidRPr="000D2EB9" w:rsidRDefault="000D2EB9" w:rsidP="000D2E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val="es-AR" w:eastAsia="es-UY"/>
        </w:rPr>
      </w:pPr>
      <w:r w:rsidRPr="000D2EB9">
        <w:rPr>
          <w:rFonts w:ascii="Times New Roman" w:eastAsia="Times New Roman" w:hAnsi="Times New Roman" w:cs="Times New Roman"/>
          <w:color w:val="000000"/>
          <w:sz w:val="27"/>
          <w:szCs w:val="27"/>
          <w:lang w:val="es-AR" w:eastAsia="es-UY"/>
        </w:rPr>
        <w:t> </w:t>
      </w:r>
    </w:p>
    <w:p w:rsidR="000D2EB9" w:rsidRPr="000D2EB9" w:rsidRDefault="000D2EB9" w:rsidP="000D2E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val="es-AR" w:eastAsia="es-UY"/>
        </w:rPr>
      </w:pPr>
      <w:r w:rsidRPr="000D2EB9">
        <w:rPr>
          <w:rFonts w:ascii="Arial" w:eastAsia="Times New Roman" w:hAnsi="Arial" w:cs="Arial"/>
          <w:color w:val="000000"/>
          <w:sz w:val="24"/>
          <w:szCs w:val="24"/>
          <w:lang w:val="es-AR" w:eastAsia="es-UY"/>
        </w:rPr>
        <w:t xml:space="preserve">No veo nada que impida el reconocimiento de martirio de </w:t>
      </w:r>
      <w:proofErr w:type="spellStart"/>
      <w:r w:rsidRPr="000D2EB9">
        <w:rPr>
          <w:rFonts w:ascii="Arial" w:eastAsia="Times New Roman" w:hAnsi="Arial" w:cs="Arial"/>
          <w:color w:val="000000"/>
          <w:sz w:val="24"/>
          <w:szCs w:val="24"/>
          <w:lang w:val="es-AR" w:eastAsia="es-UY"/>
        </w:rPr>
        <w:t>Sacheri</w:t>
      </w:r>
      <w:proofErr w:type="spellEnd"/>
      <w:r w:rsidRPr="000D2EB9">
        <w:rPr>
          <w:rFonts w:ascii="Arial" w:eastAsia="Times New Roman" w:hAnsi="Arial" w:cs="Arial"/>
          <w:color w:val="000000"/>
          <w:sz w:val="24"/>
          <w:szCs w:val="24"/>
          <w:lang w:val="es-AR" w:eastAsia="es-UY"/>
        </w:rPr>
        <w:t xml:space="preserve"> si se </w:t>
      </w:r>
      <w:proofErr w:type="spellStart"/>
      <w:r w:rsidRPr="000D2EB9">
        <w:rPr>
          <w:rFonts w:ascii="Arial" w:eastAsia="Times New Roman" w:hAnsi="Arial" w:cs="Arial"/>
          <w:color w:val="000000"/>
          <w:sz w:val="24"/>
          <w:szCs w:val="24"/>
          <w:lang w:val="es-AR" w:eastAsia="es-UY"/>
        </w:rPr>
        <w:t>puediera</w:t>
      </w:r>
      <w:proofErr w:type="spellEnd"/>
      <w:r w:rsidRPr="000D2EB9">
        <w:rPr>
          <w:rFonts w:ascii="Arial" w:eastAsia="Times New Roman" w:hAnsi="Arial" w:cs="Arial"/>
          <w:color w:val="000000"/>
          <w:sz w:val="24"/>
          <w:szCs w:val="24"/>
          <w:lang w:val="es-AR" w:eastAsia="es-UY"/>
        </w:rPr>
        <w:t xml:space="preserve"> investigar con un poco de seriedad su asesinato (cosa que durante mucho tiempo fue casi imposible en el caso de Angelelli por la complicidad de los “amigos de </w:t>
      </w:r>
      <w:proofErr w:type="spellStart"/>
      <w:r w:rsidRPr="000D2EB9">
        <w:rPr>
          <w:rFonts w:ascii="Arial" w:eastAsia="Times New Roman" w:hAnsi="Arial" w:cs="Arial"/>
          <w:color w:val="000000"/>
          <w:sz w:val="24"/>
          <w:szCs w:val="24"/>
          <w:lang w:val="es-AR" w:eastAsia="es-UY"/>
        </w:rPr>
        <w:t>Aguer</w:t>
      </w:r>
      <w:proofErr w:type="spellEnd"/>
      <w:r w:rsidRPr="000D2EB9">
        <w:rPr>
          <w:rFonts w:ascii="Arial" w:eastAsia="Times New Roman" w:hAnsi="Arial" w:cs="Arial"/>
          <w:color w:val="000000"/>
          <w:sz w:val="24"/>
          <w:szCs w:val="24"/>
          <w:lang w:val="es-AR" w:eastAsia="es-UY"/>
        </w:rPr>
        <w:t>”). De hecho, cuando se reconoció el martirio por “odio a la fe” de monseñor Romero (otro de los silenciados en tiempos “</w:t>
      </w:r>
      <w:proofErr w:type="spellStart"/>
      <w:r w:rsidRPr="000D2EB9">
        <w:rPr>
          <w:rFonts w:ascii="Arial" w:eastAsia="Times New Roman" w:hAnsi="Arial" w:cs="Arial"/>
          <w:color w:val="000000"/>
          <w:sz w:val="24"/>
          <w:szCs w:val="24"/>
          <w:lang w:val="es-AR" w:eastAsia="es-UY"/>
        </w:rPr>
        <w:t>aguéricos</w:t>
      </w:r>
      <w:proofErr w:type="spellEnd"/>
      <w:r w:rsidRPr="000D2EB9">
        <w:rPr>
          <w:rFonts w:ascii="Arial" w:eastAsia="Times New Roman" w:hAnsi="Arial" w:cs="Arial"/>
          <w:color w:val="000000"/>
          <w:sz w:val="24"/>
          <w:szCs w:val="24"/>
          <w:lang w:val="es-AR" w:eastAsia="es-UY"/>
        </w:rPr>
        <w:t xml:space="preserve">”) se reconoció también el martirio por odio a la fe de tres asesinados por Sendero Luminoso [1], lo que según el principio del emérito sería “eclesiásticamente </w:t>
      </w:r>
      <w:r w:rsidRPr="000D2EB9">
        <w:rPr>
          <w:rFonts w:ascii="Arial" w:eastAsia="Times New Roman" w:hAnsi="Arial" w:cs="Arial"/>
          <w:color w:val="000000"/>
          <w:sz w:val="24"/>
          <w:szCs w:val="24"/>
          <w:lang w:val="es-AR" w:eastAsia="es-UY"/>
        </w:rPr>
        <w:lastRenderedPageBreak/>
        <w:t xml:space="preserve">incorrecto” pero parece no serlo en estos casos. Que no me una nada con </w:t>
      </w:r>
      <w:proofErr w:type="spellStart"/>
      <w:r w:rsidRPr="000D2EB9">
        <w:rPr>
          <w:rFonts w:ascii="Arial" w:eastAsia="Times New Roman" w:hAnsi="Arial" w:cs="Arial"/>
          <w:color w:val="000000"/>
          <w:sz w:val="24"/>
          <w:szCs w:val="24"/>
          <w:lang w:val="es-AR" w:eastAsia="es-UY"/>
        </w:rPr>
        <w:t>Sacheri</w:t>
      </w:r>
      <w:proofErr w:type="spellEnd"/>
      <w:r w:rsidRPr="000D2EB9">
        <w:rPr>
          <w:rFonts w:ascii="Arial" w:eastAsia="Times New Roman" w:hAnsi="Arial" w:cs="Arial"/>
          <w:color w:val="000000"/>
          <w:sz w:val="24"/>
          <w:szCs w:val="24"/>
          <w:lang w:val="es-AR" w:eastAsia="es-UY"/>
        </w:rPr>
        <w:t xml:space="preserve"> no significa ni que celebre ni que me alegre su muerte, por lo que no me incomodaría en nada que se reconozca su martirio, aunque – en ese caso – no sería “santo de mi devoción”; se ha canonizado a Escrivá de Balaguer, casi todo es posible. De hecho, como ocurrió en el caso de Angelelli también La Nación publicó (el 23 de diciembre de 2014) una editorial (= sin firma) presentando a </w:t>
      </w:r>
      <w:proofErr w:type="spellStart"/>
      <w:r w:rsidRPr="000D2EB9">
        <w:rPr>
          <w:rFonts w:ascii="Arial" w:eastAsia="Times New Roman" w:hAnsi="Arial" w:cs="Arial"/>
          <w:color w:val="000000"/>
          <w:sz w:val="24"/>
          <w:szCs w:val="24"/>
          <w:lang w:val="es-AR" w:eastAsia="es-UY"/>
        </w:rPr>
        <w:t>Sacheri</w:t>
      </w:r>
      <w:proofErr w:type="spellEnd"/>
      <w:r w:rsidRPr="000D2EB9">
        <w:rPr>
          <w:rFonts w:ascii="Arial" w:eastAsia="Times New Roman" w:hAnsi="Arial" w:cs="Arial"/>
          <w:color w:val="000000"/>
          <w:sz w:val="24"/>
          <w:szCs w:val="24"/>
          <w:lang w:val="es-AR" w:eastAsia="es-UY"/>
        </w:rPr>
        <w:t xml:space="preserve"> como “constructor del bien común” [2]. Es coherente con su línea editorial. Por tanto, señor arzobispo emérito, promueva las beatificaciones que desee ole parezcan oportunas; algunos, entre tanto, celebramos las que durante sus tiempos de “Gloria” no nos fueron permitidas.</w:t>
      </w:r>
    </w:p>
    <w:p w:rsidR="000D2EB9" w:rsidRPr="000D2EB9" w:rsidRDefault="000D2EB9" w:rsidP="000D2E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val="es-AR" w:eastAsia="es-UY"/>
        </w:rPr>
      </w:pPr>
      <w:r w:rsidRPr="000D2EB9">
        <w:rPr>
          <w:rFonts w:ascii="Times New Roman" w:eastAsia="Times New Roman" w:hAnsi="Times New Roman" w:cs="Times New Roman"/>
          <w:color w:val="000000"/>
          <w:sz w:val="27"/>
          <w:szCs w:val="27"/>
          <w:lang w:val="es-AR" w:eastAsia="es-UY"/>
        </w:rPr>
        <w:t> </w:t>
      </w:r>
    </w:p>
    <w:p w:rsidR="000D2EB9" w:rsidRPr="000D2EB9" w:rsidRDefault="000D2EB9" w:rsidP="000D2E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val="es-AR" w:eastAsia="es-UY"/>
        </w:rPr>
      </w:pPr>
      <w:r w:rsidRPr="000D2EB9">
        <w:rPr>
          <w:rFonts w:ascii="Arial" w:eastAsia="Times New Roman" w:hAnsi="Arial" w:cs="Arial"/>
          <w:color w:val="000000"/>
          <w:sz w:val="24"/>
          <w:szCs w:val="24"/>
          <w:lang w:val="es-AR" w:eastAsia="es-UY"/>
        </w:rPr>
        <w:t> </w:t>
      </w:r>
    </w:p>
    <w:p w:rsidR="000D2EB9" w:rsidRPr="000D2EB9" w:rsidRDefault="000D2EB9" w:rsidP="000D2E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val="es-AR" w:eastAsia="es-UY"/>
        </w:rPr>
      </w:pPr>
      <w:r w:rsidRPr="000D2EB9">
        <w:rPr>
          <w:rFonts w:ascii="Arial" w:eastAsia="Times New Roman" w:hAnsi="Arial" w:cs="Arial"/>
          <w:color w:val="000000"/>
          <w:sz w:val="24"/>
          <w:szCs w:val="24"/>
          <w:lang w:val="es-AR" w:eastAsia="es-UY"/>
        </w:rPr>
        <w:t>[1] </w:t>
      </w:r>
      <w:hyperlink r:id="rId5" w:tgtFrame="_blank" w:history="1">
        <w:r w:rsidRPr="000D2EB9">
          <w:rPr>
            <w:rFonts w:ascii="Arial" w:eastAsia="Times New Roman" w:hAnsi="Arial" w:cs="Arial"/>
            <w:color w:val="1155CC"/>
            <w:sz w:val="24"/>
            <w:szCs w:val="24"/>
            <w:u w:val="single"/>
            <w:lang w:val="es-AR" w:eastAsia="es-UY"/>
          </w:rPr>
          <w:t>http://www.europapress.es/sociedad/noticia-papa-tambien-proclama-beatos-tres-misioneros-asesinados-sendero-luminoso-1991-reconocerse-martirio-20150204160559.html</w:t>
        </w:r>
      </w:hyperlink>
    </w:p>
    <w:p w:rsidR="000D2EB9" w:rsidRPr="000D2EB9" w:rsidRDefault="000D2EB9" w:rsidP="000D2E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val="es-AR" w:eastAsia="es-UY"/>
        </w:rPr>
      </w:pPr>
      <w:r w:rsidRPr="000D2EB9">
        <w:rPr>
          <w:rFonts w:ascii="Arial" w:eastAsia="Times New Roman" w:hAnsi="Arial" w:cs="Arial"/>
          <w:color w:val="000000"/>
          <w:sz w:val="24"/>
          <w:szCs w:val="24"/>
          <w:lang w:val="es-AR" w:eastAsia="es-UY"/>
        </w:rPr>
        <w:t>[2] </w:t>
      </w:r>
      <w:hyperlink r:id="rId6" w:tgtFrame="_blank" w:history="1">
        <w:r w:rsidRPr="000D2EB9">
          <w:rPr>
            <w:rFonts w:ascii="Arial" w:eastAsia="Times New Roman" w:hAnsi="Arial" w:cs="Arial"/>
            <w:color w:val="1155CC"/>
            <w:sz w:val="24"/>
            <w:szCs w:val="24"/>
            <w:u w:val="single"/>
            <w:lang w:val="es-AR" w:eastAsia="es-UY"/>
          </w:rPr>
          <w:t>https://www.lanacion.com.ar/1754793-carlos-sacheri-constructor-del-bien-comun</w:t>
        </w:r>
      </w:hyperlink>
    </w:p>
    <w:p w:rsidR="000D2EB9" w:rsidRPr="000D2EB9" w:rsidRDefault="000D2EB9" w:rsidP="000D2E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val="es-AR" w:eastAsia="es-UY"/>
        </w:rPr>
      </w:pPr>
      <w:r w:rsidRPr="000D2EB9">
        <w:rPr>
          <w:rFonts w:ascii="Arial" w:eastAsia="Times New Roman" w:hAnsi="Arial" w:cs="Arial"/>
          <w:color w:val="000000"/>
          <w:sz w:val="24"/>
          <w:szCs w:val="24"/>
          <w:lang w:val="es-AR" w:eastAsia="es-UY"/>
        </w:rPr>
        <w:t> </w:t>
      </w:r>
    </w:p>
    <w:p w:rsidR="000D2EB9" w:rsidRPr="000D2EB9" w:rsidRDefault="000D2EB9" w:rsidP="000D2E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val="es-AR" w:eastAsia="es-UY"/>
        </w:rPr>
      </w:pPr>
      <w:r w:rsidRPr="000D2EB9">
        <w:rPr>
          <w:rFonts w:ascii="Arial" w:eastAsia="Times New Roman" w:hAnsi="Arial" w:cs="Arial"/>
          <w:color w:val="000000"/>
          <w:sz w:val="24"/>
          <w:szCs w:val="24"/>
          <w:lang w:val="es-AR" w:eastAsia="es-UY"/>
        </w:rPr>
        <w:t>Dibujo tomado de </w:t>
      </w:r>
      <w:hyperlink r:id="rId7" w:tgtFrame="_blank" w:history="1">
        <w:r w:rsidRPr="000D2EB9">
          <w:rPr>
            <w:rFonts w:ascii="Arial" w:eastAsia="Times New Roman" w:hAnsi="Arial" w:cs="Arial"/>
            <w:color w:val="1155CC"/>
            <w:sz w:val="24"/>
            <w:szCs w:val="24"/>
            <w:u w:val="single"/>
            <w:lang w:val="es-AR" w:eastAsia="es-UY"/>
          </w:rPr>
          <w:t>http://egosumqui.blogspot.com/2010/08/politicamente-incorrecto.html</w:t>
        </w:r>
      </w:hyperlink>
    </w:p>
    <w:p w:rsidR="000D2EB9" w:rsidRPr="000D2EB9" w:rsidRDefault="000D2EB9" w:rsidP="000D2E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val="es-AR" w:eastAsia="es-UY"/>
        </w:rPr>
      </w:pPr>
      <w:r w:rsidRPr="000D2EB9">
        <w:rPr>
          <w:rFonts w:ascii="Arial" w:eastAsia="Times New Roman" w:hAnsi="Arial" w:cs="Arial"/>
          <w:color w:val="222222"/>
          <w:sz w:val="19"/>
          <w:szCs w:val="19"/>
          <w:lang w:val="es-AR" w:eastAsia="es-UY"/>
        </w:rPr>
        <w:t> </w:t>
      </w:r>
    </w:p>
    <w:p w:rsidR="000D2EB9" w:rsidRPr="000D2EB9" w:rsidRDefault="000D2EB9" w:rsidP="000D2E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val="es-AR" w:eastAsia="es-UY"/>
        </w:rPr>
      </w:pPr>
      <w:r w:rsidRPr="000D2EB9">
        <w:rPr>
          <w:rFonts w:ascii="Arial" w:eastAsia="Times New Roman" w:hAnsi="Arial" w:cs="Arial"/>
          <w:color w:val="222222"/>
          <w:sz w:val="19"/>
          <w:szCs w:val="19"/>
          <w:lang w:val="es-AR" w:eastAsia="es-UY"/>
        </w:rPr>
        <w:t> </w:t>
      </w:r>
    </w:p>
    <w:p w:rsidR="000D2EB9" w:rsidRPr="000D2EB9" w:rsidRDefault="000D2EB9" w:rsidP="000D2EB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  <w:lang w:val="es-AR" w:eastAsia="es-UY"/>
        </w:rPr>
      </w:pPr>
      <w:r w:rsidRPr="000D2EB9">
        <w:rPr>
          <w:rFonts w:ascii="Arial" w:eastAsia="Times New Roman" w:hAnsi="Arial" w:cs="Arial"/>
          <w:b/>
          <w:bCs/>
          <w:color w:val="00B050"/>
          <w:sz w:val="24"/>
          <w:szCs w:val="24"/>
          <w:lang w:val="es-AR" w:eastAsia="es-UY"/>
        </w:rPr>
        <w:t>http\\</w:t>
      </w:r>
      <w:hyperlink r:id="rId8" w:tgtFrame="_blank" w:history="1">
        <w:r w:rsidRPr="000D2EB9">
          <w:rPr>
            <w:rFonts w:ascii="Arial" w:eastAsia="Times New Roman" w:hAnsi="Arial" w:cs="Arial"/>
            <w:b/>
            <w:bCs/>
            <w:color w:val="1155CC"/>
            <w:sz w:val="24"/>
            <w:szCs w:val="24"/>
            <w:u w:val="single"/>
            <w:lang w:val="es-AR" w:eastAsia="es-UY"/>
          </w:rPr>
          <w:t>blogeduopp1.blogspot.com</w:t>
        </w:r>
      </w:hyperlink>
    </w:p>
    <w:p w:rsidR="000D2EB9" w:rsidRPr="000D2EB9" w:rsidRDefault="000D2EB9" w:rsidP="000D2E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val="es-AR" w:eastAsia="es-UY"/>
        </w:rPr>
      </w:pPr>
      <w:r w:rsidRPr="000D2EB9">
        <w:rPr>
          <w:rFonts w:ascii="Arial" w:eastAsia="Times New Roman" w:hAnsi="Arial" w:cs="Arial"/>
          <w:color w:val="222222"/>
          <w:sz w:val="19"/>
          <w:szCs w:val="19"/>
          <w:lang w:val="es-AR" w:eastAsia="es-UY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9"/>
        <w:gridCol w:w="8085"/>
      </w:tblGrid>
      <w:tr w:rsidR="000D2EB9" w:rsidRPr="000D2EB9" w:rsidTr="000D2EB9">
        <w:tc>
          <w:tcPr>
            <w:tcW w:w="660" w:type="dxa"/>
            <w:tcMar>
              <w:top w:w="0" w:type="dxa"/>
              <w:left w:w="15" w:type="dxa"/>
              <w:bottom w:w="15" w:type="dxa"/>
              <w:right w:w="120" w:type="dxa"/>
            </w:tcMar>
          </w:tcPr>
          <w:p w:rsidR="000D2EB9" w:rsidRPr="000D2EB9" w:rsidRDefault="000D2EB9" w:rsidP="000D2EB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s-UY"/>
              </w:rPr>
            </w:pPr>
          </w:p>
        </w:tc>
        <w:tc>
          <w:tcPr>
            <w:tcW w:w="1511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D2EB9" w:rsidRPr="000D2EB9" w:rsidRDefault="000D2EB9" w:rsidP="000D2EB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999999"/>
                <w:sz w:val="24"/>
                <w:szCs w:val="24"/>
                <w:lang w:eastAsia="es-UY"/>
              </w:rPr>
            </w:pPr>
          </w:p>
        </w:tc>
      </w:tr>
    </w:tbl>
    <w:p w:rsidR="0027188B" w:rsidRPr="000D2EB9" w:rsidRDefault="0027188B" w:rsidP="000D2EB9"/>
    <w:sectPr w:rsidR="0027188B" w:rsidRPr="000D2EB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127"/>
    <w:rsid w:val="000C5127"/>
    <w:rsid w:val="000D2EB9"/>
    <w:rsid w:val="0027188B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90A9E6"/>
  <w15:chartTrackingRefBased/>
  <w15:docId w15:val="{7EDFF195-2761-4605-B6A1-431BEF942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201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728126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28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610513">
                      <w:marLeft w:val="0"/>
                      <w:marRight w:val="225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3506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4631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8201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8532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30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10217">
                  <w:marLeft w:val="0"/>
                  <w:marRight w:val="75"/>
                  <w:marTop w:val="0"/>
                  <w:marBottom w:val="0"/>
                  <w:divBdr>
                    <w:top w:val="single" w:sz="6" w:space="6" w:color="D8D8D8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648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6423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4885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logeduopp1.blogspot.com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egosumqui.blogspot.com/2010/08/politicamente-incorrecto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lanacion.com.ar/1754793-carlos-sacheri-constructor-del-bien-comun" TargetMode="External"/><Relationship Id="rId5" Type="http://schemas.openxmlformats.org/officeDocument/2006/relationships/hyperlink" Target="http://www.europapress.es/sociedad/noticia-papa-tambien-proclama-beatos-tres-misioneros-asesinados-sendero-luminoso-1991-reconocerse-martirio-20150204160559.html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615</Words>
  <Characters>3383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2018-08-09T20:47:00Z</dcterms:created>
  <dcterms:modified xsi:type="dcterms:W3CDTF">2018-08-09T21:31:00Z</dcterms:modified>
</cp:coreProperties>
</file>