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</w:rPr>
        <w:t>Estados Unidos y los nuevos riesgos económicos de América Latina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Oscar Ugarteche, Priscila Lechuga, Armando Negrete, </w:t>
      </w:r>
      <w:hyperlink r:id="rId4" w:tgtFrame="_blank" w:history="1">
        <w:r>
          <w:rPr>
            <w:rStyle w:val="Hipervnculo"/>
            <w:color w:val="1155CC"/>
          </w:rPr>
          <w:t>www.alainet.org</w:t>
        </w:r>
      </w:hyperlink>
      <w:r>
        <w:rPr>
          <w:color w:val="000000"/>
        </w:rPr>
        <w:t> 25/06/2018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 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El ímpetu del discurso optimista del primer trimestre del 2018, emanado del Fondo Monetario Internacional y el Banco Mundial, se ha enfrentado con la realidad económica mundial, los previsibles anuncios del alza de las tasas de interés por el Reserva Federal de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(Fed) y los riesgos aparejados al alza unilateral de aranceles estadounidense.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En las Perspectivas de la Economía Mundial (WEO) de abril, del FMI, se mantuvieron las previsiones de crecimiento económico mundial en un nivel de 3.9% presentadas en enero. Las estimaciones del Banco Mundial continuaron positivas para 2018 y 2019, aunque han moderado su optimismo a mediano plazo a un 3% y 2.9%, para 2019 y 2020, respectivamente.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Sin embargo, las tensiones creadas por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complican el escenario próspero de la economía mundial. Eventos como el alza de las tasas de interés del FED; el anuncio de otras dos alzas durante el 2018 (en setiembre y diciembre) y dos más en el 2019 (marzo y junio); con la consecuencia de incrementos en las tasas de interés del resto del mundo; el impacto de eso sobre el tipo de cambio del resto del mundo; y el impacto adverso sobre la tasa de inversión y consumo del resto del mundo amén del incremento en las tensiones geopolíticas provocadas por acciones de EEUU en Medio Oriente y en el Caribe; en Corea del Norte; y su política migratoria, significan riesgos altísimos para la economía mundial. Junto a la baja de inversión y consumo viene el alza del precio del petróleo y del costo de la mano de obra. Eso para la economía mundial y para las bolsas de valores importantes, tiene un signo negativo.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Las primeras reacciones a la esquizofrenia de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han sido: Europa normalizó la política monetaria para terminar con el “</w:t>
      </w:r>
      <w:proofErr w:type="spellStart"/>
      <w:r>
        <w:rPr>
          <w:color w:val="000000"/>
        </w:rPr>
        <w:t>quick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easing</w:t>
      </w:r>
      <w:proofErr w:type="spellEnd"/>
      <w:r>
        <w:rPr>
          <w:color w:val="000000"/>
        </w:rPr>
        <w:t>”; con un proceso gradual, para alcanzar sus objetivos de inflación. Ante las variaciones de la tasa de interés de referencia de la Fed, los Bancos Centrales latinoamericanos tuvieron reacciones contrarias: México, Argentina y Ecuador la aumentaron, mientras Brasil, Perú y Colombia la disminuyeron (ver cuadro 1), pero tarde o temprano los aumentos obligarán a los países emergentes a incrementar sus respectivas tasas.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Los efectos de la política proteccionista de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son igual de preocupantes o más. El TLCAN parece con menos posibilidad de sobrevivir frente a la imposición de aranceles al acero y al aluminio de 25% y 10%. México, respondió con aranceles a productos como aceros planos y embutidos; y amenazó sobre productos esenciales como soja y maíz. Canadá, el más afectado por las medidas, se dispuso a imponer aranceles sobre las compras de bienes por un valor de 12,800 millones de dólares. Por si fuera poco, la tensión entre EUA y Canadá creció después de la reunión del G-7 en Quebec, por las nocivas declaraciones del asesor económico Peter Navarro. (ver </w:t>
      </w:r>
      <w:hyperlink r:id="rId5" w:tgtFrame="_blank" w:history="1">
        <w:r>
          <w:rPr>
            <w:rStyle w:val="Hipervnculo"/>
            <w:color w:val="1155CC"/>
          </w:rPr>
          <w:t>http://obela.org/analisis/el-final-de-la-era-multilateral</w:t>
        </w:r>
      </w:hyperlink>
      <w:r>
        <w:rPr>
          <w:color w:val="000000"/>
        </w:rPr>
        <w:t>).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La Unión Europea respondió con impuestos del 25% sobre productos de consumo y agrícolas. A lo cual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ha amenazado con aplicar una segunda ronda de represalias con un arancel del 20% a las importaciones de coches provenientes de Europa.  Ha amenazado, también, a las importaciones de vehículos y autopartes de México, Canadá y Japón en un escenario abierto de guerra comercial.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La relación entre China y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es cada vez más hostil. Después que el secretario del Tesoro estadounidense, Steven Mnuchin, confirmara que entre ambos países se había acordado la suspensión de aranceles, impusieron aranceles de entre 15% y 25% a más de 1,000 productos provenientes de China, por $50,000 </w:t>
      </w:r>
      <w:proofErr w:type="spellStart"/>
      <w:r>
        <w:rPr>
          <w:color w:val="000000"/>
        </w:rPr>
        <w:t>mdd</w:t>
      </w:r>
      <w:proofErr w:type="spellEnd"/>
      <w:r>
        <w:rPr>
          <w:color w:val="000000"/>
        </w:rPr>
        <w:t xml:space="preserve">. relativos a medicamentos y </w:t>
      </w:r>
      <w:r>
        <w:rPr>
          <w:color w:val="000000"/>
        </w:rPr>
        <w:lastRenderedPageBreak/>
        <w:t xml:space="preserve">tecnología. La retaliación china fue tasas del 25% sobre 659 productos agrícolas, entre los que destacan la soja, el maíz, arroz, res y cerdo. A lo cual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reaccionó en una segunda ronda de alzas con aranceles por $200,000 </w:t>
      </w:r>
      <w:proofErr w:type="spellStart"/>
      <w:r>
        <w:rPr>
          <w:color w:val="000000"/>
        </w:rPr>
        <w:t>mdd</w:t>
      </w:r>
      <w:proofErr w:type="spellEnd"/>
      <w:r>
        <w:rPr>
          <w:color w:val="000000"/>
        </w:rPr>
        <w:t xml:space="preserve">. La segunda retaliación china ha sido anular las negociaciones hechas con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>, y asegurar que responderá con represalias proporcionales.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>La política del gobierno del presidente Donald Trump no ha parecido responder a las necesidades de largo plazo de la economía estadounidense. Trata de resolver su prolongado estancamiento económico con incrementos de la tasa de referencia, hasta llegar al 3.5% en 2019 o extenderlo hasta 2020 al 4%. Esto afectará más el comercio internacional, y el dinamismo del comercio exportador con los efectos sobre sus niveles de endeudamiento externo, de por sí ya elevados. Se está provocando depreciaciones en las monedas con inherente volatilidad y contracción de sus mercados, como ya se ha visto en Brasil, México y Argentina.</w:t>
      </w:r>
    </w:p>
    <w:p w:rsidR="005C1226" w:rsidRDefault="005C1226" w:rsidP="005C1226">
      <w:pPr>
        <w:pStyle w:val="NormalWeb"/>
        <w:shd w:val="clear" w:color="auto" w:fill="FFFFFF"/>
        <w:spacing w:before="60" w:beforeAutospacing="0" w:after="6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Todo esto derivará en incrementos mayores de sus tasas de interés en las economías emergentes, con lo que se estancarán los componentes de demanda agregada y generarán una desaceleración del crecimiento económico regional y mundial. </w:t>
      </w:r>
      <w:proofErr w:type="gramStart"/>
      <w:r>
        <w:rPr>
          <w:color w:val="000000"/>
        </w:rPr>
        <w:t>EEUU</w:t>
      </w:r>
      <w:proofErr w:type="gramEnd"/>
      <w:r>
        <w:rPr>
          <w:color w:val="000000"/>
        </w:rPr>
        <w:t xml:space="preserve"> está jugando, solo y a la fuerza, a recolocarse como el país líder a costa de todo y de todos. Sin embargo, no está enfrentando el problema central: el cambio tecnológico y su falta de competitividad. El déficit comercial estadounidense es fruto de esto y no es culpa del resto del mundo.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26"/>
    <w:rsid w:val="002E2F5B"/>
    <w:rsid w:val="005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49FF9-0184-492E-8088-6E1A2A7E0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C1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1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ela.org/analisis/el-final-de-la-era-multilateral" TargetMode="External"/><Relationship Id="rId4" Type="http://schemas.openxmlformats.org/officeDocument/2006/relationships/hyperlink" Target="http://www.alainet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2018-07-30T12:44:00Z</dcterms:created>
  <dcterms:modified xsi:type="dcterms:W3CDTF">2018-07-30T12:45:00Z</dcterms:modified>
</cp:coreProperties>
</file>