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16A3" w:rsidRPr="004E16A3" w:rsidRDefault="004E16A3" w:rsidP="004E16A3">
      <w:pPr>
        <w:shd w:val="clear" w:color="auto" w:fill="FFFFFF"/>
        <w:spacing w:after="0" w:line="240" w:lineRule="auto"/>
        <w:jc w:val="center"/>
        <w:textAlignment w:val="baseline"/>
        <w:outlineLvl w:val="0"/>
        <w:rPr>
          <w:rFonts w:ascii="inherit" w:eastAsia="Times New Roman" w:hAnsi="inherit" w:cs="Lucida Sans Unicode"/>
          <w:b/>
          <w:color w:val="222222"/>
          <w:kern w:val="36"/>
          <w:sz w:val="48"/>
          <w:szCs w:val="48"/>
          <w:lang w:eastAsia="es-UY"/>
        </w:rPr>
      </w:pPr>
      <w:r w:rsidRPr="004E16A3">
        <w:rPr>
          <w:rFonts w:ascii="inherit" w:eastAsia="Times New Roman" w:hAnsi="inherit" w:cs="Lucida Sans Unicode"/>
          <w:b/>
          <w:color w:val="222222"/>
          <w:kern w:val="36"/>
          <w:sz w:val="48"/>
          <w:szCs w:val="48"/>
          <w:lang w:eastAsia="es-UY"/>
        </w:rPr>
        <w:t>BRASIL - Lula da Silva: los tribunales lo condenan, la historia lo absolverá</w:t>
      </w:r>
    </w:p>
    <w:p w:rsidR="004E16A3" w:rsidRPr="004E16A3" w:rsidRDefault="004E16A3" w:rsidP="004E16A3">
      <w:pPr>
        <w:shd w:val="clear" w:color="auto" w:fill="FFFFFF"/>
        <w:spacing w:after="0" w:line="240" w:lineRule="auto"/>
        <w:textAlignment w:val="baseline"/>
        <w:outlineLvl w:val="0"/>
        <w:rPr>
          <w:rFonts w:ascii="inherit" w:eastAsia="Times New Roman" w:hAnsi="inherit" w:cs="Lucida Sans Unicode"/>
          <w:color w:val="222222"/>
          <w:kern w:val="36"/>
          <w:sz w:val="48"/>
          <w:szCs w:val="48"/>
          <w:lang w:eastAsia="es-UY"/>
        </w:rPr>
      </w:pPr>
    </w:p>
    <w:p w:rsidR="004E16A3" w:rsidRDefault="004E16A3" w:rsidP="004E16A3">
      <w:pPr>
        <w:shd w:val="clear" w:color="auto" w:fill="FFFFFF"/>
        <w:spacing w:after="0" w:line="240" w:lineRule="auto"/>
        <w:textAlignment w:val="baseline"/>
        <w:rPr>
          <w:rFonts w:ascii="inherit" w:eastAsia="Times New Roman" w:hAnsi="inherit" w:cs="Lucida Sans Unicode"/>
          <w:color w:val="222222"/>
          <w:sz w:val="24"/>
          <w:szCs w:val="24"/>
          <w:lang w:eastAsia="es-UY"/>
        </w:rPr>
      </w:pPr>
      <w:proofErr w:type="spellStart"/>
      <w:r w:rsidRPr="004E16A3">
        <w:rPr>
          <w:rFonts w:ascii="inherit" w:eastAsia="Times New Roman" w:hAnsi="inherit" w:cs="Lucida Sans Unicode"/>
          <w:color w:val="222222"/>
          <w:sz w:val="24"/>
          <w:szCs w:val="24"/>
          <w:lang w:eastAsia="es-UY"/>
        </w:rPr>
        <w:t>Boaventura</w:t>
      </w:r>
      <w:proofErr w:type="spellEnd"/>
      <w:r w:rsidRPr="004E16A3">
        <w:rPr>
          <w:rFonts w:ascii="inherit" w:eastAsia="Times New Roman" w:hAnsi="inherit" w:cs="Lucida Sans Unicode"/>
          <w:color w:val="222222"/>
          <w:sz w:val="24"/>
          <w:szCs w:val="24"/>
          <w:lang w:eastAsia="es-UY"/>
        </w:rPr>
        <w:t xml:space="preserve"> de Sousa Santos, </w:t>
      </w:r>
    </w:p>
    <w:p w:rsidR="00383805" w:rsidRPr="004E16A3" w:rsidRDefault="00383805" w:rsidP="004E16A3">
      <w:pPr>
        <w:shd w:val="clear" w:color="auto" w:fill="FFFFFF"/>
        <w:spacing w:after="0" w:line="240" w:lineRule="auto"/>
        <w:textAlignment w:val="baseline"/>
        <w:rPr>
          <w:rFonts w:ascii="inherit" w:eastAsia="Times New Roman" w:hAnsi="inherit" w:cs="Lucida Sans Unicode"/>
          <w:color w:val="222222"/>
          <w:sz w:val="24"/>
          <w:szCs w:val="24"/>
          <w:lang w:eastAsia="es-UY"/>
        </w:rPr>
      </w:pPr>
    </w:p>
    <w:p w:rsidR="004E16A3" w:rsidRDefault="004E16A3" w:rsidP="004E16A3">
      <w:pPr>
        <w:shd w:val="clear" w:color="auto" w:fill="FFFFFF"/>
        <w:spacing w:line="240" w:lineRule="auto"/>
        <w:textAlignment w:val="baseline"/>
        <w:rPr>
          <w:rFonts w:ascii="inherit" w:eastAsia="Times New Roman" w:hAnsi="inherit" w:cs="Lucida Sans Unicode"/>
          <w:i/>
          <w:iCs/>
          <w:color w:val="222222"/>
          <w:bdr w:val="none" w:sz="0" w:space="0" w:color="auto" w:frame="1"/>
          <w:lang w:eastAsia="es-UY"/>
        </w:rPr>
      </w:pPr>
      <w:r w:rsidRPr="004E16A3">
        <w:rPr>
          <w:rFonts w:ascii="inherit" w:eastAsia="Times New Roman" w:hAnsi="inherit" w:cs="Lucida Sans Unicode"/>
          <w:i/>
          <w:iCs/>
          <w:color w:val="222222"/>
          <w:lang w:eastAsia="es-UY"/>
        </w:rPr>
        <w:t>Jueves 12 de abril de 2018</w:t>
      </w:r>
      <w:r w:rsidRPr="004E16A3">
        <w:rPr>
          <w:rFonts w:ascii="inherit" w:eastAsia="Times New Roman" w:hAnsi="inherit" w:cs="Lucida Sans Unicode"/>
          <w:i/>
          <w:iCs/>
          <w:color w:val="222222"/>
          <w:bdr w:val="none" w:sz="0" w:space="0" w:color="auto" w:frame="1"/>
          <w:lang w:eastAsia="es-UY"/>
        </w:rPr>
        <w:t>, puesto en línea por </w:t>
      </w:r>
      <w:hyperlink r:id="rId4" w:history="1">
        <w:r w:rsidRPr="004E16A3">
          <w:rPr>
            <w:rFonts w:ascii="inherit" w:eastAsia="Times New Roman" w:hAnsi="inherit" w:cs="Lucida Sans Unicode"/>
            <w:i/>
            <w:iCs/>
            <w:color w:val="C85000"/>
            <w:u w:val="single"/>
            <w:bdr w:val="none" w:sz="0" w:space="0" w:color="auto" w:frame="1"/>
            <w:lang w:eastAsia="es-UY"/>
          </w:rPr>
          <w:t>Claudia Casal</w:t>
        </w:r>
      </w:hyperlink>
    </w:p>
    <w:p w:rsidR="004E16A3" w:rsidRPr="004E16A3" w:rsidRDefault="004E16A3" w:rsidP="004E16A3">
      <w:pPr>
        <w:shd w:val="clear" w:color="auto" w:fill="FFFFFF"/>
        <w:spacing w:line="240" w:lineRule="auto"/>
        <w:textAlignment w:val="baseline"/>
        <w:rPr>
          <w:rFonts w:ascii="inherit" w:eastAsia="Times New Roman" w:hAnsi="inherit" w:cs="Lucida Sans Unicode"/>
          <w:i/>
          <w:iCs/>
          <w:color w:val="222222"/>
          <w:lang w:eastAsia="es-UY"/>
        </w:rPr>
      </w:pPr>
    </w:p>
    <w:p w:rsidR="004E16A3" w:rsidRDefault="004E16A3" w:rsidP="004E16A3">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4E16A3">
        <w:rPr>
          <w:rFonts w:ascii="inherit" w:eastAsia="Times New Roman" w:hAnsi="inherit" w:cs="Lucida Sans Unicode"/>
          <w:color w:val="222222"/>
          <w:sz w:val="24"/>
          <w:szCs w:val="24"/>
          <w:lang w:eastAsia="es-UY"/>
        </w:rPr>
        <w:t>10 de abril de 2018 - </w:t>
      </w:r>
      <w:proofErr w:type="spellStart"/>
      <w:r w:rsidRPr="004E16A3">
        <w:rPr>
          <w:rFonts w:ascii="inherit" w:eastAsia="Times New Roman" w:hAnsi="inherit" w:cs="Lucida Sans Unicode"/>
          <w:color w:val="222222"/>
          <w:sz w:val="24"/>
          <w:szCs w:val="24"/>
          <w:lang w:eastAsia="es-UY"/>
        </w:rPr>
        <w:fldChar w:fldCharType="begin"/>
      </w:r>
      <w:r w:rsidRPr="004E16A3">
        <w:rPr>
          <w:rFonts w:ascii="inherit" w:eastAsia="Times New Roman" w:hAnsi="inherit" w:cs="Lucida Sans Unicode"/>
          <w:color w:val="222222"/>
          <w:sz w:val="24"/>
          <w:szCs w:val="24"/>
          <w:lang w:eastAsia="es-UY"/>
        </w:rPr>
        <w:instrText xml:space="preserve"> HYPERLINK "http://www.other-news.info/" </w:instrText>
      </w:r>
      <w:r w:rsidRPr="004E16A3">
        <w:rPr>
          <w:rFonts w:ascii="inherit" w:eastAsia="Times New Roman" w:hAnsi="inherit" w:cs="Lucida Sans Unicode"/>
          <w:color w:val="222222"/>
          <w:sz w:val="24"/>
          <w:szCs w:val="24"/>
          <w:lang w:eastAsia="es-UY"/>
        </w:rPr>
        <w:fldChar w:fldCharType="separate"/>
      </w:r>
      <w:r w:rsidRPr="004E16A3">
        <w:rPr>
          <w:rFonts w:ascii="inherit" w:eastAsia="Times New Roman" w:hAnsi="inherit" w:cs="Lucida Sans Unicode"/>
          <w:color w:val="C85000"/>
          <w:sz w:val="24"/>
          <w:szCs w:val="24"/>
          <w:u w:val="single"/>
          <w:bdr w:val="none" w:sz="0" w:space="0" w:color="auto" w:frame="1"/>
          <w:lang w:eastAsia="es-UY"/>
        </w:rPr>
        <w:t>Other</w:t>
      </w:r>
      <w:proofErr w:type="spellEnd"/>
      <w:r w:rsidRPr="004E16A3">
        <w:rPr>
          <w:rFonts w:ascii="inherit" w:eastAsia="Times New Roman" w:hAnsi="inherit" w:cs="Lucida Sans Unicode"/>
          <w:color w:val="C85000"/>
          <w:sz w:val="24"/>
          <w:szCs w:val="24"/>
          <w:u w:val="single"/>
          <w:bdr w:val="none" w:sz="0" w:space="0" w:color="auto" w:frame="1"/>
          <w:lang w:eastAsia="es-UY"/>
        </w:rPr>
        <w:t xml:space="preserve"> News</w:t>
      </w:r>
      <w:r w:rsidRPr="004E16A3">
        <w:rPr>
          <w:rFonts w:ascii="inherit" w:eastAsia="Times New Roman" w:hAnsi="inherit" w:cs="Lucida Sans Unicode"/>
          <w:color w:val="222222"/>
          <w:sz w:val="24"/>
          <w:szCs w:val="24"/>
          <w:lang w:eastAsia="es-UY"/>
        </w:rPr>
        <w:fldChar w:fldCharType="end"/>
      </w:r>
      <w:r w:rsidRPr="004E16A3">
        <w:rPr>
          <w:rFonts w:ascii="inherit" w:eastAsia="Times New Roman" w:hAnsi="inherit" w:cs="Lucida Sans Unicode"/>
          <w:color w:val="222222"/>
          <w:sz w:val="24"/>
          <w:szCs w:val="24"/>
          <w:lang w:eastAsia="es-UY"/>
        </w:rPr>
        <w:t> - El proceso Lula da Silva pone descarada</w:t>
      </w:r>
      <w:bookmarkStart w:id="0" w:name="_GoBack"/>
      <w:bookmarkEnd w:id="0"/>
      <w:r w:rsidRPr="004E16A3">
        <w:rPr>
          <w:rFonts w:ascii="inherit" w:eastAsia="Times New Roman" w:hAnsi="inherit" w:cs="Lucida Sans Unicode"/>
          <w:color w:val="222222"/>
          <w:sz w:val="24"/>
          <w:szCs w:val="24"/>
          <w:lang w:eastAsia="es-UY"/>
        </w:rPr>
        <w:t>mente de manifiesto que algo está podrido en el sistema judicial brasileño, evidenciando procedimientos y prácticas incompatibles con principios y garantías fundamentales de un Estado de derecho democrático, los cuales deben ser denunciados y democráticamente combatidos.</w:t>
      </w:r>
    </w:p>
    <w:p w:rsidR="004E16A3" w:rsidRPr="004E16A3" w:rsidRDefault="004E16A3" w:rsidP="004E16A3">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p>
    <w:p w:rsidR="004E16A3" w:rsidRPr="004E16A3" w:rsidRDefault="004E16A3" w:rsidP="004E16A3">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4E16A3">
        <w:rPr>
          <w:rFonts w:ascii="inherit" w:eastAsia="Times New Roman" w:hAnsi="inherit" w:cs="Lucida Sans Unicode"/>
          <w:color w:val="222222"/>
          <w:sz w:val="24"/>
          <w:szCs w:val="24"/>
          <w:lang w:eastAsia="es-UY"/>
        </w:rPr>
        <w:t>Totalitarismo y selectividad de la acción judicial. El principio de independencia de los tribunales constituye uno de los principios básicos del constitucionalismo moderno como garantía del derecho de los ciudadanos a una justicia libre de presiones e interferencias tanto del poder político como de poderes fácticos, nacionales o internacionales. El refuerzo de las condiciones de ejecución de esos principios se da a través de modelos de gobierno del poder judicial con amplia autonomía administrativa y financiera. Sin embargo, en una sociedad democrática, ese refuerzo no puede deslizarse hacia un poder selectivo y totalitario, sin fiscalización y sin que exista un sistema de contrapesos. El proceso Lula da Silva evidencia un poder judicial en el que tal deslizamiento está en curso. He aquí dos ejemplos. Existe una clara disyunción entre el activismo judicial contra Lula da Silva —de forma rápida, eficaz e implacable en la acción (</w:t>
      </w:r>
      <w:proofErr w:type="spellStart"/>
      <w:r w:rsidRPr="004E16A3">
        <w:rPr>
          <w:rFonts w:ascii="inherit" w:eastAsia="Times New Roman" w:hAnsi="inherit" w:cs="Lucida Sans Unicode"/>
          <w:color w:val="222222"/>
          <w:sz w:val="24"/>
          <w:szCs w:val="24"/>
          <w:lang w:eastAsia="es-UY"/>
        </w:rPr>
        <w:t>Sérgio</w:t>
      </w:r>
      <w:proofErr w:type="spellEnd"/>
      <w:r w:rsidRPr="004E16A3">
        <w:rPr>
          <w:rFonts w:ascii="inherit" w:eastAsia="Times New Roman" w:hAnsi="inherit" w:cs="Lucida Sans Unicode"/>
          <w:color w:val="222222"/>
          <w:sz w:val="24"/>
          <w:szCs w:val="24"/>
          <w:lang w:eastAsia="es-UY"/>
        </w:rPr>
        <w:t xml:space="preserve"> Moro decretó la detención de Lula escasos minutos después de notificársele la decisión de desestimar el habeas corpus, que aún era posible recurrir, y desde la denuncia a la ejecución de la pena transcurrieron menos de 2 años)— y la lentitud de la acción judicial contra Michel Temer y otros políticos de la derecha brasileña. Y no puede invocarse el argumento de que esa inacción fue bloqueada por maniobras del poder político porque no se conoce igual activismo del poder judicial en la denuncia de esas maniobras y en procurar superarlas.</w:t>
      </w:r>
    </w:p>
    <w:p w:rsidR="004E16A3" w:rsidRPr="004E16A3" w:rsidRDefault="004E16A3" w:rsidP="004E16A3">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4E16A3">
        <w:rPr>
          <w:rFonts w:ascii="inherit" w:eastAsia="Times New Roman" w:hAnsi="inherit" w:cs="Lucida Sans Unicode"/>
          <w:color w:val="222222"/>
          <w:sz w:val="24"/>
          <w:szCs w:val="24"/>
          <w:lang w:eastAsia="es-UY"/>
        </w:rPr>
        <w:t xml:space="preserve">El segundo ejemplo es la restricción totalitaria de derechos y libertades constitucionalmente consagrados. En un Estado democrático de derecho, los tribunales tienen que ser espacios de profundización de derechos. Lo que sucede en Brasil es precisamente lo contrario. La Constitución brasileña determina que nadie se considerará culpable si no es en virtud de una sentencia condenatoria firme, es decir, hasta que se agoten todas las posibilidades de recurso. La Constitución portuguesa tiene una norma similar. Y es inimaginable que el Tribunal Constitucional portugués determinara que una persona fuera encarcelada con su proceso de apelación en el Tribunal Supremo de Justicia. Sin embargo, esto es lo que la mayoría de los jueces del Supremo Tribunal Federal (STF) brasileño hizo: restringió derechos y libertades constitucionales al determinar que, aun no teniendo el caso sentenciado, Lula da Silva podía comenzar a cumplir pena. ¿Cuál es la </w:t>
      </w:r>
      <w:r w:rsidRPr="004E16A3">
        <w:rPr>
          <w:rFonts w:ascii="inherit" w:eastAsia="Times New Roman" w:hAnsi="inherit" w:cs="Lucida Sans Unicode"/>
          <w:color w:val="222222"/>
          <w:sz w:val="24"/>
          <w:szCs w:val="24"/>
          <w:lang w:eastAsia="es-UY"/>
        </w:rPr>
        <w:lastRenderedPageBreak/>
        <w:t>legitimidad social y política del poder judicial para restringir derechos y libertades fundamentales constitucionalmente consagrados? ¿Cómo puede un ciudadano o una sociedad quedar a merced de un poder que dice tener razones legales que la propia ley desconoce? ¿Qué confianza puede merecer un sistema judicial que cede a presiones militares que amenazan con un golpe si la decisión no es la que prefieren, o a presiones extranjeras, como las que están documentadas de interferencia del Departamento de Justicia y del FBI de Estados Unidos en el sentido de agilizar la condena y ejecutar la pena de prisión de Lula?</w:t>
      </w:r>
    </w:p>
    <w:p w:rsidR="004E16A3" w:rsidRPr="004E16A3" w:rsidRDefault="004E16A3" w:rsidP="004E16A3">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4E16A3">
        <w:rPr>
          <w:rFonts w:ascii="inherit" w:eastAsia="Times New Roman" w:hAnsi="inherit" w:cs="Lucida Sans Unicode"/>
          <w:color w:val="222222"/>
          <w:sz w:val="24"/>
          <w:szCs w:val="24"/>
          <w:lang w:eastAsia="es-UY"/>
        </w:rPr>
        <w:t>Falta de garantías del proceso penal. El debate mediático en torno a la prisión de Lula destaca el hecho de que el proceso fue apreciado y juzgado por un tribunal de segunda instancia que no solamente confirmó su condena, sino que además agravó la pena. Este agravamiento obligaría a una justificación adicional de culpabilidad. Desgraciadamente, la hegemonía ideológica de derecha que domina el espacio mediático no permite un debate jurídicamente serio al respecto. Si ello fuese posible, se comprendería cuán importante es cuestionar las pruebas materiales, las pruebas directas de los hechos en los que se asentó la acusación y la condena. Esas pruebas no existen en el proceso. La acusación y condena a 12 años de prisión de Lula da Silva se funda, sobre todo, en informaciones obtenidas mediante acuerdos de delación premiada y en presunciones. Además, las condiciones de recolección y validación de la prueba difícilmente pueden ser examinadas, dado que quien preside la investigación y valida las pruebas es quien juzga en primera instancia; al contrario de lo que ocurre, por ejemplo, en Portugal, donde el juez que interviene en la fase de investigación no puede juzgar el caso, permitiendo, así, un verdadero escrutinio de la prueba. El dominio del proceso por un juez en la fase de investigación y de juzgamiento le confiere un poder susceptible de manipulación y de instrumentalización política. Se comprende la magnitud del peligro para la sociedad y para el régimen político en caso de que este poder no se autocontrole.</w:t>
      </w:r>
    </w:p>
    <w:p w:rsidR="004E16A3" w:rsidRPr="004E16A3" w:rsidRDefault="004E16A3" w:rsidP="004E16A3">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4E16A3">
        <w:rPr>
          <w:rFonts w:ascii="inherit" w:eastAsia="Times New Roman" w:hAnsi="inherit" w:cs="Lucida Sans Unicode"/>
          <w:color w:val="222222"/>
          <w:sz w:val="24"/>
          <w:szCs w:val="24"/>
          <w:lang w:eastAsia="es-UY"/>
        </w:rPr>
        <w:t>Instrumentalización de la lucha contra la corrupción. El debate sobre el Caso Lula protagonizado por un sector del órgano judicial polariza el combate contra la corrupción, colocando de un lado a los actores judiciales del proceso Lava Jato, atribuyéndoles el combate intransigente contra la corrupción, y del otro a todos aquellos que cuestionan los métodos de investigación, atropellos a los derechos y garantías constitucionales, deficiencias de la prueba, actitudes totalitarias de los tribunales, selectividad y politización de la justicia. Esa polarización es instrumental y busca ocultar justamente varios atropellos del órgano judicial, tanto cuando actúa como cuando se rehúsa a hacerlo.</w:t>
      </w:r>
    </w:p>
    <w:p w:rsidR="004E16A3" w:rsidRDefault="004E16A3" w:rsidP="004E16A3">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4E16A3">
        <w:rPr>
          <w:rFonts w:ascii="inherit" w:eastAsia="Times New Roman" w:hAnsi="inherit" w:cs="Lucida Sans Unicode"/>
          <w:color w:val="222222"/>
          <w:sz w:val="24"/>
          <w:szCs w:val="24"/>
          <w:lang w:eastAsia="es-UY"/>
        </w:rPr>
        <w:t xml:space="preserve">El guion mediático de la demonización del PT es tan obsesivo cuanto grotesco. Consiste en la siguiente ecuación: corrupción=Lula=PT. Cuando se sabe que la corrupción es endémica, alcanza a todo el Congreso e incluso supuestamente al actual presidente de la República. El Estado de São Paulo del 7 de abril es paradigmático al respecto. Concluye el guion con la siguiente diatriba: “al igual que lo que sucedió con Al Capone, el célebre gánster americano que fue encarcelado no por sus innumerables actividades criminales, sino por evasión de impuestos, el caso del </w:t>
      </w:r>
      <w:proofErr w:type="spellStart"/>
      <w:r w:rsidRPr="004E16A3">
        <w:rPr>
          <w:rFonts w:ascii="inherit" w:eastAsia="Times New Roman" w:hAnsi="inherit" w:cs="Lucida Sans Unicode"/>
          <w:color w:val="222222"/>
          <w:sz w:val="24"/>
          <w:szCs w:val="24"/>
          <w:lang w:eastAsia="es-UY"/>
        </w:rPr>
        <w:t>tríplex</w:t>
      </w:r>
      <w:proofErr w:type="spellEnd"/>
      <w:r w:rsidRPr="004E16A3">
        <w:rPr>
          <w:rFonts w:ascii="inherit" w:eastAsia="Times New Roman" w:hAnsi="inherit" w:cs="Lucida Sans Unicode"/>
          <w:color w:val="222222"/>
          <w:sz w:val="24"/>
          <w:szCs w:val="24"/>
          <w:bdr w:val="none" w:sz="0" w:space="0" w:color="auto" w:frame="1"/>
          <w:lang w:eastAsia="es-UY"/>
        </w:rPr>
        <w:t> [</w:t>
      </w:r>
      <w:hyperlink r:id="rId5" w:anchor="nb1" w:tooltip="Según el caso conocido como “triplex de Guarujá”, Lula supuestamente aceptó que (...)" w:history="1">
        <w:r w:rsidRPr="004E16A3">
          <w:rPr>
            <w:rFonts w:ascii="inherit" w:eastAsia="Times New Roman" w:hAnsi="inherit" w:cs="Lucida Sans Unicode"/>
            <w:b/>
            <w:bCs/>
            <w:color w:val="C85000"/>
            <w:sz w:val="24"/>
            <w:szCs w:val="24"/>
            <w:u w:val="single"/>
            <w:bdr w:val="none" w:sz="0" w:space="0" w:color="auto" w:frame="1"/>
            <w:lang w:eastAsia="es-UY"/>
          </w:rPr>
          <w:t>1</w:t>
        </w:r>
      </w:hyperlink>
      <w:r w:rsidRPr="004E16A3">
        <w:rPr>
          <w:rFonts w:ascii="inherit" w:eastAsia="Times New Roman" w:hAnsi="inherit" w:cs="Lucida Sans Unicode"/>
          <w:color w:val="222222"/>
          <w:sz w:val="24"/>
          <w:szCs w:val="24"/>
          <w:bdr w:val="none" w:sz="0" w:space="0" w:color="auto" w:frame="1"/>
          <w:lang w:eastAsia="es-UY"/>
        </w:rPr>
        <w:t>]</w:t>
      </w:r>
      <w:r w:rsidRPr="004E16A3">
        <w:rPr>
          <w:rFonts w:ascii="inherit" w:eastAsia="Times New Roman" w:hAnsi="inherit" w:cs="Lucida Sans Unicode"/>
          <w:color w:val="222222"/>
          <w:sz w:val="24"/>
          <w:szCs w:val="24"/>
          <w:lang w:eastAsia="es-UY"/>
        </w:rPr>
        <w:t xml:space="preserve">, que provocó la orden de prisión contra Lula, está muy lejos de resumir el papel del expresidente en el </w:t>
      </w:r>
      <w:proofErr w:type="spellStart"/>
      <w:r w:rsidRPr="004E16A3">
        <w:rPr>
          <w:rFonts w:ascii="inherit" w:eastAsia="Times New Roman" w:hAnsi="inherit" w:cs="Lucida Sans Unicode"/>
          <w:color w:val="222222"/>
          <w:sz w:val="24"/>
          <w:szCs w:val="24"/>
          <w:lang w:eastAsia="es-UY"/>
        </w:rPr>
        <w:t>petrolão</w:t>
      </w:r>
      <w:proofErr w:type="spellEnd"/>
      <w:r w:rsidRPr="004E16A3">
        <w:rPr>
          <w:rFonts w:ascii="inherit" w:eastAsia="Times New Roman" w:hAnsi="inherit" w:cs="Lucida Sans Unicode"/>
          <w:color w:val="222222"/>
          <w:sz w:val="24"/>
          <w:szCs w:val="24"/>
          <w:bdr w:val="none" w:sz="0" w:space="0" w:color="auto" w:frame="1"/>
          <w:lang w:eastAsia="es-UY"/>
        </w:rPr>
        <w:t> [</w:t>
      </w:r>
      <w:hyperlink r:id="rId6" w:anchor="nb2" w:tooltip="Petrolão es el nombre con el que se conoce un esquema de corrupción y desvío (...)" w:history="1">
        <w:r w:rsidRPr="004E16A3">
          <w:rPr>
            <w:rFonts w:ascii="inherit" w:eastAsia="Times New Roman" w:hAnsi="inherit" w:cs="Lucida Sans Unicode"/>
            <w:b/>
            <w:bCs/>
            <w:color w:val="C85000"/>
            <w:sz w:val="24"/>
            <w:szCs w:val="24"/>
            <w:u w:val="single"/>
            <w:bdr w:val="none" w:sz="0" w:space="0" w:color="auto" w:frame="1"/>
            <w:lang w:eastAsia="es-UY"/>
          </w:rPr>
          <w:t>2</w:t>
        </w:r>
      </w:hyperlink>
      <w:r w:rsidRPr="004E16A3">
        <w:rPr>
          <w:rFonts w:ascii="inherit" w:eastAsia="Times New Roman" w:hAnsi="inherit" w:cs="Lucida Sans Unicode"/>
          <w:color w:val="222222"/>
          <w:sz w:val="24"/>
          <w:szCs w:val="24"/>
          <w:bdr w:val="none" w:sz="0" w:space="0" w:color="auto" w:frame="1"/>
          <w:lang w:eastAsia="es-UY"/>
        </w:rPr>
        <w:t>]</w:t>
      </w:r>
      <w:r w:rsidRPr="004E16A3">
        <w:rPr>
          <w:rFonts w:ascii="inherit" w:eastAsia="Times New Roman" w:hAnsi="inherit" w:cs="Lucida Sans Unicode"/>
          <w:color w:val="222222"/>
          <w:sz w:val="24"/>
          <w:szCs w:val="24"/>
          <w:lang w:eastAsia="es-UY"/>
        </w:rPr>
        <w:t xml:space="preserve">. Esta narrativa omite lo </w:t>
      </w:r>
      <w:r w:rsidRPr="004E16A3">
        <w:rPr>
          <w:rFonts w:ascii="inherit" w:eastAsia="Times New Roman" w:hAnsi="inherit" w:cs="Lucida Sans Unicode"/>
          <w:color w:val="222222"/>
          <w:sz w:val="24"/>
          <w:szCs w:val="24"/>
          <w:lang w:eastAsia="es-UY"/>
        </w:rPr>
        <w:lastRenderedPageBreak/>
        <w:t xml:space="preserve">fundamental: en el caso de Al Capone, los tribunales probaron de hecho la evasión de impuestos, en tanto que en el caso de Lula da Silva, los tribunales no probaron la adquisición del departamento. Por increíble que parezca, de la lectura de las sentencias se concluye que la supuesta prueba es mera presunción y convicción de los magistrados. Las campañas </w:t>
      </w:r>
      <w:proofErr w:type="spellStart"/>
      <w:r w:rsidRPr="004E16A3">
        <w:rPr>
          <w:rFonts w:ascii="inherit" w:eastAsia="Times New Roman" w:hAnsi="inherit" w:cs="Lucida Sans Unicode"/>
          <w:color w:val="222222"/>
          <w:sz w:val="24"/>
          <w:szCs w:val="24"/>
          <w:lang w:eastAsia="es-UY"/>
        </w:rPr>
        <w:t>antipetismo</w:t>
      </w:r>
      <w:proofErr w:type="spellEnd"/>
      <w:r w:rsidRPr="004E16A3">
        <w:rPr>
          <w:rFonts w:ascii="inherit" w:eastAsia="Times New Roman" w:hAnsi="inherit" w:cs="Lucida Sans Unicode"/>
          <w:color w:val="222222"/>
          <w:sz w:val="24"/>
          <w:szCs w:val="24"/>
          <w:lang w:eastAsia="es-UY"/>
        </w:rPr>
        <w:t xml:space="preserve"> hacen recordar las campañas antisemitismo de los tiempos del nazismo. En ambos casos, la prueba para condenar consiste en la evidente no necesidad de probar.</w:t>
      </w:r>
    </w:p>
    <w:p w:rsidR="004E16A3" w:rsidRPr="004E16A3" w:rsidRDefault="004E16A3" w:rsidP="004E16A3">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p>
    <w:p w:rsidR="004E16A3" w:rsidRPr="004E16A3" w:rsidRDefault="004E16A3" w:rsidP="004E16A3">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4E16A3">
        <w:rPr>
          <w:rFonts w:ascii="inherit" w:eastAsia="Times New Roman" w:hAnsi="inherit" w:cs="Lucida Sans Unicode"/>
          <w:color w:val="222222"/>
          <w:sz w:val="24"/>
          <w:szCs w:val="24"/>
          <w:lang w:eastAsia="es-UY"/>
        </w:rPr>
        <w:t xml:space="preserve">Los demócratas y muchos magistrados brasileños que con probidad cívica y profesional sirven en el sistema judicial sin servirse de él, tienen una tarea exigente hacia adelante. ¿Cómo salir con dignidad de este pantano de atropellos con fachada legal? ¿Qué reforma del sistema judicial se impone? ¿Cómo organizar a los magistrados dispuestos a levantar trincheras democráticas contra la viscosa propagación de un fascismo jurídico-político de nuevo tipo? ¿Cómo reformar la enseñanza del derecho a fin de que las perversidades jurídicas no se transformen, por su recurrencia, en normalidades jurídicas? ¿Cómo deben </w:t>
      </w:r>
      <w:proofErr w:type="spellStart"/>
      <w:r w:rsidRPr="004E16A3">
        <w:rPr>
          <w:rFonts w:ascii="inherit" w:eastAsia="Times New Roman" w:hAnsi="inherit" w:cs="Lucida Sans Unicode"/>
          <w:color w:val="222222"/>
          <w:sz w:val="24"/>
          <w:szCs w:val="24"/>
          <w:lang w:eastAsia="es-UY"/>
        </w:rPr>
        <w:t>autodisciplinarse</w:t>
      </w:r>
      <w:proofErr w:type="spellEnd"/>
      <w:r w:rsidRPr="004E16A3">
        <w:rPr>
          <w:rFonts w:ascii="inherit" w:eastAsia="Times New Roman" w:hAnsi="inherit" w:cs="Lucida Sans Unicode"/>
          <w:color w:val="222222"/>
          <w:sz w:val="24"/>
          <w:szCs w:val="24"/>
          <w:lang w:eastAsia="es-UY"/>
        </w:rPr>
        <w:t xml:space="preserve"> internamente las magistraturas para que los sepultureros de la democracia dejen de tener empleo en el sistema judicial? La tarea es exigente, pero contará con la solidaridad activa de todos aquellos que en todo el mundo tenemos los ojos puestos en Brasil y nos sentimos involucrados en la misma lucha por la credibilidad del sistema judicial como factor de democratización de las sociedades.</w:t>
      </w:r>
    </w:p>
    <w:p w:rsidR="004E16A3" w:rsidRPr="004E16A3" w:rsidRDefault="004E16A3" w:rsidP="004E16A3">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4E16A3">
        <w:rPr>
          <w:rFonts w:ascii="inherit" w:eastAsia="Times New Roman" w:hAnsi="inherit" w:cs="Lucida Sans Unicode"/>
          <w:color w:val="222222"/>
          <w:sz w:val="24"/>
          <w:szCs w:val="24"/>
          <w:lang w:eastAsia="es-UY"/>
        </w:rPr>
        <w:t>————————————–</w:t>
      </w:r>
      <w:r w:rsidRPr="004E16A3">
        <w:rPr>
          <w:rFonts w:ascii="inherit" w:eastAsia="Times New Roman" w:hAnsi="inherit" w:cs="Lucida Sans Unicode"/>
          <w:color w:val="222222"/>
          <w:sz w:val="24"/>
          <w:szCs w:val="24"/>
          <w:lang w:eastAsia="es-UY"/>
        </w:rPr>
        <w:br/>
      </w:r>
      <w:hyperlink r:id="rId7" w:history="1">
        <w:r w:rsidRPr="004E16A3">
          <w:rPr>
            <w:rFonts w:ascii="inherit" w:eastAsia="Times New Roman" w:hAnsi="inherit" w:cs="Lucida Sans Unicode"/>
            <w:color w:val="C85000"/>
            <w:sz w:val="24"/>
            <w:szCs w:val="24"/>
            <w:u w:val="single"/>
            <w:bdr w:val="none" w:sz="0" w:space="0" w:color="auto" w:frame="1"/>
            <w:lang w:eastAsia="es-UY"/>
          </w:rPr>
          <w:t>http://www.other-news.info/noticias/2018/04/lula-da-silva-los-tribunales-lo-condenan-la-historia-lo-absolvera/</w:t>
        </w:r>
      </w:hyperlink>
    </w:p>
    <w:p w:rsidR="004E16A3" w:rsidRPr="004E16A3" w:rsidRDefault="004E16A3" w:rsidP="004E16A3">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proofErr w:type="spellStart"/>
      <w:r w:rsidRPr="004E16A3">
        <w:rPr>
          <w:rFonts w:ascii="inherit" w:eastAsia="Times New Roman" w:hAnsi="inherit" w:cs="Lucida Sans Unicode"/>
          <w:b/>
          <w:bCs/>
          <w:color w:val="222222"/>
          <w:sz w:val="24"/>
          <w:szCs w:val="24"/>
          <w:bdr w:val="none" w:sz="0" w:space="0" w:color="auto" w:frame="1"/>
          <w:lang w:eastAsia="es-UY"/>
        </w:rPr>
        <w:t>Boaventura</w:t>
      </w:r>
      <w:proofErr w:type="spellEnd"/>
      <w:r w:rsidRPr="004E16A3">
        <w:rPr>
          <w:rFonts w:ascii="inherit" w:eastAsia="Times New Roman" w:hAnsi="inherit" w:cs="Lucida Sans Unicode"/>
          <w:b/>
          <w:bCs/>
          <w:color w:val="222222"/>
          <w:sz w:val="24"/>
          <w:szCs w:val="24"/>
          <w:bdr w:val="none" w:sz="0" w:space="0" w:color="auto" w:frame="1"/>
          <w:lang w:eastAsia="es-UY"/>
        </w:rPr>
        <w:t xml:space="preserve"> de Sousa Santos</w:t>
      </w:r>
      <w:r w:rsidRPr="004E16A3">
        <w:rPr>
          <w:rFonts w:ascii="inherit" w:eastAsia="Times New Roman" w:hAnsi="inherit" w:cs="Lucida Sans Unicode"/>
          <w:color w:val="222222"/>
          <w:sz w:val="24"/>
          <w:szCs w:val="24"/>
          <w:lang w:eastAsia="es-UY"/>
        </w:rPr>
        <w:t xml:space="preserve"> es académico portugués. Doctor en sociología, catedrático de la Facultad de Economía y </w:t>
      </w:r>
      <w:proofErr w:type="gramStart"/>
      <w:r w:rsidRPr="004E16A3">
        <w:rPr>
          <w:rFonts w:ascii="inherit" w:eastAsia="Times New Roman" w:hAnsi="inherit" w:cs="Lucida Sans Unicode"/>
          <w:color w:val="222222"/>
          <w:sz w:val="24"/>
          <w:szCs w:val="24"/>
          <w:lang w:eastAsia="es-UY"/>
        </w:rPr>
        <w:t>Director</w:t>
      </w:r>
      <w:proofErr w:type="gramEnd"/>
      <w:r w:rsidRPr="004E16A3">
        <w:rPr>
          <w:rFonts w:ascii="inherit" w:eastAsia="Times New Roman" w:hAnsi="inherit" w:cs="Lucida Sans Unicode"/>
          <w:color w:val="222222"/>
          <w:sz w:val="24"/>
          <w:szCs w:val="24"/>
          <w:lang w:eastAsia="es-UY"/>
        </w:rPr>
        <w:t xml:space="preserve"> del Centro de Estudios Sociales de la Universidad de Coímbra (Portugal). Profesor distinguido de la Universidad de Wisconsin-Madison (</w:t>
      </w:r>
      <w:proofErr w:type="gramStart"/>
      <w:r w:rsidRPr="004E16A3">
        <w:rPr>
          <w:rFonts w:ascii="inherit" w:eastAsia="Times New Roman" w:hAnsi="inherit" w:cs="Lucida Sans Unicode"/>
          <w:color w:val="222222"/>
          <w:sz w:val="24"/>
          <w:szCs w:val="24"/>
          <w:lang w:eastAsia="es-UY"/>
        </w:rPr>
        <w:t>EE.UU</w:t>
      </w:r>
      <w:proofErr w:type="gramEnd"/>
      <w:r w:rsidRPr="004E16A3">
        <w:rPr>
          <w:rFonts w:ascii="inherit" w:eastAsia="Times New Roman" w:hAnsi="inherit" w:cs="Lucida Sans Unicode"/>
          <w:color w:val="222222"/>
          <w:sz w:val="24"/>
          <w:szCs w:val="24"/>
          <w:lang w:eastAsia="es-UY"/>
        </w:rPr>
        <w:t>) y de diversos establecimientos académicos del mundo. Es uno de los científicos sociales e investigadores más importantes del mundo en el área de la sociología jurídica y es uno de los principales dinamizadores del Foro Social Mundial.</w:t>
      </w:r>
    </w:p>
    <w:p w:rsidR="004E16A3" w:rsidRPr="004E16A3" w:rsidRDefault="004E16A3" w:rsidP="004E16A3">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4E16A3">
        <w:rPr>
          <w:rFonts w:ascii="inherit" w:eastAsia="Times New Roman" w:hAnsi="inherit" w:cs="Lucida Sans Unicode"/>
          <w:color w:val="222222"/>
          <w:sz w:val="24"/>
          <w:szCs w:val="24"/>
          <w:lang w:eastAsia="es-UY"/>
        </w:rPr>
        <w:t xml:space="preserve">Artículo enviado a </w:t>
      </w:r>
      <w:proofErr w:type="spellStart"/>
      <w:r w:rsidRPr="004E16A3">
        <w:rPr>
          <w:rFonts w:ascii="inherit" w:eastAsia="Times New Roman" w:hAnsi="inherit" w:cs="Lucida Sans Unicode"/>
          <w:color w:val="222222"/>
          <w:sz w:val="24"/>
          <w:szCs w:val="24"/>
          <w:lang w:eastAsia="es-UY"/>
        </w:rPr>
        <w:t>Other</w:t>
      </w:r>
      <w:proofErr w:type="spellEnd"/>
      <w:r w:rsidRPr="004E16A3">
        <w:rPr>
          <w:rFonts w:ascii="inherit" w:eastAsia="Times New Roman" w:hAnsi="inherit" w:cs="Lucida Sans Unicode"/>
          <w:color w:val="222222"/>
          <w:sz w:val="24"/>
          <w:szCs w:val="24"/>
          <w:lang w:eastAsia="es-UY"/>
        </w:rPr>
        <w:t xml:space="preserve"> News por el </w:t>
      </w:r>
      <w:proofErr w:type="gramStart"/>
      <w:r w:rsidRPr="004E16A3">
        <w:rPr>
          <w:rFonts w:ascii="inherit" w:eastAsia="Times New Roman" w:hAnsi="inherit" w:cs="Lucida Sans Unicode"/>
          <w:color w:val="222222"/>
          <w:sz w:val="24"/>
          <w:szCs w:val="24"/>
          <w:lang w:eastAsia="es-UY"/>
        </w:rPr>
        <w:t>autor .</w:t>
      </w:r>
      <w:proofErr w:type="gramEnd"/>
    </w:p>
    <w:p w:rsidR="004E16A3" w:rsidRPr="004E16A3" w:rsidRDefault="004E16A3" w:rsidP="004E16A3">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4E16A3">
        <w:rPr>
          <w:rFonts w:ascii="inherit" w:eastAsia="Times New Roman" w:hAnsi="inherit" w:cs="Lucida Sans Unicode"/>
          <w:color w:val="222222"/>
          <w:sz w:val="24"/>
          <w:szCs w:val="24"/>
          <w:lang w:eastAsia="es-UY"/>
        </w:rPr>
        <w:t xml:space="preserve">Traducción de Antoni Aguiló y José Luis </w:t>
      </w:r>
      <w:proofErr w:type="spellStart"/>
      <w:r w:rsidRPr="004E16A3">
        <w:rPr>
          <w:rFonts w:ascii="inherit" w:eastAsia="Times New Roman" w:hAnsi="inherit" w:cs="Lucida Sans Unicode"/>
          <w:color w:val="222222"/>
          <w:sz w:val="24"/>
          <w:szCs w:val="24"/>
          <w:lang w:eastAsia="es-UY"/>
        </w:rPr>
        <w:t>Exeni</w:t>
      </w:r>
      <w:proofErr w:type="spellEnd"/>
      <w:r w:rsidRPr="004E16A3">
        <w:rPr>
          <w:rFonts w:ascii="inherit" w:eastAsia="Times New Roman" w:hAnsi="inherit" w:cs="Lucida Sans Unicode"/>
          <w:color w:val="222222"/>
          <w:sz w:val="24"/>
          <w:szCs w:val="24"/>
          <w:lang w:eastAsia="es-UY"/>
        </w:rPr>
        <w:t xml:space="preserve"> Rodríguez</w:t>
      </w:r>
    </w:p>
    <w:p w:rsidR="004E16A3" w:rsidRPr="004E16A3" w:rsidRDefault="004E16A3" w:rsidP="004E16A3">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eastAsia="es-UY"/>
        </w:rPr>
      </w:pPr>
      <w:r w:rsidRPr="004E16A3">
        <w:rPr>
          <w:rFonts w:ascii="inherit" w:eastAsia="Times New Roman" w:hAnsi="inherit" w:cs="Lucida Sans Unicode"/>
          <w:b/>
          <w:bCs/>
          <w:i/>
          <w:iCs/>
          <w:color w:val="222222"/>
          <w:sz w:val="19"/>
          <w:szCs w:val="19"/>
          <w:bdr w:val="none" w:sz="0" w:space="0" w:color="auto" w:frame="1"/>
          <w:lang w:eastAsia="es-UY"/>
        </w:rPr>
        <w:t xml:space="preserve">Las opiniones expresadas en los artículos y comentarios son de exclusiva responsabilidad de </w:t>
      </w:r>
      <w:proofErr w:type="gramStart"/>
      <w:r w:rsidRPr="004E16A3">
        <w:rPr>
          <w:rFonts w:ascii="inherit" w:eastAsia="Times New Roman" w:hAnsi="inherit" w:cs="Lucida Sans Unicode"/>
          <w:b/>
          <w:bCs/>
          <w:i/>
          <w:iCs/>
          <w:color w:val="222222"/>
          <w:sz w:val="19"/>
          <w:szCs w:val="19"/>
          <w:bdr w:val="none" w:sz="0" w:space="0" w:color="auto" w:frame="1"/>
          <w:lang w:eastAsia="es-UY"/>
        </w:rPr>
        <w:t xml:space="preserve">sus </w:t>
      </w:r>
      <w:proofErr w:type="spellStart"/>
      <w:r w:rsidRPr="004E16A3">
        <w:rPr>
          <w:rFonts w:ascii="inherit" w:eastAsia="Times New Roman" w:hAnsi="inherit" w:cs="Lucida Sans Unicode"/>
          <w:b/>
          <w:bCs/>
          <w:i/>
          <w:iCs/>
          <w:color w:val="222222"/>
          <w:sz w:val="19"/>
          <w:szCs w:val="19"/>
          <w:bdr w:val="none" w:sz="0" w:space="0" w:color="auto" w:frame="1"/>
          <w:lang w:eastAsia="es-UY"/>
        </w:rPr>
        <w:t>autor</w:t>
      </w:r>
      <w:proofErr w:type="gramEnd"/>
      <w:r w:rsidRPr="004E16A3">
        <w:rPr>
          <w:rFonts w:ascii="inherit" w:eastAsia="Times New Roman" w:hAnsi="inherit" w:cs="Lucida Sans Unicode"/>
          <w:b/>
          <w:bCs/>
          <w:i/>
          <w:iCs/>
          <w:color w:val="222222"/>
          <w:sz w:val="19"/>
          <w:szCs w:val="19"/>
          <w:bdr w:val="none" w:sz="0" w:space="0" w:color="auto" w:frame="1"/>
          <w:lang w:eastAsia="es-UY"/>
        </w:rPr>
        <w:t>@s</w:t>
      </w:r>
      <w:proofErr w:type="spellEnd"/>
      <w:r w:rsidRPr="004E16A3">
        <w:rPr>
          <w:rFonts w:ascii="inherit" w:eastAsia="Times New Roman" w:hAnsi="inherit" w:cs="Lucida Sans Unicode"/>
          <w:b/>
          <w:bCs/>
          <w:i/>
          <w:iCs/>
          <w:color w:val="222222"/>
          <w:sz w:val="19"/>
          <w:szCs w:val="19"/>
          <w:bdr w:val="none" w:sz="0" w:space="0" w:color="auto" w:frame="1"/>
          <w:lang w:eastAsia="es-UY"/>
        </w:rPr>
        <w:t xml:space="preserve"> y no reflejan, necesariamente, los puntos de vista de la redacción de </w:t>
      </w:r>
      <w:proofErr w:type="spellStart"/>
      <w:r w:rsidRPr="004E16A3">
        <w:rPr>
          <w:rFonts w:ascii="inherit" w:eastAsia="Times New Roman" w:hAnsi="inherit" w:cs="Lucida Sans Unicode"/>
          <w:b/>
          <w:bCs/>
          <w:i/>
          <w:iCs/>
          <w:color w:val="222222"/>
          <w:sz w:val="19"/>
          <w:szCs w:val="19"/>
          <w:bdr w:val="none" w:sz="0" w:space="0" w:color="auto" w:frame="1"/>
          <w:lang w:eastAsia="es-UY"/>
        </w:rPr>
        <w:t>AlterInfos</w:t>
      </w:r>
      <w:proofErr w:type="spellEnd"/>
      <w:r w:rsidRPr="004E16A3">
        <w:rPr>
          <w:rFonts w:ascii="inherit" w:eastAsia="Times New Roman" w:hAnsi="inherit" w:cs="Lucida Sans Unicode"/>
          <w:b/>
          <w:bCs/>
          <w:i/>
          <w:iCs/>
          <w:color w:val="222222"/>
          <w:sz w:val="19"/>
          <w:szCs w:val="19"/>
          <w:bdr w:val="none" w:sz="0" w:space="0" w:color="auto" w:frame="1"/>
          <w:lang w:eastAsia="es-UY"/>
        </w:rPr>
        <w:t xml:space="preserve">. Comentarios injuriosos o insultantes serán borrados sin previo aviso. </w:t>
      </w:r>
      <w:proofErr w:type="spellStart"/>
      <w:r w:rsidRPr="004E16A3">
        <w:rPr>
          <w:rFonts w:ascii="inherit" w:eastAsia="Times New Roman" w:hAnsi="inherit" w:cs="Lucida Sans Unicode"/>
          <w:b/>
          <w:bCs/>
          <w:i/>
          <w:iCs/>
          <w:color w:val="222222"/>
          <w:sz w:val="19"/>
          <w:szCs w:val="19"/>
          <w:bdr w:val="none" w:sz="0" w:space="0" w:color="auto" w:frame="1"/>
          <w:lang w:eastAsia="es-UY"/>
        </w:rPr>
        <w:t>AlterInfos</w:t>
      </w:r>
      <w:proofErr w:type="spellEnd"/>
      <w:r w:rsidRPr="004E16A3">
        <w:rPr>
          <w:rFonts w:ascii="inherit" w:eastAsia="Times New Roman" w:hAnsi="inherit" w:cs="Lucida Sans Unicode"/>
          <w:b/>
          <w:bCs/>
          <w:i/>
          <w:iCs/>
          <w:color w:val="222222"/>
          <w:sz w:val="19"/>
          <w:szCs w:val="19"/>
          <w:bdr w:val="none" w:sz="0" w:space="0" w:color="auto" w:frame="1"/>
          <w:lang w:eastAsia="es-UY"/>
        </w:rPr>
        <w:t xml:space="preserve"> es un medio de comunicación plural con enfoque de izquierda. Busca difundir informaciones sobre proyectos y luchas emancipadoras. Los comentarios apuntando hacia la dirección contraria no serán publicados aquí pero seguro podrán encontrar otro espacio de la web para serlo.</w:t>
      </w:r>
    </w:p>
    <w:p w:rsidR="004E16A3" w:rsidRPr="004E16A3" w:rsidRDefault="004E16A3" w:rsidP="004E16A3">
      <w:pPr>
        <w:spacing w:after="0" w:line="240" w:lineRule="auto"/>
        <w:rPr>
          <w:rFonts w:ascii="Times New Roman" w:eastAsia="Times New Roman" w:hAnsi="Times New Roman" w:cs="Times New Roman"/>
          <w:sz w:val="24"/>
          <w:szCs w:val="24"/>
          <w:lang w:eastAsia="es-UY"/>
        </w:rPr>
      </w:pPr>
    </w:p>
    <w:p w:rsidR="004E16A3" w:rsidRPr="004E16A3" w:rsidRDefault="004E16A3" w:rsidP="004E16A3">
      <w:pPr>
        <w:shd w:val="clear" w:color="auto" w:fill="FFFFFF"/>
        <w:spacing w:before="360" w:after="360" w:line="240" w:lineRule="auto"/>
        <w:textAlignment w:val="baseline"/>
        <w:rPr>
          <w:rFonts w:ascii="Lucida Sans Unicode" w:eastAsia="Times New Roman" w:hAnsi="Lucida Sans Unicode" w:cs="Lucida Sans Unicode"/>
          <w:color w:val="222222"/>
          <w:lang w:eastAsia="es-UY"/>
        </w:rPr>
      </w:pPr>
      <w:r w:rsidRPr="004E16A3">
        <w:rPr>
          <w:rFonts w:ascii="Lucida Sans Unicode" w:eastAsia="Times New Roman" w:hAnsi="Lucida Sans Unicode" w:cs="Lucida Sans Unicode"/>
          <w:color w:val="222222"/>
          <w:lang w:eastAsia="es-UY"/>
        </w:rPr>
        <w:pict>
          <v:rect id="_x0000_i1025" style="width:0;height:0" o:hralign="center" o:hrstd="t" o:hr="t" fillcolor="#a0a0a0" stroked="f"/>
        </w:pict>
      </w:r>
    </w:p>
    <w:p w:rsidR="004E16A3" w:rsidRPr="004E16A3" w:rsidRDefault="004E16A3" w:rsidP="004E16A3">
      <w:pPr>
        <w:shd w:val="clear" w:color="auto" w:fill="FFFFFF"/>
        <w:spacing w:after="0" w:line="240" w:lineRule="auto"/>
        <w:textAlignment w:val="baseline"/>
        <w:rPr>
          <w:rFonts w:ascii="inherit" w:eastAsia="Times New Roman" w:hAnsi="inherit" w:cs="Lucida Sans Unicode"/>
          <w:color w:val="222222"/>
          <w:lang w:eastAsia="es-UY"/>
        </w:rPr>
      </w:pPr>
      <w:r w:rsidRPr="004E16A3">
        <w:rPr>
          <w:rFonts w:ascii="inherit" w:eastAsia="Times New Roman" w:hAnsi="inherit" w:cs="Lucida Sans Unicode"/>
          <w:color w:val="222222"/>
          <w:bdr w:val="none" w:sz="0" w:space="0" w:color="auto" w:frame="1"/>
          <w:lang w:eastAsia="es-UY"/>
        </w:rPr>
        <w:t>[</w:t>
      </w:r>
      <w:hyperlink r:id="rId8" w:anchor="nh1" w:tooltip="Notas 1" w:history="1">
        <w:r w:rsidRPr="004E16A3">
          <w:rPr>
            <w:rFonts w:ascii="inherit" w:eastAsia="Times New Roman" w:hAnsi="inherit" w:cs="Lucida Sans Unicode"/>
            <w:b/>
            <w:bCs/>
            <w:color w:val="C85000"/>
            <w:u w:val="single"/>
            <w:bdr w:val="none" w:sz="0" w:space="0" w:color="auto" w:frame="1"/>
            <w:lang w:eastAsia="es-UY"/>
          </w:rPr>
          <w:t>1</w:t>
        </w:r>
      </w:hyperlink>
      <w:r w:rsidRPr="004E16A3">
        <w:rPr>
          <w:rFonts w:ascii="inherit" w:eastAsia="Times New Roman" w:hAnsi="inherit" w:cs="Lucida Sans Unicode"/>
          <w:color w:val="222222"/>
          <w:bdr w:val="none" w:sz="0" w:space="0" w:color="auto" w:frame="1"/>
          <w:lang w:eastAsia="es-UY"/>
        </w:rPr>
        <w:t>] </w:t>
      </w:r>
      <w:r w:rsidRPr="004E16A3">
        <w:rPr>
          <w:rFonts w:ascii="inherit" w:eastAsia="Times New Roman" w:hAnsi="inherit" w:cs="Lucida Sans Unicode"/>
          <w:color w:val="222222"/>
          <w:lang w:eastAsia="es-UY"/>
        </w:rPr>
        <w:t>Según el caso conocido como “</w:t>
      </w:r>
      <w:proofErr w:type="spellStart"/>
      <w:r w:rsidRPr="004E16A3">
        <w:rPr>
          <w:rFonts w:ascii="inherit" w:eastAsia="Times New Roman" w:hAnsi="inherit" w:cs="Lucida Sans Unicode"/>
          <w:color w:val="222222"/>
          <w:lang w:eastAsia="es-UY"/>
        </w:rPr>
        <w:t>triplex</w:t>
      </w:r>
      <w:proofErr w:type="spellEnd"/>
      <w:r w:rsidRPr="004E16A3">
        <w:rPr>
          <w:rFonts w:ascii="inherit" w:eastAsia="Times New Roman" w:hAnsi="inherit" w:cs="Lucida Sans Unicode"/>
          <w:color w:val="222222"/>
          <w:lang w:eastAsia="es-UY"/>
        </w:rPr>
        <w:t xml:space="preserve"> de </w:t>
      </w:r>
      <w:proofErr w:type="spellStart"/>
      <w:r w:rsidRPr="004E16A3">
        <w:rPr>
          <w:rFonts w:ascii="inherit" w:eastAsia="Times New Roman" w:hAnsi="inherit" w:cs="Lucida Sans Unicode"/>
          <w:color w:val="222222"/>
          <w:lang w:eastAsia="es-UY"/>
        </w:rPr>
        <w:t>Guarujá</w:t>
      </w:r>
      <w:proofErr w:type="spellEnd"/>
      <w:r w:rsidRPr="004E16A3">
        <w:rPr>
          <w:rFonts w:ascii="inherit" w:eastAsia="Times New Roman" w:hAnsi="inherit" w:cs="Lucida Sans Unicode"/>
          <w:color w:val="222222"/>
          <w:lang w:eastAsia="es-UY"/>
        </w:rPr>
        <w:t xml:space="preserve">”, Lula supuestamente aceptó que la constructora OAS le reformase un departamento de lujo de tres pisos en </w:t>
      </w:r>
      <w:proofErr w:type="spellStart"/>
      <w:r w:rsidRPr="004E16A3">
        <w:rPr>
          <w:rFonts w:ascii="inherit" w:eastAsia="Times New Roman" w:hAnsi="inherit" w:cs="Lucida Sans Unicode"/>
          <w:color w:val="222222"/>
          <w:lang w:eastAsia="es-UY"/>
        </w:rPr>
        <w:t>Guarujá</w:t>
      </w:r>
      <w:proofErr w:type="spellEnd"/>
      <w:r w:rsidRPr="004E16A3">
        <w:rPr>
          <w:rFonts w:ascii="inherit" w:eastAsia="Times New Roman" w:hAnsi="inherit" w:cs="Lucida Sans Unicode"/>
          <w:color w:val="222222"/>
          <w:lang w:eastAsia="es-UY"/>
        </w:rPr>
        <w:t xml:space="preserve">, en la costa de San Pablo, a cambio de favorecer a la empresa en sus negocios con la petrolera </w:t>
      </w:r>
      <w:r w:rsidRPr="004E16A3">
        <w:rPr>
          <w:rFonts w:ascii="inherit" w:eastAsia="Times New Roman" w:hAnsi="inherit" w:cs="Lucida Sans Unicode"/>
          <w:color w:val="222222"/>
          <w:lang w:eastAsia="es-UY"/>
        </w:rPr>
        <w:lastRenderedPageBreak/>
        <w:t>estatal Petrobras. No hay ninguna evidencia al respecto, pues Lula nunca fue dueño ni residió en el departamento (Nota de traducción)</w:t>
      </w:r>
    </w:p>
    <w:p w:rsidR="004E16A3" w:rsidRPr="004E16A3" w:rsidRDefault="004E16A3" w:rsidP="004E16A3">
      <w:pPr>
        <w:shd w:val="clear" w:color="auto" w:fill="FFFFFF"/>
        <w:spacing w:line="240" w:lineRule="auto"/>
        <w:textAlignment w:val="baseline"/>
        <w:rPr>
          <w:rFonts w:ascii="inherit" w:eastAsia="Times New Roman" w:hAnsi="inherit" w:cs="Lucida Sans Unicode"/>
          <w:color w:val="222222"/>
          <w:lang w:eastAsia="es-UY"/>
        </w:rPr>
      </w:pPr>
      <w:r w:rsidRPr="004E16A3">
        <w:rPr>
          <w:rFonts w:ascii="inherit" w:eastAsia="Times New Roman" w:hAnsi="inherit" w:cs="Lucida Sans Unicode"/>
          <w:color w:val="222222"/>
          <w:bdr w:val="none" w:sz="0" w:space="0" w:color="auto" w:frame="1"/>
          <w:lang w:eastAsia="es-UY"/>
        </w:rPr>
        <w:t>[</w:t>
      </w:r>
      <w:hyperlink r:id="rId9" w:anchor="nh2" w:tooltip="Notas 2" w:history="1">
        <w:r w:rsidRPr="004E16A3">
          <w:rPr>
            <w:rFonts w:ascii="inherit" w:eastAsia="Times New Roman" w:hAnsi="inherit" w:cs="Lucida Sans Unicode"/>
            <w:b/>
            <w:bCs/>
            <w:color w:val="C85000"/>
            <w:u w:val="single"/>
            <w:bdr w:val="none" w:sz="0" w:space="0" w:color="auto" w:frame="1"/>
            <w:lang w:eastAsia="es-UY"/>
          </w:rPr>
          <w:t>2</w:t>
        </w:r>
      </w:hyperlink>
      <w:r w:rsidRPr="004E16A3">
        <w:rPr>
          <w:rFonts w:ascii="inherit" w:eastAsia="Times New Roman" w:hAnsi="inherit" w:cs="Lucida Sans Unicode"/>
          <w:color w:val="222222"/>
          <w:bdr w:val="none" w:sz="0" w:space="0" w:color="auto" w:frame="1"/>
          <w:lang w:eastAsia="es-UY"/>
        </w:rPr>
        <w:t>] </w:t>
      </w:r>
      <w:proofErr w:type="spellStart"/>
      <w:r w:rsidRPr="004E16A3">
        <w:rPr>
          <w:rFonts w:ascii="inherit" w:eastAsia="Times New Roman" w:hAnsi="inherit" w:cs="Lucida Sans Unicode"/>
          <w:color w:val="222222"/>
          <w:lang w:eastAsia="es-UY"/>
        </w:rPr>
        <w:t>Petrolão</w:t>
      </w:r>
      <w:proofErr w:type="spellEnd"/>
      <w:r w:rsidRPr="004E16A3">
        <w:rPr>
          <w:rFonts w:ascii="inherit" w:eastAsia="Times New Roman" w:hAnsi="inherit" w:cs="Lucida Sans Unicode"/>
          <w:color w:val="222222"/>
          <w:lang w:eastAsia="es-UY"/>
        </w:rPr>
        <w:t xml:space="preserve"> es el nombre con el que se conoce un esquema de corrupción y desvío de fondos que ocurrió en Petrobras, la mayor empresa estatal brasileña (Nota de traducción)</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6A3"/>
    <w:rsid w:val="002E2F5B"/>
    <w:rsid w:val="00383805"/>
    <w:rsid w:val="004E16A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DB2FC"/>
  <w15:chartTrackingRefBased/>
  <w15:docId w15:val="{0FF8C187-0A80-4C99-9629-2A14D5D7F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9394143">
      <w:bodyDiv w:val="1"/>
      <w:marLeft w:val="0"/>
      <w:marRight w:val="0"/>
      <w:marTop w:val="0"/>
      <w:marBottom w:val="0"/>
      <w:divBdr>
        <w:top w:val="none" w:sz="0" w:space="0" w:color="auto"/>
        <w:left w:val="none" w:sz="0" w:space="0" w:color="auto"/>
        <w:bottom w:val="none" w:sz="0" w:space="0" w:color="auto"/>
        <w:right w:val="none" w:sz="0" w:space="0" w:color="auto"/>
      </w:divBdr>
      <w:divsChild>
        <w:div w:id="1092438029">
          <w:marLeft w:val="0"/>
          <w:marRight w:val="0"/>
          <w:marTop w:val="0"/>
          <w:marBottom w:val="360"/>
          <w:divBdr>
            <w:top w:val="none" w:sz="0" w:space="0" w:color="auto"/>
            <w:left w:val="none" w:sz="0" w:space="0" w:color="auto"/>
            <w:bottom w:val="none" w:sz="0" w:space="0" w:color="auto"/>
            <w:right w:val="none" w:sz="0" w:space="0" w:color="auto"/>
          </w:divBdr>
        </w:div>
        <w:div w:id="264655796">
          <w:marLeft w:val="0"/>
          <w:marRight w:val="0"/>
          <w:marTop w:val="0"/>
          <w:marBottom w:val="360"/>
          <w:divBdr>
            <w:top w:val="none" w:sz="0" w:space="0" w:color="auto"/>
            <w:left w:val="none" w:sz="0" w:space="0" w:color="auto"/>
            <w:bottom w:val="none" w:sz="0" w:space="0" w:color="auto"/>
            <w:right w:val="none" w:sz="0" w:space="0" w:color="auto"/>
          </w:divBdr>
          <w:divsChild>
            <w:div w:id="841512975">
              <w:marLeft w:val="0"/>
              <w:marRight w:val="0"/>
              <w:marTop w:val="0"/>
              <w:marBottom w:val="0"/>
              <w:divBdr>
                <w:top w:val="none" w:sz="0" w:space="0" w:color="auto"/>
                <w:left w:val="none" w:sz="0" w:space="0" w:color="auto"/>
                <w:bottom w:val="none" w:sz="0" w:space="0" w:color="auto"/>
                <w:right w:val="none" w:sz="0" w:space="0" w:color="auto"/>
              </w:divBdr>
            </w:div>
            <w:div w:id="201656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lterinfos.org/spip.php?article8221" TargetMode="External"/><Relationship Id="rId3" Type="http://schemas.openxmlformats.org/officeDocument/2006/relationships/webSettings" Target="webSettings.xml"/><Relationship Id="rId7" Type="http://schemas.openxmlformats.org/officeDocument/2006/relationships/hyperlink" Target="http://www.other-news.info/noticias/2018/04/lula-da-silva-los-tribunales-lo-condenan-la-historia-lo-absolver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lterinfos.org/spip.php?article8221" TargetMode="External"/><Relationship Id="rId11" Type="http://schemas.openxmlformats.org/officeDocument/2006/relationships/theme" Target="theme/theme1.xml"/><Relationship Id="rId5" Type="http://schemas.openxmlformats.org/officeDocument/2006/relationships/hyperlink" Target="http://alterinfos.org/spip.php?article8221" TargetMode="External"/><Relationship Id="rId10" Type="http://schemas.openxmlformats.org/officeDocument/2006/relationships/fontTable" Target="fontTable.xml"/><Relationship Id="rId4" Type="http://schemas.openxmlformats.org/officeDocument/2006/relationships/hyperlink" Target="http://alterinfos.org/spip.php?auteur121" TargetMode="External"/><Relationship Id="rId9" Type="http://schemas.openxmlformats.org/officeDocument/2006/relationships/hyperlink" Target="http://alterinfos.org/spip.php?article822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1634</Words>
  <Characters>8987</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2018-04-18T13:11:00Z</dcterms:created>
  <dcterms:modified xsi:type="dcterms:W3CDTF">2018-04-18T13:16:00Z</dcterms:modified>
</cp:coreProperties>
</file>