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6ACB" w:rsidRPr="009A6ACB" w:rsidRDefault="009A6ACB" w:rsidP="009A6ACB">
      <w:pPr>
        <w:spacing w:after="90" w:line="351" w:lineRule="atLeast"/>
        <w:textAlignment w:val="baseline"/>
        <w:outlineLvl w:val="0"/>
        <w:rPr>
          <w:rFonts w:ascii="Arial" w:eastAsia="Times New Roman" w:hAnsi="Arial" w:cs="Arial"/>
          <w:b/>
          <w:bCs/>
          <w:color w:val="4D5C7D"/>
          <w:kern w:val="36"/>
          <w:sz w:val="27"/>
          <w:szCs w:val="27"/>
          <w:lang w:eastAsia="es-UY"/>
        </w:rPr>
      </w:pPr>
      <w:r w:rsidRPr="009A6ACB">
        <w:rPr>
          <w:rFonts w:ascii="Arial" w:eastAsia="Times New Roman" w:hAnsi="Arial" w:cs="Arial"/>
          <w:b/>
          <w:bCs/>
          <w:color w:val="4D5C7D"/>
          <w:kern w:val="36"/>
          <w:sz w:val="27"/>
          <w:szCs w:val="27"/>
          <w:lang w:eastAsia="es-UY"/>
        </w:rPr>
        <w:t>Brasil: Lula y los vericuetos de la Justicia</w:t>
      </w:r>
    </w:p>
    <w:p w:rsidR="009A6ACB" w:rsidRPr="009A6ACB" w:rsidRDefault="009A6ACB" w:rsidP="009A6ACB">
      <w:pPr>
        <w:spacing w:after="0" w:line="312" w:lineRule="atLeast"/>
        <w:textAlignment w:val="baseline"/>
        <w:rPr>
          <w:rFonts w:ascii="Arial" w:eastAsia="Times New Roman" w:hAnsi="Arial" w:cs="Arial"/>
          <w:color w:val="000000"/>
          <w:sz w:val="18"/>
          <w:szCs w:val="18"/>
          <w:lang w:eastAsia="es-UY"/>
        </w:rPr>
      </w:pPr>
      <w:hyperlink r:id="rId4" w:history="1">
        <w:r w:rsidRPr="009A6ACB">
          <w:rPr>
            <w:rFonts w:ascii="Arial" w:eastAsia="Times New Roman" w:hAnsi="Arial" w:cs="Arial"/>
            <w:i/>
            <w:iCs/>
            <w:color w:val="DE0000"/>
            <w:sz w:val="20"/>
            <w:szCs w:val="20"/>
            <w:u w:val="single"/>
            <w:bdr w:val="none" w:sz="0" w:space="0" w:color="auto" w:frame="1"/>
            <w:lang w:eastAsia="es-UY"/>
          </w:rPr>
          <w:t>Bárbara Ester</w:t>
        </w:r>
      </w:hyperlink>
    </w:p>
    <w:p w:rsidR="009A6ACB" w:rsidRPr="009A6ACB" w:rsidRDefault="009A6ACB" w:rsidP="009A6ACB">
      <w:pPr>
        <w:spacing w:after="75" w:line="0" w:lineRule="atLeast"/>
        <w:ind w:left="45" w:right="45"/>
        <w:jc w:val="right"/>
        <w:textAlignment w:val="baseline"/>
        <w:rPr>
          <w:rFonts w:ascii="Times New Roman" w:eastAsia="Times New Roman" w:hAnsi="Times New Roman" w:cs="Times New Roman"/>
          <w:sz w:val="17"/>
          <w:szCs w:val="17"/>
          <w:bdr w:val="none" w:sz="0" w:space="0" w:color="auto" w:frame="1"/>
          <w:lang w:eastAsia="es-UY"/>
        </w:rPr>
      </w:pPr>
      <w:r w:rsidRPr="009A6ACB">
        <w:rPr>
          <w:rFonts w:ascii="Helvetica" w:eastAsia="Times New Roman" w:hAnsi="Helvetica" w:cs="Helvetica"/>
          <w:color w:val="000000"/>
          <w:sz w:val="15"/>
          <w:szCs w:val="15"/>
          <w:bdr w:val="none" w:sz="0" w:space="0" w:color="auto" w:frame="1"/>
          <w:lang w:eastAsia="es-UY"/>
        </w:rPr>
        <w:t> </w:t>
      </w:r>
      <w:r w:rsidRPr="009A6ACB">
        <w:rPr>
          <w:rFonts w:ascii="Arial" w:eastAsia="Times New Roman" w:hAnsi="Arial" w:cs="Arial"/>
          <w:color w:val="000000"/>
          <w:sz w:val="18"/>
          <w:szCs w:val="18"/>
          <w:lang w:eastAsia="es-UY"/>
        </w:rPr>
        <w:t> </w:t>
      </w:r>
      <w:r w:rsidRPr="009A6ACB">
        <w:rPr>
          <w:rFonts w:ascii="Helvetica" w:eastAsia="Times New Roman" w:hAnsi="Helvetica" w:cs="Helvetica"/>
          <w:color w:val="000000"/>
          <w:sz w:val="15"/>
          <w:szCs w:val="15"/>
          <w:bdr w:val="none" w:sz="0" w:space="0" w:color="auto" w:frame="1"/>
          <w:lang w:eastAsia="es-UY"/>
        </w:rPr>
        <w:t> </w:t>
      </w:r>
      <w:r w:rsidRPr="009A6ACB">
        <w:rPr>
          <w:rFonts w:ascii="Arial" w:eastAsia="Times New Roman" w:hAnsi="Arial" w:cs="Arial"/>
          <w:color w:val="000000"/>
          <w:sz w:val="18"/>
          <w:szCs w:val="18"/>
          <w:lang w:eastAsia="es-UY"/>
        </w:rPr>
        <w:t> </w:t>
      </w:r>
      <w:r w:rsidRPr="009A6ACB">
        <w:rPr>
          <w:rFonts w:ascii="Helvetica" w:eastAsia="Times New Roman" w:hAnsi="Helvetica" w:cs="Helvetica"/>
          <w:color w:val="000000"/>
          <w:sz w:val="15"/>
          <w:szCs w:val="15"/>
          <w:bdr w:val="none" w:sz="0" w:space="0" w:color="auto" w:frame="1"/>
          <w:lang w:eastAsia="es-UY"/>
        </w:rPr>
        <w:t> </w:t>
      </w:r>
      <w:r w:rsidRPr="009A6ACB">
        <w:rPr>
          <w:rFonts w:ascii="Arial" w:eastAsia="Times New Roman" w:hAnsi="Arial" w:cs="Arial"/>
          <w:color w:val="000000"/>
          <w:sz w:val="18"/>
          <w:szCs w:val="18"/>
          <w:lang w:eastAsia="es-UY"/>
        </w:rPr>
        <w:t> </w:t>
      </w:r>
      <w:r w:rsidRPr="009A6ACB">
        <w:rPr>
          <w:rFonts w:ascii="Helvetica" w:eastAsia="Times New Roman" w:hAnsi="Helvetica" w:cs="Helvetica"/>
          <w:color w:val="000000"/>
          <w:sz w:val="15"/>
          <w:szCs w:val="15"/>
          <w:bdr w:val="none" w:sz="0" w:space="0" w:color="auto" w:frame="1"/>
          <w:lang w:eastAsia="es-UY"/>
        </w:rPr>
        <w:t> </w:t>
      </w:r>
      <w:r w:rsidRPr="009A6ACB">
        <w:rPr>
          <w:rFonts w:ascii="Arial" w:eastAsia="Times New Roman" w:hAnsi="Arial" w:cs="Arial"/>
          <w:color w:val="000000"/>
          <w:sz w:val="18"/>
          <w:szCs w:val="18"/>
          <w:lang w:eastAsia="es-UY"/>
        </w:rPr>
        <w:t> </w:t>
      </w:r>
      <w:r w:rsidRPr="009A6ACB">
        <w:rPr>
          <w:rFonts w:ascii="Helvetica" w:eastAsia="Times New Roman" w:hAnsi="Helvetica" w:cs="Helvetica"/>
          <w:color w:val="000000"/>
          <w:sz w:val="15"/>
          <w:szCs w:val="15"/>
          <w:bdr w:val="none" w:sz="0" w:space="0" w:color="auto" w:frame="1"/>
          <w:lang w:eastAsia="es-UY"/>
        </w:rPr>
        <w:t> </w:t>
      </w:r>
      <w:r w:rsidRPr="009A6ACB">
        <w:rPr>
          <w:rFonts w:ascii="Arial" w:eastAsia="Times New Roman" w:hAnsi="Arial" w:cs="Arial"/>
          <w:color w:val="000000"/>
          <w:sz w:val="18"/>
          <w:szCs w:val="18"/>
          <w:lang w:eastAsia="es-UY"/>
        </w:rPr>
        <w:t> </w:t>
      </w:r>
      <w:r w:rsidRPr="009A6ACB">
        <w:rPr>
          <w:rFonts w:ascii="Helvetica" w:eastAsia="Times New Roman" w:hAnsi="Helvetica" w:cs="Helvetica"/>
          <w:color w:val="000000"/>
          <w:sz w:val="15"/>
          <w:szCs w:val="15"/>
          <w:bdr w:val="none" w:sz="0" w:space="0" w:color="auto" w:frame="1"/>
          <w:lang w:eastAsia="es-UY"/>
        </w:rPr>
        <w:t> </w:t>
      </w:r>
      <w:r w:rsidRPr="009A6ACB">
        <w:rPr>
          <w:rFonts w:ascii="Arial" w:eastAsia="Times New Roman" w:hAnsi="Arial" w:cs="Arial"/>
          <w:color w:val="000000"/>
          <w:sz w:val="18"/>
          <w:szCs w:val="18"/>
          <w:lang w:eastAsia="es-UY"/>
        </w:rPr>
        <w:t> </w:t>
      </w:r>
    </w:p>
    <w:p w:rsidR="009A6ACB" w:rsidRPr="009A6ACB" w:rsidRDefault="009A6ACB" w:rsidP="009A6ACB">
      <w:pPr>
        <w:spacing w:after="0" w:line="312" w:lineRule="atLeast"/>
        <w:textAlignment w:val="baseline"/>
        <w:rPr>
          <w:rFonts w:ascii="Arial" w:eastAsia="Times New Roman" w:hAnsi="Arial" w:cs="Arial"/>
          <w:color w:val="000000"/>
          <w:sz w:val="18"/>
          <w:szCs w:val="18"/>
          <w:lang w:eastAsia="es-UY"/>
        </w:rPr>
      </w:pPr>
      <w:bookmarkStart w:id="0" w:name="_GoBack"/>
      <w:bookmarkEnd w:id="0"/>
      <w:r w:rsidRPr="009A6ACB">
        <w:rPr>
          <w:rFonts w:ascii="Arial" w:eastAsia="Times New Roman" w:hAnsi="Arial" w:cs="Arial"/>
          <w:color w:val="000000"/>
          <w:sz w:val="18"/>
          <w:szCs w:val="18"/>
          <w:lang w:eastAsia="es-UY"/>
        </w:rPr>
        <w:t>26/01/2018</w:t>
      </w:r>
    </w:p>
    <w:p w:rsidR="009A6ACB" w:rsidRPr="009A6ACB" w:rsidRDefault="009A6ACB" w:rsidP="009A6ACB">
      <w:pPr>
        <w:spacing w:after="0" w:line="312" w:lineRule="atLeast"/>
        <w:jc w:val="center"/>
        <w:textAlignment w:val="baseline"/>
        <w:rPr>
          <w:rFonts w:ascii="Arial" w:eastAsia="Times New Roman" w:hAnsi="Arial" w:cs="Arial"/>
          <w:color w:val="000000"/>
          <w:sz w:val="18"/>
          <w:szCs w:val="18"/>
          <w:lang w:eastAsia="es-UY"/>
        </w:rPr>
      </w:pPr>
      <w:r w:rsidRPr="009A6ACB">
        <w:rPr>
          <w:rFonts w:ascii="Arial" w:eastAsia="Times New Roman" w:hAnsi="Arial" w:cs="Arial"/>
          <w:noProof/>
          <w:color w:val="000000"/>
          <w:sz w:val="18"/>
          <w:szCs w:val="18"/>
          <w:lang w:eastAsia="es-UY"/>
        </w:rPr>
        <w:drawing>
          <wp:inline distT="0" distB="0" distL="0" distR="0" wp14:anchorId="2F078566" wp14:editId="43E39A5B">
            <wp:extent cx="4762500" cy="2679700"/>
            <wp:effectExtent l="0" t="0" r="0" b="6350"/>
            <wp:docPr id="2" name="Imagen 2" descr="Lula, Bras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ula, Brasil.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00" cy="2679700"/>
                    </a:xfrm>
                    <a:prstGeom prst="rect">
                      <a:avLst/>
                    </a:prstGeom>
                    <a:noFill/>
                    <a:ln>
                      <a:noFill/>
                    </a:ln>
                  </pic:spPr>
                </pic:pic>
              </a:graphicData>
            </a:graphic>
          </wp:inline>
        </w:drawing>
      </w:r>
    </w:p>
    <w:p w:rsidR="009A6ACB" w:rsidRPr="009A6ACB" w:rsidRDefault="009A6ACB" w:rsidP="009A6ACB">
      <w:pPr>
        <w:spacing w:after="0" w:line="312" w:lineRule="atLeast"/>
        <w:textAlignment w:val="baseline"/>
        <w:rPr>
          <w:rFonts w:ascii="Arial" w:eastAsia="Times New Roman" w:hAnsi="Arial" w:cs="Arial"/>
          <w:color w:val="000000"/>
          <w:sz w:val="18"/>
          <w:szCs w:val="18"/>
          <w:lang w:eastAsia="es-UY"/>
        </w:rPr>
      </w:pPr>
      <w:hyperlink r:id="rId6" w:history="1">
        <w:r w:rsidRPr="009A6ACB">
          <w:rPr>
            <w:rFonts w:ascii="Arial" w:eastAsia="Times New Roman" w:hAnsi="Arial" w:cs="Arial"/>
            <w:color w:val="0000FF"/>
            <w:sz w:val="18"/>
            <w:szCs w:val="18"/>
            <w:u w:val="single"/>
            <w:bdr w:val="none" w:sz="0" w:space="0" w:color="auto" w:frame="1"/>
            <w:vertAlign w:val="superscript"/>
            <w:lang w:eastAsia="es-UY"/>
          </w:rPr>
          <w:t>-</w:t>
        </w:r>
        <w:r w:rsidRPr="009A6ACB">
          <w:rPr>
            <w:rFonts w:ascii="Arial" w:eastAsia="Times New Roman" w:hAnsi="Arial" w:cs="Arial"/>
            <w:color w:val="0000FF"/>
            <w:sz w:val="18"/>
            <w:szCs w:val="18"/>
            <w:u w:val="single"/>
            <w:bdr w:val="none" w:sz="0" w:space="0" w:color="auto" w:frame="1"/>
            <w:lang w:eastAsia="es-UY"/>
          </w:rPr>
          <w:t>A</w:t>
        </w:r>
      </w:hyperlink>
      <w:hyperlink r:id="rId7" w:history="1">
        <w:r w:rsidRPr="009A6ACB">
          <w:rPr>
            <w:rFonts w:ascii="Arial" w:eastAsia="Times New Roman" w:hAnsi="Arial" w:cs="Arial"/>
            <w:color w:val="0000FF"/>
            <w:sz w:val="18"/>
            <w:szCs w:val="18"/>
            <w:u w:val="single"/>
            <w:bdr w:val="none" w:sz="0" w:space="0" w:color="auto" w:frame="1"/>
            <w:vertAlign w:val="superscript"/>
            <w:lang w:eastAsia="es-UY"/>
          </w:rPr>
          <w:t>+</w:t>
        </w:r>
        <w:r w:rsidRPr="009A6ACB">
          <w:rPr>
            <w:rFonts w:ascii="Arial" w:eastAsia="Times New Roman" w:hAnsi="Arial" w:cs="Arial"/>
            <w:color w:val="0000FF"/>
            <w:sz w:val="18"/>
            <w:szCs w:val="18"/>
            <w:u w:val="single"/>
            <w:bdr w:val="none" w:sz="0" w:space="0" w:color="auto" w:frame="1"/>
            <w:lang w:eastAsia="es-UY"/>
          </w:rPr>
          <w:t>A</w:t>
        </w:r>
      </w:hyperlink>
    </w:p>
    <w:p w:rsidR="009A6ACB" w:rsidRPr="009A6ACB" w:rsidRDefault="009A6ACB" w:rsidP="009A6ACB">
      <w:pPr>
        <w:spacing w:after="0" w:line="312" w:lineRule="atLeast"/>
        <w:textAlignment w:val="baseline"/>
        <w:rPr>
          <w:rFonts w:ascii="Arial" w:eastAsia="Times New Roman" w:hAnsi="Arial" w:cs="Arial"/>
          <w:color w:val="000000"/>
          <w:sz w:val="18"/>
          <w:szCs w:val="18"/>
          <w:lang w:eastAsia="es-UY"/>
        </w:rPr>
      </w:pPr>
      <w:r w:rsidRPr="009A6ACB">
        <w:rPr>
          <w:rFonts w:ascii="Arial" w:eastAsia="Times New Roman" w:hAnsi="Arial" w:cs="Arial"/>
          <w:color w:val="000000"/>
          <w:sz w:val="18"/>
          <w:szCs w:val="18"/>
          <w:lang w:eastAsia="es-UY"/>
        </w:rPr>
        <w:t xml:space="preserve">El miércoles 24 de enero el expresidente brasileño, </w:t>
      </w:r>
      <w:proofErr w:type="spellStart"/>
      <w:r w:rsidRPr="009A6ACB">
        <w:rPr>
          <w:rFonts w:ascii="Arial" w:eastAsia="Times New Roman" w:hAnsi="Arial" w:cs="Arial"/>
          <w:color w:val="000000"/>
          <w:sz w:val="18"/>
          <w:szCs w:val="18"/>
          <w:lang w:eastAsia="es-UY"/>
        </w:rPr>
        <w:t>Luiz</w:t>
      </w:r>
      <w:proofErr w:type="spellEnd"/>
      <w:r w:rsidRPr="009A6ACB">
        <w:rPr>
          <w:rFonts w:ascii="Arial" w:eastAsia="Times New Roman" w:hAnsi="Arial" w:cs="Arial"/>
          <w:color w:val="000000"/>
          <w:sz w:val="18"/>
          <w:szCs w:val="18"/>
          <w:lang w:eastAsia="es-UY"/>
        </w:rPr>
        <w:t xml:space="preserve"> </w:t>
      </w:r>
      <w:proofErr w:type="spellStart"/>
      <w:r w:rsidRPr="009A6ACB">
        <w:rPr>
          <w:rFonts w:ascii="Arial" w:eastAsia="Times New Roman" w:hAnsi="Arial" w:cs="Arial"/>
          <w:color w:val="000000"/>
          <w:sz w:val="18"/>
          <w:szCs w:val="18"/>
          <w:lang w:eastAsia="es-UY"/>
        </w:rPr>
        <w:t>Inácio</w:t>
      </w:r>
      <w:proofErr w:type="spellEnd"/>
      <w:r w:rsidRPr="009A6ACB">
        <w:rPr>
          <w:rFonts w:ascii="Arial" w:eastAsia="Times New Roman" w:hAnsi="Arial" w:cs="Arial"/>
          <w:color w:val="000000"/>
          <w:sz w:val="18"/>
          <w:szCs w:val="18"/>
          <w:lang w:eastAsia="es-UY"/>
        </w:rPr>
        <w:t xml:space="preserve"> Lula da Silva, fue condenado en segunda instancia a doce años de prisión por corrupción y lavado de dinero en el marco de la operación “Lava Jato”, ampliando la pena del fallo por el que fue condenado en julio del año pasado (nueve años y medio de cárcel). Por unanimidad, los tres magistrados del Tribunal Regional Federal </w:t>
      </w:r>
      <w:proofErr w:type="spellStart"/>
      <w:r w:rsidRPr="009A6ACB">
        <w:rPr>
          <w:rFonts w:ascii="Arial" w:eastAsia="Times New Roman" w:hAnsi="Arial" w:cs="Arial"/>
          <w:color w:val="000000"/>
          <w:sz w:val="18"/>
          <w:szCs w:val="18"/>
          <w:lang w:eastAsia="es-UY"/>
        </w:rPr>
        <w:t>Nº</w:t>
      </w:r>
      <w:proofErr w:type="spellEnd"/>
      <w:r w:rsidRPr="009A6ACB">
        <w:rPr>
          <w:rFonts w:ascii="Arial" w:eastAsia="Times New Roman" w:hAnsi="Arial" w:cs="Arial"/>
          <w:color w:val="000000"/>
          <w:sz w:val="18"/>
          <w:szCs w:val="18"/>
          <w:lang w:eastAsia="es-UY"/>
        </w:rPr>
        <w:t xml:space="preserve"> 4 (TRF4) de Porto Alegre, emitieron -como era previsto- que el expresidente es culpable de corrupción pasiva y blanqueamiento.</w:t>
      </w:r>
    </w:p>
    <w:p w:rsidR="009A6ACB" w:rsidRPr="009A6ACB" w:rsidRDefault="009A6ACB" w:rsidP="009A6ACB">
      <w:pPr>
        <w:spacing w:after="0" w:line="312" w:lineRule="atLeast"/>
        <w:textAlignment w:val="baseline"/>
        <w:rPr>
          <w:rFonts w:ascii="Arial" w:eastAsia="Times New Roman" w:hAnsi="Arial" w:cs="Arial"/>
          <w:color w:val="000000"/>
          <w:sz w:val="18"/>
          <w:szCs w:val="18"/>
          <w:lang w:eastAsia="es-UY"/>
        </w:rPr>
      </w:pPr>
      <w:r w:rsidRPr="009A6ACB">
        <w:rPr>
          <w:rFonts w:ascii="Arial" w:eastAsia="Times New Roman" w:hAnsi="Arial" w:cs="Arial"/>
          <w:color w:val="000000"/>
          <w:sz w:val="18"/>
          <w:szCs w:val="18"/>
          <w:lang w:eastAsia="es-UY"/>
        </w:rPr>
        <w:t> </w:t>
      </w:r>
    </w:p>
    <w:p w:rsidR="009A6ACB" w:rsidRPr="009A6ACB" w:rsidRDefault="009A6ACB" w:rsidP="009A6ACB">
      <w:pPr>
        <w:spacing w:after="0" w:line="312" w:lineRule="atLeast"/>
        <w:textAlignment w:val="baseline"/>
        <w:rPr>
          <w:rFonts w:ascii="Arial" w:eastAsia="Times New Roman" w:hAnsi="Arial" w:cs="Arial"/>
          <w:color w:val="000000"/>
          <w:sz w:val="18"/>
          <w:szCs w:val="18"/>
          <w:lang w:eastAsia="es-UY"/>
        </w:rPr>
      </w:pPr>
      <w:r w:rsidRPr="009A6ACB">
        <w:rPr>
          <w:rFonts w:ascii="Arial" w:eastAsia="Times New Roman" w:hAnsi="Arial" w:cs="Arial"/>
          <w:color w:val="000000"/>
          <w:sz w:val="18"/>
          <w:szCs w:val="18"/>
          <w:lang w:eastAsia="es-UY"/>
        </w:rPr>
        <w:t xml:space="preserve">El principal móvil por el que fue condenado Lula fue recibir un departamento en el balneario paulista de </w:t>
      </w:r>
      <w:proofErr w:type="spellStart"/>
      <w:r w:rsidRPr="009A6ACB">
        <w:rPr>
          <w:rFonts w:ascii="Arial" w:eastAsia="Times New Roman" w:hAnsi="Arial" w:cs="Arial"/>
          <w:color w:val="000000"/>
          <w:sz w:val="18"/>
          <w:szCs w:val="18"/>
          <w:lang w:eastAsia="es-UY"/>
        </w:rPr>
        <w:t>Guarujá</w:t>
      </w:r>
      <w:proofErr w:type="spellEnd"/>
      <w:r w:rsidRPr="009A6ACB">
        <w:rPr>
          <w:rFonts w:ascii="Arial" w:eastAsia="Times New Roman" w:hAnsi="Arial" w:cs="Arial"/>
          <w:color w:val="000000"/>
          <w:sz w:val="18"/>
          <w:szCs w:val="18"/>
          <w:lang w:eastAsia="es-UY"/>
        </w:rPr>
        <w:t xml:space="preserve"> de parte de la constructora OAS, a cambio de la concesión de contratos en la petrolera Petrobras. No hay pruebas de que Lula haya sido nunca el propietario del </w:t>
      </w:r>
      <w:proofErr w:type="gramStart"/>
      <w:r w:rsidRPr="009A6ACB">
        <w:rPr>
          <w:rFonts w:ascii="Arial" w:eastAsia="Times New Roman" w:hAnsi="Arial" w:cs="Arial"/>
          <w:color w:val="000000"/>
          <w:sz w:val="18"/>
          <w:szCs w:val="18"/>
          <w:lang w:eastAsia="es-UY"/>
        </w:rPr>
        <w:t>apartamento,  ni</w:t>
      </w:r>
      <w:proofErr w:type="gramEnd"/>
      <w:r w:rsidRPr="009A6ACB">
        <w:rPr>
          <w:rFonts w:ascii="Arial" w:eastAsia="Times New Roman" w:hAnsi="Arial" w:cs="Arial"/>
          <w:color w:val="000000"/>
          <w:sz w:val="18"/>
          <w:szCs w:val="18"/>
          <w:lang w:eastAsia="es-UY"/>
        </w:rPr>
        <w:t xml:space="preserve"> siquiera de que tuviera las llaves del mismo o que pasara allí una noche, pero la Justicia asume que la constructora OAS se lo prometió como soborno. Ante esta escandalosa situación, los abogados defensores de Lula denunciaron las irregularidades del proceso en el Comité de Derechos Humanos de la ONU. La decisión al respecto se prevé será emitida para marzo de 2018.</w:t>
      </w:r>
    </w:p>
    <w:p w:rsidR="009A6ACB" w:rsidRPr="009A6ACB" w:rsidRDefault="009A6ACB" w:rsidP="009A6ACB">
      <w:pPr>
        <w:spacing w:after="0" w:line="312" w:lineRule="atLeast"/>
        <w:textAlignment w:val="baseline"/>
        <w:rPr>
          <w:rFonts w:ascii="Arial" w:eastAsia="Times New Roman" w:hAnsi="Arial" w:cs="Arial"/>
          <w:color w:val="000000"/>
          <w:sz w:val="18"/>
          <w:szCs w:val="18"/>
          <w:lang w:eastAsia="es-UY"/>
        </w:rPr>
      </w:pPr>
      <w:r w:rsidRPr="009A6ACB">
        <w:rPr>
          <w:rFonts w:ascii="Arial" w:eastAsia="Times New Roman" w:hAnsi="Arial" w:cs="Arial"/>
          <w:color w:val="000000"/>
          <w:sz w:val="18"/>
          <w:szCs w:val="18"/>
          <w:lang w:eastAsia="es-UY"/>
        </w:rPr>
        <w:t> </w:t>
      </w:r>
    </w:p>
    <w:p w:rsidR="009A6ACB" w:rsidRPr="009A6ACB" w:rsidRDefault="009A6ACB" w:rsidP="009A6ACB">
      <w:pPr>
        <w:spacing w:after="0" w:line="312" w:lineRule="atLeast"/>
        <w:textAlignment w:val="baseline"/>
        <w:rPr>
          <w:rFonts w:ascii="Arial" w:eastAsia="Times New Roman" w:hAnsi="Arial" w:cs="Arial"/>
          <w:color w:val="000000"/>
          <w:sz w:val="18"/>
          <w:szCs w:val="18"/>
          <w:lang w:eastAsia="es-UY"/>
        </w:rPr>
      </w:pPr>
      <w:r w:rsidRPr="009A6ACB">
        <w:rPr>
          <w:rFonts w:ascii="Arial" w:eastAsia="Times New Roman" w:hAnsi="Arial" w:cs="Arial"/>
          <w:color w:val="000000"/>
          <w:sz w:val="18"/>
          <w:szCs w:val="18"/>
          <w:lang w:eastAsia="es-UY"/>
        </w:rPr>
        <w:t>Mientras tanto, en un contexto de incertidumbre, se reaviva la crisis política inaugurada en 2016 con la destitución de Dilma Rousseff, como lo demuestran las grandes manifestaciones tanto a favor como en contra. En cuanto a los posibles escenarios futuros, las instancias de apelación ante el controversial fallo son las siguientes:</w:t>
      </w:r>
    </w:p>
    <w:p w:rsidR="009A6ACB" w:rsidRPr="009A6ACB" w:rsidRDefault="009A6ACB" w:rsidP="009A6ACB">
      <w:pPr>
        <w:spacing w:after="0" w:line="312" w:lineRule="atLeast"/>
        <w:textAlignment w:val="baseline"/>
        <w:rPr>
          <w:rFonts w:ascii="Arial" w:eastAsia="Times New Roman" w:hAnsi="Arial" w:cs="Arial"/>
          <w:color w:val="000000"/>
          <w:sz w:val="18"/>
          <w:szCs w:val="18"/>
          <w:lang w:eastAsia="es-UY"/>
        </w:rPr>
      </w:pPr>
      <w:r w:rsidRPr="009A6ACB">
        <w:rPr>
          <w:rFonts w:ascii="Arial" w:eastAsia="Times New Roman" w:hAnsi="Arial" w:cs="Arial"/>
          <w:color w:val="000000"/>
          <w:sz w:val="18"/>
          <w:szCs w:val="18"/>
          <w:lang w:eastAsia="es-UY"/>
        </w:rPr>
        <w:t> </w:t>
      </w:r>
    </w:p>
    <w:p w:rsidR="009A6ACB" w:rsidRPr="009A6ACB" w:rsidRDefault="009A6ACB" w:rsidP="009A6ACB">
      <w:pPr>
        <w:spacing w:after="0" w:line="312" w:lineRule="atLeast"/>
        <w:textAlignment w:val="baseline"/>
        <w:rPr>
          <w:rFonts w:ascii="Arial" w:eastAsia="Times New Roman" w:hAnsi="Arial" w:cs="Arial"/>
          <w:color w:val="000000"/>
          <w:sz w:val="18"/>
          <w:szCs w:val="18"/>
          <w:lang w:eastAsia="es-UY"/>
        </w:rPr>
      </w:pPr>
      <w:r w:rsidRPr="009A6ACB">
        <w:rPr>
          <w:rFonts w:ascii="Arial" w:eastAsia="Times New Roman" w:hAnsi="Arial" w:cs="Arial"/>
          <w:color w:val="000000"/>
          <w:sz w:val="18"/>
          <w:szCs w:val="18"/>
          <w:lang w:eastAsia="es-UY"/>
        </w:rPr>
        <w:t>I</w:t>
      </w:r>
    </w:p>
    <w:p w:rsidR="009A6ACB" w:rsidRPr="009A6ACB" w:rsidRDefault="009A6ACB" w:rsidP="009A6ACB">
      <w:pPr>
        <w:spacing w:after="0" w:line="312" w:lineRule="atLeast"/>
        <w:textAlignment w:val="baseline"/>
        <w:rPr>
          <w:rFonts w:ascii="Arial" w:eastAsia="Times New Roman" w:hAnsi="Arial" w:cs="Arial"/>
          <w:color w:val="000000"/>
          <w:sz w:val="18"/>
          <w:szCs w:val="18"/>
          <w:lang w:eastAsia="es-UY"/>
        </w:rPr>
      </w:pPr>
      <w:r w:rsidRPr="009A6ACB">
        <w:rPr>
          <w:rFonts w:ascii="Arial" w:eastAsia="Times New Roman" w:hAnsi="Arial" w:cs="Arial"/>
          <w:color w:val="000000"/>
          <w:sz w:val="18"/>
          <w:szCs w:val="18"/>
          <w:lang w:eastAsia="es-UY"/>
        </w:rPr>
        <w:t> </w:t>
      </w:r>
    </w:p>
    <w:p w:rsidR="009A6ACB" w:rsidRPr="009A6ACB" w:rsidRDefault="009A6ACB" w:rsidP="009A6ACB">
      <w:pPr>
        <w:spacing w:after="0" w:line="312" w:lineRule="atLeast"/>
        <w:textAlignment w:val="baseline"/>
        <w:rPr>
          <w:rFonts w:ascii="Arial" w:eastAsia="Times New Roman" w:hAnsi="Arial" w:cs="Arial"/>
          <w:color w:val="000000"/>
          <w:sz w:val="18"/>
          <w:szCs w:val="18"/>
          <w:lang w:eastAsia="es-UY"/>
        </w:rPr>
      </w:pPr>
      <w:r w:rsidRPr="009A6ACB">
        <w:rPr>
          <w:rFonts w:ascii="Arial" w:eastAsia="Times New Roman" w:hAnsi="Arial" w:cs="Arial"/>
          <w:color w:val="000000"/>
          <w:sz w:val="18"/>
          <w:szCs w:val="18"/>
          <w:lang w:eastAsia="es-UY"/>
        </w:rPr>
        <w:t xml:space="preserve">Lula dispone aún de recursos para evitar la cárcel y dar comienzo a la campaña presidencial de cara a octubre, en las que se presenta como favorito en los sondeos. Frente a la condena del tribunal de apelación la defensa dispone de 48 horas para solicitar precisiones o aclarar dudas (recurso de </w:t>
      </w:r>
      <w:r w:rsidRPr="009A6ACB">
        <w:rPr>
          <w:rFonts w:ascii="Arial" w:eastAsia="Times New Roman" w:hAnsi="Arial" w:cs="Arial"/>
          <w:color w:val="000000"/>
          <w:sz w:val="18"/>
          <w:szCs w:val="18"/>
          <w:lang w:eastAsia="es-UY"/>
        </w:rPr>
        <w:lastRenderedPageBreak/>
        <w:t>declaración). Sin embargo, la sentencia no puede revertirse. Si bien no hay plazo establecido para concluir este tipo de proceso, habitualmente se tramita con celeridad.</w:t>
      </w:r>
    </w:p>
    <w:p w:rsidR="009A6ACB" w:rsidRPr="009A6ACB" w:rsidRDefault="009A6ACB" w:rsidP="009A6ACB">
      <w:pPr>
        <w:spacing w:after="0" w:line="312" w:lineRule="atLeast"/>
        <w:textAlignment w:val="baseline"/>
        <w:rPr>
          <w:rFonts w:ascii="Arial" w:eastAsia="Times New Roman" w:hAnsi="Arial" w:cs="Arial"/>
          <w:color w:val="000000"/>
          <w:sz w:val="18"/>
          <w:szCs w:val="18"/>
          <w:lang w:eastAsia="es-UY"/>
        </w:rPr>
      </w:pPr>
      <w:r w:rsidRPr="009A6ACB">
        <w:rPr>
          <w:rFonts w:ascii="Arial" w:eastAsia="Times New Roman" w:hAnsi="Arial" w:cs="Arial"/>
          <w:color w:val="000000"/>
          <w:sz w:val="18"/>
          <w:szCs w:val="18"/>
          <w:lang w:eastAsia="es-UY"/>
        </w:rPr>
        <w:t> </w:t>
      </w:r>
    </w:p>
    <w:p w:rsidR="009A6ACB" w:rsidRPr="009A6ACB" w:rsidRDefault="009A6ACB" w:rsidP="009A6ACB">
      <w:pPr>
        <w:spacing w:after="0" w:line="312" w:lineRule="atLeast"/>
        <w:textAlignment w:val="baseline"/>
        <w:rPr>
          <w:rFonts w:ascii="Arial" w:eastAsia="Times New Roman" w:hAnsi="Arial" w:cs="Arial"/>
          <w:color w:val="000000"/>
          <w:sz w:val="18"/>
          <w:szCs w:val="18"/>
          <w:lang w:eastAsia="es-UY"/>
        </w:rPr>
      </w:pPr>
      <w:r w:rsidRPr="009A6ACB">
        <w:rPr>
          <w:rFonts w:ascii="Arial" w:eastAsia="Times New Roman" w:hAnsi="Arial" w:cs="Arial"/>
          <w:color w:val="000000"/>
          <w:sz w:val="18"/>
          <w:szCs w:val="18"/>
          <w:lang w:eastAsia="es-UY"/>
        </w:rPr>
        <w:t>II</w:t>
      </w:r>
    </w:p>
    <w:p w:rsidR="009A6ACB" w:rsidRPr="009A6ACB" w:rsidRDefault="009A6ACB" w:rsidP="009A6ACB">
      <w:pPr>
        <w:spacing w:after="0" w:line="312" w:lineRule="atLeast"/>
        <w:textAlignment w:val="baseline"/>
        <w:rPr>
          <w:rFonts w:ascii="Arial" w:eastAsia="Times New Roman" w:hAnsi="Arial" w:cs="Arial"/>
          <w:color w:val="000000"/>
          <w:sz w:val="18"/>
          <w:szCs w:val="18"/>
          <w:lang w:eastAsia="es-UY"/>
        </w:rPr>
      </w:pPr>
      <w:r w:rsidRPr="009A6ACB">
        <w:rPr>
          <w:rFonts w:ascii="Arial" w:eastAsia="Times New Roman" w:hAnsi="Arial" w:cs="Arial"/>
          <w:color w:val="000000"/>
          <w:sz w:val="18"/>
          <w:szCs w:val="18"/>
          <w:lang w:eastAsia="es-UY"/>
        </w:rPr>
        <w:t> </w:t>
      </w:r>
    </w:p>
    <w:p w:rsidR="009A6ACB" w:rsidRPr="009A6ACB" w:rsidRDefault="009A6ACB" w:rsidP="009A6ACB">
      <w:pPr>
        <w:spacing w:after="0" w:line="312" w:lineRule="atLeast"/>
        <w:textAlignment w:val="baseline"/>
        <w:rPr>
          <w:rFonts w:ascii="Arial" w:eastAsia="Times New Roman" w:hAnsi="Arial" w:cs="Arial"/>
          <w:color w:val="000000"/>
          <w:sz w:val="18"/>
          <w:szCs w:val="18"/>
          <w:lang w:eastAsia="es-UY"/>
        </w:rPr>
      </w:pPr>
      <w:r w:rsidRPr="009A6ACB">
        <w:rPr>
          <w:rFonts w:ascii="Arial" w:eastAsia="Times New Roman" w:hAnsi="Arial" w:cs="Arial"/>
          <w:color w:val="000000"/>
          <w:sz w:val="18"/>
          <w:szCs w:val="18"/>
          <w:lang w:eastAsia="es-UY"/>
        </w:rPr>
        <w:t xml:space="preserve">En segundo </w:t>
      </w:r>
      <w:proofErr w:type="gramStart"/>
      <w:r w:rsidRPr="009A6ACB">
        <w:rPr>
          <w:rFonts w:ascii="Arial" w:eastAsia="Times New Roman" w:hAnsi="Arial" w:cs="Arial"/>
          <w:color w:val="000000"/>
          <w:sz w:val="18"/>
          <w:szCs w:val="18"/>
          <w:lang w:eastAsia="es-UY"/>
        </w:rPr>
        <w:t>lugar</w:t>
      </w:r>
      <w:proofErr w:type="gramEnd"/>
      <w:r w:rsidRPr="009A6ACB">
        <w:rPr>
          <w:rFonts w:ascii="Arial" w:eastAsia="Times New Roman" w:hAnsi="Arial" w:cs="Arial"/>
          <w:color w:val="000000"/>
          <w:sz w:val="18"/>
          <w:szCs w:val="18"/>
          <w:lang w:eastAsia="es-UY"/>
        </w:rPr>
        <w:t xml:space="preserve"> puede hacerlo ante el Supremo Tribunal de Justicia (STJ), lo que constituye el paso previo al Supremo Tribunal Federal. La defensa dispone de quince días para presentar un recurso especial en el que solicite discutir el mérito de la acción o su nulidad. No puede discutir hechos nuevamente.</w:t>
      </w:r>
    </w:p>
    <w:p w:rsidR="009A6ACB" w:rsidRPr="009A6ACB" w:rsidRDefault="009A6ACB" w:rsidP="009A6ACB">
      <w:pPr>
        <w:spacing w:after="0" w:line="312" w:lineRule="atLeast"/>
        <w:textAlignment w:val="baseline"/>
        <w:rPr>
          <w:rFonts w:ascii="Arial" w:eastAsia="Times New Roman" w:hAnsi="Arial" w:cs="Arial"/>
          <w:color w:val="000000"/>
          <w:sz w:val="18"/>
          <w:szCs w:val="18"/>
          <w:lang w:eastAsia="es-UY"/>
        </w:rPr>
      </w:pPr>
      <w:r w:rsidRPr="009A6ACB">
        <w:rPr>
          <w:rFonts w:ascii="Arial" w:eastAsia="Times New Roman" w:hAnsi="Arial" w:cs="Arial"/>
          <w:color w:val="000000"/>
          <w:sz w:val="18"/>
          <w:szCs w:val="18"/>
          <w:lang w:eastAsia="es-UY"/>
        </w:rPr>
        <w:t> </w:t>
      </w:r>
    </w:p>
    <w:p w:rsidR="009A6ACB" w:rsidRPr="009A6ACB" w:rsidRDefault="009A6ACB" w:rsidP="009A6ACB">
      <w:pPr>
        <w:spacing w:after="0" w:line="312" w:lineRule="atLeast"/>
        <w:textAlignment w:val="baseline"/>
        <w:rPr>
          <w:rFonts w:ascii="Arial" w:eastAsia="Times New Roman" w:hAnsi="Arial" w:cs="Arial"/>
          <w:color w:val="000000"/>
          <w:sz w:val="18"/>
          <w:szCs w:val="18"/>
          <w:lang w:eastAsia="es-UY"/>
        </w:rPr>
      </w:pPr>
      <w:r w:rsidRPr="009A6ACB">
        <w:rPr>
          <w:rFonts w:ascii="Arial" w:eastAsia="Times New Roman" w:hAnsi="Arial" w:cs="Arial"/>
          <w:color w:val="000000"/>
          <w:sz w:val="18"/>
          <w:szCs w:val="18"/>
          <w:lang w:eastAsia="es-UY"/>
        </w:rPr>
        <w:t>III</w:t>
      </w:r>
    </w:p>
    <w:p w:rsidR="009A6ACB" w:rsidRPr="009A6ACB" w:rsidRDefault="009A6ACB" w:rsidP="009A6ACB">
      <w:pPr>
        <w:spacing w:after="0" w:line="312" w:lineRule="atLeast"/>
        <w:textAlignment w:val="baseline"/>
        <w:rPr>
          <w:rFonts w:ascii="Arial" w:eastAsia="Times New Roman" w:hAnsi="Arial" w:cs="Arial"/>
          <w:color w:val="000000"/>
          <w:sz w:val="18"/>
          <w:szCs w:val="18"/>
          <w:lang w:eastAsia="es-UY"/>
        </w:rPr>
      </w:pPr>
      <w:r w:rsidRPr="009A6ACB">
        <w:rPr>
          <w:rFonts w:ascii="Arial" w:eastAsia="Times New Roman" w:hAnsi="Arial" w:cs="Arial"/>
          <w:color w:val="000000"/>
          <w:sz w:val="18"/>
          <w:szCs w:val="18"/>
          <w:lang w:eastAsia="es-UY"/>
        </w:rPr>
        <w:t> </w:t>
      </w:r>
    </w:p>
    <w:p w:rsidR="009A6ACB" w:rsidRPr="009A6ACB" w:rsidRDefault="009A6ACB" w:rsidP="009A6ACB">
      <w:pPr>
        <w:spacing w:after="0" w:line="312" w:lineRule="atLeast"/>
        <w:textAlignment w:val="baseline"/>
        <w:rPr>
          <w:rFonts w:ascii="Arial" w:eastAsia="Times New Roman" w:hAnsi="Arial" w:cs="Arial"/>
          <w:color w:val="000000"/>
          <w:sz w:val="18"/>
          <w:szCs w:val="18"/>
          <w:lang w:eastAsia="es-UY"/>
        </w:rPr>
      </w:pPr>
      <w:r w:rsidRPr="009A6ACB">
        <w:rPr>
          <w:rFonts w:ascii="Arial" w:eastAsia="Times New Roman" w:hAnsi="Arial" w:cs="Arial"/>
          <w:color w:val="000000"/>
          <w:sz w:val="18"/>
          <w:szCs w:val="18"/>
          <w:lang w:eastAsia="es-UY"/>
        </w:rPr>
        <w:t xml:space="preserve">En última instancia, puede apelar ante el Supremo Tribunal Federal (STF) donde la defensa goza de quince días para cuestionar la condena o pedir la nulidad del proceso con un recurso extraordinario. En caso de que la Corte Suprema acepte el pedido de nulidad, esto conllevaría a efectuar un nuevo juicio de primera instancia. No hay plazo establecido para la decisión en torno a estos </w:t>
      </w:r>
      <w:proofErr w:type="gramStart"/>
      <w:r w:rsidRPr="009A6ACB">
        <w:rPr>
          <w:rFonts w:ascii="Arial" w:eastAsia="Times New Roman" w:hAnsi="Arial" w:cs="Arial"/>
          <w:color w:val="000000"/>
          <w:sz w:val="18"/>
          <w:szCs w:val="18"/>
          <w:lang w:eastAsia="es-UY"/>
        </w:rPr>
        <w:t>recursos</w:t>
      </w:r>
      <w:proofErr w:type="gramEnd"/>
      <w:r w:rsidRPr="009A6ACB">
        <w:rPr>
          <w:rFonts w:ascii="Arial" w:eastAsia="Times New Roman" w:hAnsi="Arial" w:cs="Arial"/>
          <w:color w:val="000000"/>
          <w:sz w:val="18"/>
          <w:szCs w:val="18"/>
          <w:lang w:eastAsia="es-UY"/>
        </w:rPr>
        <w:t xml:space="preserve"> pero de cualquier modo se trata de una sentencia definitiva.</w:t>
      </w:r>
    </w:p>
    <w:p w:rsidR="009A6ACB" w:rsidRPr="009A6ACB" w:rsidRDefault="009A6ACB" w:rsidP="009A6ACB">
      <w:pPr>
        <w:spacing w:after="0" w:line="312" w:lineRule="atLeast"/>
        <w:textAlignment w:val="baseline"/>
        <w:rPr>
          <w:rFonts w:ascii="Arial" w:eastAsia="Times New Roman" w:hAnsi="Arial" w:cs="Arial"/>
          <w:color w:val="000000"/>
          <w:sz w:val="18"/>
          <w:szCs w:val="18"/>
          <w:lang w:eastAsia="es-UY"/>
        </w:rPr>
      </w:pPr>
      <w:r w:rsidRPr="009A6ACB">
        <w:rPr>
          <w:rFonts w:ascii="Arial" w:eastAsia="Times New Roman" w:hAnsi="Arial" w:cs="Arial"/>
          <w:color w:val="000000"/>
          <w:sz w:val="18"/>
          <w:szCs w:val="18"/>
          <w:lang w:eastAsia="es-UY"/>
        </w:rPr>
        <w:t> </w:t>
      </w:r>
    </w:p>
    <w:p w:rsidR="009A6ACB" w:rsidRPr="009A6ACB" w:rsidRDefault="009A6ACB" w:rsidP="009A6ACB">
      <w:pPr>
        <w:spacing w:after="0" w:line="312" w:lineRule="atLeast"/>
        <w:textAlignment w:val="baseline"/>
        <w:rPr>
          <w:rFonts w:ascii="Arial" w:eastAsia="Times New Roman" w:hAnsi="Arial" w:cs="Arial"/>
          <w:color w:val="000000"/>
          <w:sz w:val="18"/>
          <w:szCs w:val="18"/>
          <w:lang w:eastAsia="es-UY"/>
        </w:rPr>
      </w:pPr>
      <w:r w:rsidRPr="009A6ACB">
        <w:rPr>
          <w:rFonts w:ascii="Arial" w:eastAsia="Times New Roman" w:hAnsi="Arial" w:cs="Arial"/>
          <w:color w:val="000000"/>
          <w:sz w:val="18"/>
          <w:szCs w:val="18"/>
          <w:lang w:eastAsia="es-UY"/>
        </w:rPr>
        <w:t>En caso de resultar encarcelado, Lula estará facultado para solicitar un </w:t>
      </w:r>
      <w:r w:rsidRPr="009A6ACB">
        <w:rPr>
          <w:rFonts w:ascii="Arial" w:eastAsia="Times New Roman" w:hAnsi="Arial" w:cs="Arial"/>
          <w:i/>
          <w:iCs/>
          <w:color w:val="000000"/>
          <w:sz w:val="18"/>
          <w:szCs w:val="18"/>
          <w:bdr w:val="none" w:sz="0" w:space="0" w:color="auto" w:frame="1"/>
          <w:lang w:eastAsia="es-UY"/>
        </w:rPr>
        <w:t>habeas corpus</w:t>
      </w:r>
      <w:r w:rsidRPr="009A6ACB">
        <w:rPr>
          <w:rFonts w:ascii="Arial" w:eastAsia="Times New Roman" w:hAnsi="Arial" w:cs="Arial"/>
          <w:color w:val="000000"/>
          <w:sz w:val="18"/>
          <w:szCs w:val="18"/>
          <w:lang w:eastAsia="es-UY"/>
        </w:rPr>
        <w:t> ante el STJ y recurrir ante el Supremo Tribunal Federal STF. Dentro del marco jurídico brasileño, la ley de “Ficha Limpia” inhabilita electoralmente a Lula por presentar una condena en segunda instancia. Sin embargo, podría iniciar la campaña gracias a una medida cautelar del Tribunal Supremo Electoral (TSE).</w:t>
      </w:r>
    </w:p>
    <w:p w:rsidR="009A6ACB" w:rsidRPr="009A6ACB" w:rsidRDefault="009A6ACB" w:rsidP="009A6ACB">
      <w:pPr>
        <w:spacing w:after="0" w:line="312" w:lineRule="atLeast"/>
        <w:textAlignment w:val="baseline"/>
        <w:rPr>
          <w:rFonts w:ascii="Arial" w:eastAsia="Times New Roman" w:hAnsi="Arial" w:cs="Arial"/>
          <w:color w:val="000000"/>
          <w:sz w:val="18"/>
          <w:szCs w:val="18"/>
          <w:lang w:eastAsia="es-UY"/>
        </w:rPr>
      </w:pPr>
      <w:r w:rsidRPr="009A6ACB">
        <w:rPr>
          <w:rFonts w:ascii="Arial" w:eastAsia="Times New Roman" w:hAnsi="Arial" w:cs="Arial"/>
          <w:color w:val="000000"/>
          <w:sz w:val="18"/>
          <w:szCs w:val="18"/>
          <w:lang w:eastAsia="es-UY"/>
        </w:rPr>
        <w:t> </w:t>
      </w:r>
    </w:p>
    <w:p w:rsidR="009A6ACB" w:rsidRPr="009A6ACB" w:rsidRDefault="009A6ACB" w:rsidP="009A6ACB">
      <w:pPr>
        <w:spacing w:after="0" w:line="312" w:lineRule="atLeast"/>
        <w:textAlignment w:val="baseline"/>
        <w:rPr>
          <w:rFonts w:ascii="Arial" w:eastAsia="Times New Roman" w:hAnsi="Arial" w:cs="Arial"/>
          <w:color w:val="000000"/>
          <w:sz w:val="18"/>
          <w:szCs w:val="18"/>
          <w:lang w:eastAsia="es-UY"/>
        </w:rPr>
      </w:pPr>
      <w:r w:rsidRPr="009A6ACB">
        <w:rPr>
          <w:rFonts w:ascii="Arial" w:eastAsia="Times New Roman" w:hAnsi="Arial" w:cs="Arial"/>
          <w:color w:val="000000"/>
          <w:sz w:val="18"/>
          <w:szCs w:val="18"/>
          <w:lang w:eastAsia="es-UY"/>
        </w:rPr>
        <w:t>El plazo para la inscripción de las candidaturas va del 20 de julio al 15 de agosto. En caso de que la candidatura sea impugnada, el Partido de los Trabajadores (PT) puede reemplazar a Lula hasta el 17 de septiembre, veinte días antes de la primera vuelta del 7 de octubre. Si Lula continúa en la contienda y es electo presidente, su toma del cargo dependerá de la evolución judicial del caso y de los recursos legales que sostengan su candidatura.</w:t>
      </w:r>
    </w:p>
    <w:p w:rsidR="009A6ACB" w:rsidRPr="009A6ACB" w:rsidRDefault="009A6ACB" w:rsidP="009A6ACB">
      <w:pPr>
        <w:spacing w:after="0" w:line="312" w:lineRule="atLeast"/>
        <w:textAlignment w:val="baseline"/>
        <w:rPr>
          <w:rFonts w:ascii="Arial" w:eastAsia="Times New Roman" w:hAnsi="Arial" w:cs="Arial"/>
          <w:color w:val="000000"/>
          <w:sz w:val="18"/>
          <w:szCs w:val="18"/>
          <w:lang w:eastAsia="es-UY"/>
        </w:rPr>
      </w:pPr>
      <w:r w:rsidRPr="009A6ACB">
        <w:rPr>
          <w:rFonts w:ascii="Arial" w:eastAsia="Times New Roman" w:hAnsi="Arial" w:cs="Arial"/>
          <w:color w:val="000000"/>
          <w:sz w:val="18"/>
          <w:szCs w:val="18"/>
          <w:lang w:eastAsia="es-UY"/>
        </w:rPr>
        <w:t> </w:t>
      </w:r>
    </w:p>
    <w:p w:rsidR="009A6ACB" w:rsidRPr="009A6ACB" w:rsidRDefault="009A6ACB" w:rsidP="009A6ACB">
      <w:pPr>
        <w:spacing w:after="0" w:line="312" w:lineRule="atLeast"/>
        <w:textAlignment w:val="baseline"/>
        <w:rPr>
          <w:rFonts w:ascii="Arial" w:eastAsia="Times New Roman" w:hAnsi="Arial" w:cs="Arial"/>
          <w:color w:val="000000"/>
          <w:sz w:val="18"/>
          <w:szCs w:val="18"/>
          <w:lang w:eastAsia="es-UY"/>
        </w:rPr>
      </w:pPr>
      <w:r w:rsidRPr="009A6ACB">
        <w:rPr>
          <w:rFonts w:ascii="Arial" w:eastAsia="Times New Roman" w:hAnsi="Arial" w:cs="Arial"/>
          <w:color w:val="000000"/>
          <w:sz w:val="18"/>
          <w:szCs w:val="18"/>
          <w:lang w:eastAsia="es-UY"/>
        </w:rPr>
        <w:t xml:space="preserve">Aún en el caso de salir victorioso en las elecciones de octubre, Lula debería recibir el beneplácito de la Justicia Electoral a mediados de diciembre para asumir el cargo. No obstante, su elección podría ser objetada, debiendo dejar el Gobierno a cargo de su eventual vicepresidente. Ahora bien, </w:t>
      </w:r>
      <w:proofErr w:type="gramStart"/>
      <w:r w:rsidRPr="009A6ACB">
        <w:rPr>
          <w:rFonts w:ascii="Arial" w:eastAsia="Times New Roman" w:hAnsi="Arial" w:cs="Arial"/>
          <w:color w:val="000000"/>
          <w:sz w:val="18"/>
          <w:szCs w:val="18"/>
          <w:lang w:eastAsia="es-UY"/>
        </w:rPr>
        <w:t>en caso que</w:t>
      </w:r>
      <w:proofErr w:type="gramEnd"/>
      <w:r w:rsidRPr="009A6ACB">
        <w:rPr>
          <w:rFonts w:ascii="Arial" w:eastAsia="Times New Roman" w:hAnsi="Arial" w:cs="Arial"/>
          <w:color w:val="000000"/>
          <w:sz w:val="18"/>
          <w:szCs w:val="18"/>
          <w:lang w:eastAsia="es-UY"/>
        </w:rPr>
        <w:t xml:space="preserve"> su victoria no fuera derogada, el proceso podría congelarse hasta concluir su gestión, dado que constitucionalmente en Brasil un presidente no puede responder por crímenes cometidos previamente al ejercicio de sus funciones.</w:t>
      </w:r>
    </w:p>
    <w:p w:rsidR="009A6ACB" w:rsidRPr="009A6ACB" w:rsidRDefault="009A6ACB" w:rsidP="009A6ACB">
      <w:pPr>
        <w:spacing w:after="0" w:line="312" w:lineRule="atLeast"/>
        <w:textAlignment w:val="baseline"/>
        <w:rPr>
          <w:rFonts w:ascii="Arial" w:eastAsia="Times New Roman" w:hAnsi="Arial" w:cs="Arial"/>
          <w:color w:val="000000"/>
          <w:sz w:val="18"/>
          <w:szCs w:val="18"/>
          <w:lang w:eastAsia="es-UY"/>
        </w:rPr>
      </w:pPr>
      <w:r w:rsidRPr="009A6ACB">
        <w:rPr>
          <w:rFonts w:ascii="Arial" w:eastAsia="Times New Roman" w:hAnsi="Arial" w:cs="Arial"/>
          <w:color w:val="000000"/>
          <w:sz w:val="18"/>
          <w:szCs w:val="18"/>
          <w:lang w:eastAsia="es-UY"/>
        </w:rPr>
        <w:t> </w:t>
      </w:r>
    </w:p>
    <w:p w:rsidR="009A6ACB" w:rsidRPr="009A6ACB" w:rsidRDefault="009A6ACB" w:rsidP="009A6ACB">
      <w:pPr>
        <w:spacing w:after="0" w:line="312" w:lineRule="atLeast"/>
        <w:textAlignment w:val="baseline"/>
        <w:rPr>
          <w:rFonts w:ascii="Arial" w:eastAsia="Times New Roman" w:hAnsi="Arial" w:cs="Arial"/>
          <w:color w:val="000000"/>
          <w:sz w:val="18"/>
          <w:szCs w:val="18"/>
          <w:lang w:eastAsia="es-UY"/>
        </w:rPr>
      </w:pPr>
      <w:r w:rsidRPr="009A6ACB">
        <w:rPr>
          <w:rFonts w:ascii="Arial" w:eastAsia="Times New Roman" w:hAnsi="Arial" w:cs="Arial"/>
          <w:color w:val="000000"/>
          <w:sz w:val="18"/>
          <w:szCs w:val="18"/>
          <w:lang w:eastAsia="es-UY"/>
        </w:rPr>
        <w:t>Las trabas del Poder Judicial y el protagonismo del juez de primera instancia, Sergio Moro, apuntan a una maniobra de la Justicia para truncar la candidatura del dirigente con mayor intención de voto. El concepto de </w:t>
      </w:r>
      <w:proofErr w:type="spellStart"/>
      <w:r w:rsidRPr="009A6ACB">
        <w:rPr>
          <w:rFonts w:ascii="Arial" w:eastAsia="Times New Roman" w:hAnsi="Arial" w:cs="Arial"/>
          <w:i/>
          <w:iCs/>
          <w:color w:val="000000"/>
          <w:sz w:val="18"/>
          <w:szCs w:val="18"/>
          <w:bdr w:val="none" w:sz="0" w:space="0" w:color="auto" w:frame="1"/>
          <w:lang w:eastAsia="es-UY"/>
        </w:rPr>
        <w:t>Lawfare</w:t>
      </w:r>
      <w:proofErr w:type="spellEnd"/>
      <w:r w:rsidRPr="009A6ACB">
        <w:rPr>
          <w:rFonts w:ascii="Arial" w:eastAsia="Times New Roman" w:hAnsi="Arial" w:cs="Arial"/>
          <w:color w:val="000000"/>
          <w:sz w:val="18"/>
          <w:szCs w:val="18"/>
          <w:lang w:eastAsia="es-UY"/>
        </w:rPr>
        <w:t xml:space="preserve"> da cuenta de la intencionalidad política de la </w:t>
      </w:r>
      <w:proofErr w:type="gramStart"/>
      <w:r w:rsidRPr="009A6ACB">
        <w:rPr>
          <w:rFonts w:ascii="Arial" w:eastAsia="Times New Roman" w:hAnsi="Arial" w:cs="Arial"/>
          <w:color w:val="000000"/>
          <w:sz w:val="18"/>
          <w:szCs w:val="18"/>
          <w:lang w:eastAsia="es-UY"/>
        </w:rPr>
        <w:t>causa,  ya</w:t>
      </w:r>
      <w:proofErr w:type="gramEnd"/>
      <w:r w:rsidRPr="009A6ACB">
        <w:rPr>
          <w:rFonts w:ascii="Arial" w:eastAsia="Times New Roman" w:hAnsi="Arial" w:cs="Arial"/>
          <w:color w:val="000000"/>
          <w:sz w:val="18"/>
          <w:szCs w:val="18"/>
          <w:lang w:eastAsia="es-UY"/>
        </w:rPr>
        <w:t xml:space="preserve"> que esta vulnera varios de los principios del debido proceso: no se respeta el derecho del acusado a la defensa amplia e irrestricta, se hace uso de pruebas ilícitas, hay un bombardeo mediático para mancillar la imagen del acusado y las pruebas en su contra no son concluyentes. Aunque el panorama todavía es incierto, lo que sí es cierto es que el camino de Lula a la Presidencia es cada vez más laberíntico.</w:t>
      </w:r>
    </w:p>
    <w:p w:rsidR="009A6ACB" w:rsidRPr="009A6ACB" w:rsidRDefault="009A6ACB" w:rsidP="009A6ACB">
      <w:pPr>
        <w:spacing w:after="0" w:line="312" w:lineRule="atLeast"/>
        <w:textAlignment w:val="baseline"/>
        <w:rPr>
          <w:rFonts w:ascii="Arial" w:eastAsia="Times New Roman" w:hAnsi="Arial" w:cs="Arial"/>
          <w:color w:val="000000"/>
          <w:sz w:val="18"/>
          <w:szCs w:val="18"/>
          <w:lang w:eastAsia="es-UY"/>
        </w:rPr>
      </w:pPr>
      <w:r w:rsidRPr="009A6ACB">
        <w:rPr>
          <w:rFonts w:ascii="Arial" w:eastAsia="Times New Roman" w:hAnsi="Arial" w:cs="Arial"/>
          <w:color w:val="000000"/>
          <w:sz w:val="18"/>
          <w:szCs w:val="18"/>
          <w:lang w:eastAsia="es-UY"/>
        </w:rPr>
        <w:t> </w:t>
      </w:r>
    </w:p>
    <w:p w:rsidR="009A6ACB" w:rsidRPr="009A6ACB" w:rsidRDefault="009A6ACB" w:rsidP="009A6ACB">
      <w:pPr>
        <w:spacing w:after="0" w:line="312" w:lineRule="atLeast"/>
        <w:textAlignment w:val="baseline"/>
        <w:rPr>
          <w:rFonts w:ascii="Arial" w:eastAsia="Times New Roman" w:hAnsi="Arial" w:cs="Arial"/>
          <w:color w:val="000000"/>
          <w:sz w:val="18"/>
          <w:szCs w:val="18"/>
          <w:lang w:eastAsia="es-UY"/>
        </w:rPr>
      </w:pPr>
      <w:r w:rsidRPr="009A6ACB">
        <w:rPr>
          <w:rFonts w:ascii="Arial" w:eastAsia="Times New Roman" w:hAnsi="Arial" w:cs="Arial"/>
          <w:i/>
          <w:iCs/>
          <w:color w:val="000000"/>
          <w:sz w:val="18"/>
          <w:szCs w:val="18"/>
          <w:bdr w:val="none" w:sz="0" w:space="0" w:color="auto" w:frame="1"/>
          <w:lang w:eastAsia="es-UY"/>
        </w:rPr>
        <w:lastRenderedPageBreak/>
        <w:t>Bárbara Ester </w:t>
      </w:r>
    </w:p>
    <w:p w:rsidR="009A6ACB" w:rsidRPr="009A6ACB" w:rsidRDefault="009A6ACB" w:rsidP="009A6ACB">
      <w:pPr>
        <w:spacing w:after="0" w:line="312" w:lineRule="atLeast"/>
        <w:textAlignment w:val="baseline"/>
        <w:rPr>
          <w:rFonts w:ascii="Arial" w:eastAsia="Times New Roman" w:hAnsi="Arial" w:cs="Arial"/>
          <w:color w:val="000000"/>
          <w:sz w:val="18"/>
          <w:szCs w:val="18"/>
          <w:lang w:eastAsia="es-UY"/>
        </w:rPr>
      </w:pPr>
      <w:r w:rsidRPr="009A6ACB">
        <w:rPr>
          <w:rFonts w:ascii="Arial" w:eastAsia="Times New Roman" w:hAnsi="Arial" w:cs="Arial"/>
          <w:i/>
          <w:iCs/>
          <w:color w:val="000000"/>
          <w:sz w:val="18"/>
          <w:szCs w:val="18"/>
          <w:bdr w:val="none" w:sz="0" w:space="0" w:color="auto" w:frame="1"/>
          <w:lang w:eastAsia="es-UY"/>
        </w:rPr>
        <w:t>@</w:t>
      </w:r>
      <w:proofErr w:type="spellStart"/>
      <w:r w:rsidRPr="009A6ACB">
        <w:rPr>
          <w:rFonts w:ascii="Arial" w:eastAsia="Times New Roman" w:hAnsi="Arial" w:cs="Arial"/>
          <w:i/>
          <w:iCs/>
          <w:color w:val="000000"/>
          <w:sz w:val="18"/>
          <w:szCs w:val="18"/>
          <w:bdr w:val="none" w:sz="0" w:space="0" w:color="auto" w:frame="1"/>
          <w:lang w:eastAsia="es-UY"/>
        </w:rPr>
        <w:t>barbaraestereo</w:t>
      </w:r>
      <w:proofErr w:type="spellEnd"/>
    </w:p>
    <w:p w:rsidR="009A6ACB" w:rsidRPr="009A6ACB" w:rsidRDefault="009A6ACB" w:rsidP="009A6ACB">
      <w:pPr>
        <w:spacing w:after="0" w:line="312" w:lineRule="atLeast"/>
        <w:textAlignment w:val="baseline"/>
        <w:rPr>
          <w:rFonts w:ascii="Arial" w:eastAsia="Times New Roman" w:hAnsi="Arial" w:cs="Arial"/>
          <w:color w:val="000000"/>
          <w:sz w:val="18"/>
          <w:szCs w:val="18"/>
          <w:lang w:eastAsia="es-UY"/>
        </w:rPr>
      </w:pPr>
      <w:r w:rsidRPr="009A6ACB">
        <w:rPr>
          <w:rFonts w:ascii="Arial" w:eastAsia="Times New Roman" w:hAnsi="Arial" w:cs="Arial"/>
          <w:i/>
          <w:iCs/>
          <w:color w:val="000000"/>
          <w:sz w:val="18"/>
          <w:szCs w:val="18"/>
          <w:bdr w:val="none" w:sz="0" w:space="0" w:color="auto" w:frame="1"/>
          <w:lang w:eastAsia="es-UY"/>
        </w:rPr>
        <w:t>Investigadora de CELAG</w:t>
      </w:r>
    </w:p>
    <w:p w:rsidR="009A6ACB" w:rsidRPr="009A6ACB" w:rsidRDefault="009A6ACB" w:rsidP="009A6ACB">
      <w:pPr>
        <w:spacing w:after="0" w:line="312" w:lineRule="atLeast"/>
        <w:textAlignment w:val="baseline"/>
        <w:rPr>
          <w:rFonts w:ascii="Arial" w:eastAsia="Times New Roman" w:hAnsi="Arial" w:cs="Arial"/>
          <w:color w:val="000000"/>
          <w:sz w:val="18"/>
          <w:szCs w:val="18"/>
          <w:lang w:eastAsia="es-UY"/>
        </w:rPr>
      </w:pPr>
      <w:r w:rsidRPr="009A6ACB">
        <w:rPr>
          <w:rFonts w:ascii="Arial" w:eastAsia="Times New Roman" w:hAnsi="Arial" w:cs="Arial"/>
          <w:color w:val="000000"/>
          <w:sz w:val="18"/>
          <w:szCs w:val="18"/>
          <w:lang w:eastAsia="es-UY"/>
        </w:rPr>
        <w:t> </w:t>
      </w:r>
    </w:p>
    <w:p w:rsidR="009A6ACB" w:rsidRPr="009A6ACB" w:rsidRDefault="009A6ACB" w:rsidP="009A6ACB">
      <w:pPr>
        <w:spacing w:after="0" w:line="312" w:lineRule="atLeast"/>
        <w:textAlignment w:val="baseline"/>
        <w:rPr>
          <w:rFonts w:ascii="Arial" w:eastAsia="Times New Roman" w:hAnsi="Arial" w:cs="Arial"/>
          <w:color w:val="000000"/>
          <w:sz w:val="18"/>
          <w:szCs w:val="18"/>
          <w:lang w:eastAsia="es-UY"/>
        </w:rPr>
      </w:pPr>
      <w:hyperlink r:id="rId8" w:history="1">
        <w:r w:rsidRPr="009A6ACB">
          <w:rPr>
            <w:rFonts w:ascii="Arial" w:eastAsia="Times New Roman" w:hAnsi="Arial" w:cs="Arial"/>
            <w:color w:val="A52A2A"/>
            <w:sz w:val="18"/>
            <w:szCs w:val="18"/>
            <w:u w:val="single"/>
            <w:bdr w:val="none" w:sz="0" w:space="0" w:color="auto" w:frame="1"/>
            <w:lang w:eastAsia="es-UY"/>
          </w:rPr>
          <w:t>http://www.celag.org/brasil-lula-los-vericuetos-la-justicia/</w:t>
        </w:r>
      </w:hyperlink>
    </w:p>
    <w:p w:rsidR="009A6ACB" w:rsidRPr="009A6ACB" w:rsidRDefault="009A6ACB" w:rsidP="009A6ACB">
      <w:pPr>
        <w:spacing w:after="0" w:line="312" w:lineRule="atLeast"/>
        <w:textAlignment w:val="baseline"/>
        <w:rPr>
          <w:rFonts w:ascii="Arial" w:eastAsia="Times New Roman" w:hAnsi="Arial" w:cs="Arial"/>
          <w:color w:val="000000"/>
          <w:sz w:val="18"/>
          <w:szCs w:val="18"/>
          <w:lang w:eastAsia="es-UY"/>
        </w:rPr>
      </w:pPr>
      <w:r w:rsidRPr="009A6ACB">
        <w:rPr>
          <w:rFonts w:ascii="Arial" w:eastAsia="Times New Roman" w:hAnsi="Arial" w:cs="Arial"/>
          <w:color w:val="000000"/>
          <w:sz w:val="18"/>
          <w:szCs w:val="18"/>
          <w:lang w:eastAsia="es-UY"/>
        </w:rPr>
        <w:t>https://www.alainet.org/es/articulo/190642</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6ACB"/>
    <w:rsid w:val="00222B91"/>
    <w:rsid w:val="002E2F5B"/>
    <w:rsid w:val="009A6AC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6D5986-09FB-4F38-B826-A86885EAE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9863602">
      <w:bodyDiv w:val="1"/>
      <w:marLeft w:val="0"/>
      <w:marRight w:val="0"/>
      <w:marTop w:val="0"/>
      <w:marBottom w:val="0"/>
      <w:divBdr>
        <w:top w:val="none" w:sz="0" w:space="0" w:color="auto"/>
        <w:left w:val="none" w:sz="0" w:space="0" w:color="auto"/>
        <w:bottom w:val="none" w:sz="0" w:space="0" w:color="auto"/>
        <w:right w:val="none" w:sz="0" w:space="0" w:color="auto"/>
      </w:divBdr>
      <w:divsChild>
        <w:div w:id="1643077290">
          <w:marLeft w:val="0"/>
          <w:marRight w:val="0"/>
          <w:marTop w:val="45"/>
          <w:marBottom w:val="90"/>
          <w:divBdr>
            <w:top w:val="none" w:sz="0" w:space="0" w:color="auto"/>
            <w:left w:val="none" w:sz="0" w:space="0" w:color="auto"/>
            <w:bottom w:val="none" w:sz="0" w:space="0" w:color="auto"/>
            <w:right w:val="none" w:sz="0" w:space="0" w:color="auto"/>
          </w:divBdr>
          <w:divsChild>
            <w:div w:id="2008050124">
              <w:marLeft w:val="0"/>
              <w:marRight w:val="0"/>
              <w:marTop w:val="0"/>
              <w:marBottom w:val="0"/>
              <w:divBdr>
                <w:top w:val="none" w:sz="0" w:space="0" w:color="auto"/>
                <w:left w:val="none" w:sz="0" w:space="0" w:color="auto"/>
                <w:bottom w:val="none" w:sz="0" w:space="0" w:color="auto"/>
                <w:right w:val="none" w:sz="0" w:space="0" w:color="auto"/>
              </w:divBdr>
              <w:divsChild>
                <w:div w:id="643121647">
                  <w:marLeft w:val="0"/>
                  <w:marRight w:val="0"/>
                  <w:marTop w:val="0"/>
                  <w:marBottom w:val="0"/>
                  <w:divBdr>
                    <w:top w:val="none" w:sz="0" w:space="0" w:color="auto"/>
                    <w:left w:val="none" w:sz="0" w:space="0" w:color="auto"/>
                    <w:bottom w:val="none" w:sz="0" w:space="0" w:color="auto"/>
                    <w:right w:val="none" w:sz="0" w:space="0" w:color="auto"/>
                  </w:divBdr>
                  <w:divsChild>
                    <w:div w:id="1461997614">
                      <w:marLeft w:val="0"/>
                      <w:marRight w:val="0"/>
                      <w:marTop w:val="0"/>
                      <w:marBottom w:val="0"/>
                      <w:divBdr>
                        <w:top w:val="none" w:sz="0" w:space="0" w:color="auto"/>
                        <w:left w:val="none" w:sz="0" w:space="0" w:color="auto"/>
                        <w:bottom w:val="none" w:sz="0" w:space="0" w:color="auto"/>
                        <w:right w:val="none" w:sz="0" w:space="0" w:color="auto"/>
                      </w:divBdr>
                      <w:divsChild>
                        <w:div w:id="71199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1593285">
          <w:marLeft w:val="0"/>
          <w:marRight w:val="0"/>
          <w:marTop w:val="0"/>
          <w:marBottom w:val="0"/>
          <w:divBdr>
            <w:top w:val="none" w:sz="0" w:space="0" w:color="auto"/>
            <w:left w:val="none" w:sz="0" w:space="0" w:color="auto"/>
            <w:bottom w:val="none" w:sz="0" w:space="0" w:color="auto"/>
            <w:right w:val="none" w:sz="0" w:space="0" w:color="auto"/>
          </w:divBdr>
          <w:divsChild>
            <w:div w:id="906645159">
              <w:marLeft w:val="0"/>
              <w:marRight w:val="0"/>
              <w:marTop w:val="0"/>
              <w:marBottom w:val="0"/>
              <w:divBdr>
                <w:top w:val="none" w:sz="0" w:space="0" w:color="auto"/>
                <w:left w:val="none" w:sz="0" w:space="0" w:color="auto"/>
                <w:bottom w:val="none" w:sz="0" w:space="0" w:color="auto"/>
                <w:right w:val="none" w:sz="0" w:space="0" w:color="auto"/>
              </w:divBdr>
              <w:divsChild>
                <w:div w:id="786779446">
                  <w:marLeft w:val="0"/>
                  <w:marRight w:val="0"/>
                  <w:marTop w:val="0"/>
                  <w:marBottom w:val="0"/>
                  <w:divBdr>
                    <w:top w:val="none" w:sz="0" w:space="0" w:color="auto"/>
                    <w:left w:val="none" w:sz="0" w:space="0" w:color="auto"/>
                    <w:bottom w:val="none" w:sz="0" w:space="0" w:color="auto"/>
                    <w:right w:val="none" w:sz="0" w:space="0" w:color="auto"/>
                  </w:divBdr>
                  <w:divsChild>
                    <w:div w:id="717432405">
                      <w:marLeft w:val="0"/>
                      <w:marRight w:val="0"/>
                      <w:marTop w:val="0"/>
                      <w:marBottom w:val="0"/>
                      <w:divBdr>
                        <w:top w:val="none" w:sz="0" w:space="0" w:color="auto"/>
                        <w:left w:val="none" w:sz="0" w:space="0" w:color="auto"/>
                        <w:bottom w:val="none" w:sz="0" w:space="0" w:color="auto"/>
                        <w:right w:val="none" w:sz="0" w:space="0" w:color="auto"/>
                      </w:divBdr>
                      <w:divsChild>
                        <w:div w:id="106629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9103942">
          <w:marLeft w:val="0"/>
          <w:marRight w:val="0"/>
          <w:marTop w:val="0"/>
          <w:marBottom w:val="90"/>
          <w:divBdr>
            <w:top w:val="none" w:sz="0" w:space="0" w:color="auto"/>
            <w:left w:val="none" w:sz="0" w:space="0" w:color="auto"/>
            <w:bottom w:val="none" w:sz="0" w:space="0" w:color="auto"/>
            <w:right w:val="none" w:sz="0" w:space="0" w:color="auto"/>
          </w:divBdr>
          <w:divsChild>
            <w:div w:id="393166723">
              <w:marLeft w:val="0"/>
              <w:marRight w:val="0"/>
              <w:marTop w:val="0"/>
              <w:marBottom w:val="0"/>
              <w:divBdr>
                <w:top w:val="none" w:sz="0" w:space="0" w:color="auto"/>
                <w:left w:val="none" w:sz="0" w:space="0" w:color="auto"/>
                <w:bottom w:val="none" w:sz="0" w:space="0" w:color="auto"/>
                <w:right w:val="none" w:sz="0" w:space="0" w:color="auto"/>
              </w:divBdr>
            </w:div>
          </w:divsChild>
        </w:div>
        <w:div w:id="942151419">
          <w:marLeft w:val="0"/>
          <w:marRight w:val="0"/>
          <w:marTop w:val="150"/>
          <w:marBottom w:val="0"/>
          <w:divBdr>
            <w:top w:val="none" w:sz="0" w:space="0" w:color="auto"/>
            <w:left w:val="none" w:sz="0" w:space="0" w:color="auto"/>
            <w:bottom w:val="none" w:sz="0" w:space="0" w:color="auto"/>
            <w:right w:val="none" w:sz="0" w:space="0" w:color="auto"/>
          </w:divBdr>
          <w:divsChild>
            <w:div w:id="811294902">
              <w:marLeft w:val="0"/>
              <w:marRight w:val="0"/>
              <w:marTop w:val="0"/>
              <w:marBottom w:val="0"/>
              <w:divBdr>
                <w:top w:val="none" w:sz="0" w:space="0" w:color="auto"/>
                <w:left w:val="none" w:sz="0" w:space="0" w:color="auto"/>
                <w:bottom w:val="none" w:sz="0" w:space="0" w:color="auto"/>
                <w:right w:val="none" w:sz="0" w:space="0" w:color="auto"/>
              </w:divBdr>
              <w:divsChild>
                <w:div w:id="98497092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03637553">
          <w:marLeft w:val="0"/>
          <w:marRight w:val="0"/>
          <w:marTop w:val="0"/>
          <w:marBottom w:val="0"/>
          <w:divBdr>
            <w:top w:val="none" w:sz="0" w:space="0" w:color="auto"/>
            <w:left w:val="none" w:sz="0" w:space="0" w:color="auto"/>
            <w:bottom w:val="none" w:sz="0" w:space="0" w:color="auto"/>
            <w:right w:val="none" w:sz="0" w:space="0" w:color="auto"/>
          </w:divBdr>
          <w:divsChild>
            <w:div w:id="1162937260">
              <w:marLeft w:val="0"/>
              <w:marRight w:val="0"/>
              <w:marTop w:val="0"/>
              <w:marBottom w:val="0"/>
              <w:divBdr>
                <w:top w:val="none" w:sz="0" w:space="0" w:color="auto"/>
                <w:left w:val="none" w:sz="0" w:space="0" w:color="auto"/>
                <w:bottom w:val="none" w:sz="0" w:space="0" w:color="auto"/>
                <w:right w:val="none" w:sz="0" w:space="0" w:color="auto"/>
              </w:divBdr>
              <w:divsChild>
                <w:div w:id="326715138">
                  <w:marLeft w:val="0"/>
                  <w:marRight w:val="0"/>
                  <w:marTop w:val="0"/>
                  <w:marBottom w:val="0"/>
                  <w:divBdr>
                    <w:top w:val="none" w:sz="0" w:space="0" w:color="auto"/>
                    <w:left w:val="none" w:sz="0" w:space="0" w:color="auto"/>
                    <w:bottom w:val="none" w:sz="0" w:space="0" w:color="auto"/>
                    <w:right w:val="none" w:sz="0" w:space="0" w:color="auto"/>
                  </w:divBdr>
                  <w:divsChild>
                    <w:div w:id="295726365">
                      <w:marLeft w:val="0"/>
                      <w:marRight w:val="0"/>
                      <w:marTop w:val="0"/>
                      <w:marBottom w:val="0"/>
                      <w:divBdr>
                        <w:top w:val="none" w:sz="0" w:space="0" w:color="auto"/>
                        <w:left w:val="none" w:sz="0" w:space="0" w:color="auto"/>
                        <w:bottom w:val="none" w:sz="0" w:space="0" w:color="auto"/>
                        <w:right w:val="none" w:sz="0" w:space="0" w:color="auto"/>
                      </w:divBdr>
                      <w:divsChild>
                        <w:div w:id="86252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5471986">
          <w:marLeft w:val="0"/>
          <w:marRight w:val="0"/>
          <w:marTop w:val="0"/>
          <w:marBottom w:val="0"/>
          <w:divBdr>
            <w:top w:val="none" w:sz="0" w:space="0" w:color="auto"/>
            <w:left w:val="none" w:sz="0" w:space="0" w:color="auto"/>
            <w:bottom w:val="none" w:sz="0" w:space="0" w:color="auto"/>
            <w:right w:val="none" w:sz="0" w:space="0" w:color="auto"/>
          </w:divBdr>
          <w:divsChild>
            <w:div w:id="1501462276">
              <w:marLeft w:val="0"/>
              <w:marRight w:val="0"/>
              <w:marTop w:val="0"/>
              <w:marBottom w:val="0"/>
              <w:divBdr>
                <w:top w:val="none" w:sz="0" w:space="0" w:color="auto"/>
                <w:left w:val="none" w:sz="0" w:space="0" w:color="auto"/>
                <w:bottom w:val="none" w:sz="0" w:space="0" w:color="auto"/>
                <w:right w:val="none" w:sz="0" w:space="0" w:color="auto"/>
              </w:divBdr>
            </w:div>
          </w:divsChild>
        </w:div>
        <w:div w:id="1940485936">
          <w:marLeft w:val="0"/>
          <w:marRight w:val="0"/>
          <w:marTop w:val="0"/>
          <w:marBottom w:val="0"/>
          <w:divBdr>
            <w:top w:val="none" w:sz="0" w:space="0" w:color="auto"/>
            <w:left w:val="none" w:sz="0" w:space="0" w:color="auto"/>
            <w:bottom w:val="none" w:sz="0" w:space="0" w:color="auto"/>
            <w:right w:val="none" w:sz="0" w:space="0" w:color="auto"/>
          </w:divBdr>
          <w:divsChild>
            <w:div w:id="1581213649">
              <w:marLeft w:val="0"/>
              <w:marRight w:val="0"/>
              <w:marTop w:val="0"/>
              <w:marBottom w:val="0"/>
              <w:divBdr>
                <w:top w:val="none" w:sz="0" w:space="0" w:color="auto"/>
                <w:left w:val="none" w:sz="0" w:space="0" w:color="auto"/>
                <w:bottom w:val="none" w:sz="0" w:space="0" w:color="auto"/>
                <w:right w:val="none" w:sz="0" w:space="0" w:color="auto"/>
              </w:divBdr>
              <w:divsChild>
                <w:div w:id="180125277">
                  <w:marLeft w:val="0"/>
                  <w:marRight w:val="0"/>
                  <w:marTop w:val="0"/>
                  <w:marBottom w:val="0"/>
                  <w:divBdr>
                    <w:top w:val="none" w:sz="0" w:space="0" w:color="auto"/>
                    <w:left w:val="none" w:sz="0" w:space="0" w:color="auto"/>
                    <w:bottom w:val="none" w:sz="0" w:space="0" w:color="auto"/>
                    <w:right w:val="none" w:sz="0" w:space="0" w:color="auto"/>
                  </w:divBdr>
                  <w:divsChild>
                    <w:div w:id="9490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5152402">
          <w:marLeft w:val="0"/>
          <w:marRight w:val="0"/>
          <w:marTop w:val="0"/>
          <w:marBottom w:val="0"/>
          <w:divBdr>
            <w:top w:val="none" w:sz="0" w:space="0" w:color="auto"/>
            <w:left w:val="none" w:sz="0" w:space="0" w:color="auto"/>
            <w:bottom w:val="none" w:sz="0" w:space="0" w:color="auto"/>
            <w:right w:val="none" w:sz="0" w:space="0" w:color="auto"/>
          </w:divBdr>
          <w:divsChild>
            <w:div w:id="222953981">
              <w:marLeft w:val="0"/>
              <w:marRight w:val="0"/>
              <w:marTop w:val="0"/>
              <w:marBottom w:val="0"/>
              <w:divBdr>
                <w:top w:val="none" w:sz="0" w:space="0" w:color="auto"/>
                <w:left w:val="none" w:sz="0" w:space="0" w:color="auto"/>
                <w:bottom w:val="none" w:sz="0" w:space="0" w:color="auto"/>
                <w:right w:val="none" w:sz="0" w:space="0" w:color="auto"/>
              </w:divBdr>
            </w:div>
          </w:divsChild>
        </w:div>
        <w:div w:id="297422729">
          <w:marLeft w:val="0"/>
          <w:marRight w:val="0"/>
          <w:marTop w:val="0"/>
          <w:marBottom w:val="0"/>
          <w:divBdr>
            <w:top w:val="none" w:sz="0" w:space="0" w:color="auto"/>
            <w:left w:val="none" w:sz="0" w:space="0" w:color="auto"/>
            <w:bottom w:val="none" w:sz="0" w:space="0" w:color="auto"/>
            <w:right w:val="none" w:sz="0" w:space="0" w:color="auto"/>
          </w:divBdr>
          <w:divsChild>
            <w:div w:id="899024740">
              <w:marLeft w:val="0"/>
              <w:marRight w:val="0"/>
              <w:marTop w:val="0"/>
              <w:marBottom w:val="0"/>
              <w:divBdr>
                <w:top w:val="none" w:sz="0" w:space="0" w:color="auto"/>
                <w:left w:val="none" w:sz="0" w:space="0" w:color="auto"/>
                <w:bottom w:val="none" w:sz="0" w:space="0" w:color="auto"/>
                <w:right w:val="none" w:sz="0" w:space="0" w:color="auto"/>
              </w:divBdr>
              <w:divsChild>
                <w:div w:id="556667907">
                  <w:marLeft w:val="0"/>
                  <w:marRight w:val="0"/>
                  <w:marTop w:val="0"/>
                  <w:marBottom w:val="0"/>
                  <w:divBdr>
                    <w:top w:val="none" w:sz="0" w:space="0" w:color="auto"/>
                    <w:left w:val="none" w:sz="0" w:space="0" w:color="auto"/>
                    <w:bottom w:val="none" w:sz="0" w:space="0" w:color="auto"/>
                    <w:right w:val="none" w:sz="0" w:space="0" w:color="auto"/>
                  </w:divBdr>
                  <w:divsChild>
                    <w:div w:id="1484158278">
                      <w:marLeft w:val="0"/>
                      <w:marRight w:val="0"/>
                      <w:marTop w:val="0"/>
                      <w:marBottom w:val="0"/>
                      <w:divBdr>
                        <w:top w:val="none" w:sz="0" w:space="0" w:color="auto"/>
                        <w:left w:val="none" w:sz="0" w:space="0" w:color="auto"/>
                        <w:bottom w:val="none" w:sz="0" w:space="0" w:color="auto"/>
                        <w:right w:val="none" w:sz="0" w:space="0" w:color="auto"/>
                      </w:divBdr>
                      <w:divsChild>
                        <w:div w:id="1377973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8321014">
          <w:marLeft w:val="375"/>
          <w:marRight w:val="0"/>
          <w:marTop w:val="30"/>
          <w:marBottom w:val="0"/>
          <w:divBdr>
            <w:top w:val="none" w:sz="0" w:space="0" w:color="auto"/>
            <w:left w:val="none" w:sz="0" w:space="0" w:color="auto"/>
            <w:bottom w:val="none" w:sz="0" w:space="0" w:color="auto"/>
            <w:right w:val="none" w:sz="0" w:space="0" w:color="auto"/>
          </w:divBdr>
          <w:divsChild>
            <w:div w:id="1832405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elag.org/brasil-lula-los-vericuetos-la-justicia/" TargetMode="External"/><Relationship Id="rId3" Type="http://schemas.openxmlformats.org/officeDocument/2006/relationships/webSettings" Target="webSettings.xml"/><Relationship Id="rId7" Type="http://schemas.openxmlformats.org/officeDocument/2006/relationships/hyperlink" Target="javascrip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javascript:;"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hyperlink" Target="https://www.alainet.org/es/autores/b%C3%A1rbara-ester" TargetMode="Externa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815</Words>
  <Characters>4488</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2018-01-28T21:40:00Z</dcterms:created>
  <dcterms:modified xsi:type="dcterms:W3CDTF">2018-01-28T21:41:00Z</dcterms:modified>
</cp:coreProperties>
</file>