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416" w:rsidRPr="00772416" w:rsidRDefault="00772416" w:rsidP="0077241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32"/>
          <w:szCs w:val="32"/>
          <w:lang w:eastAsia="es-UY"/>
        </w:rPr>
      </w:pPr>
      <w:r w:rsidRPr="00772416">
        <w:rPr>
          <w:rFonts w:ascii="Arial" w:eastAsia="Times New Roman" w:hAnsi="Arial" w:cs="Arial"/>
          <w:b/>
          <w:color w:val="C00000"/>
          <w:sz w:val="32"/>
          <w:szCs w:val="32"/>
          <w:lang w:eastAsia="es-UY"/>
        </w:rPr>
        <w:t>Informe Inversiones para América Latina y el Caribe</w:t>
      </w:r>
    </w:p>
    <w:p w:rsidR="00772416" w:rsidRDefault="00772416" w:rsidP="007724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Compañeras y compañeros: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Los peligros de la agenda de protección de inversiones para América Latina y el Caribe (ALC) han quedado al descubierto en el informe </w:t>
      </w:r>
      <w:r w:rsidRPr="0077241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 xml:space="preserve">ISDS en Números publicado por el </w:t>
      </w:r>
      <w:proofErr w:type="spellStart"/>
      <w:r w:rsidRPr="0077241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Transnational</w:t>
      </w:r>
      <w:proofErr w:type="spellEnd"/>
      <w:r w:rsidRPr="0077241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 xml:space="preserve"> </w:t>
      </w:r>
      <w:proofErr w:type="spellStart"/>
      <w:r w:rsidRPr="00772416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UY"/>
        </w:rPr>
        <w:t>Institute</w:t>
      </w:r>
      <w:proofErr w:type="spellEnd"/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. El informe presenta datos duros que muestran que: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Los países de ALC han sido demandados 234 veces por inversores extranjeros, representando 28,6% de todas las controversias Inversor-Estado conocidas a escala global. </w:t>
      </w: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Argentina, Venezuela, México, el Ecuador, Bolivia y el Perú, en concreto, representan el 77,3% del total de demandas presentadas contra países de ALC.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- Los inversores han ganado en el 70% de los casos presentados contra países </w:t>
      </w: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de ALC.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Los países de ALC ya han sido condenados a pagar a compañías extranjeras US$20.600 millones, una suma que hubiera cubierto diez veces el coste total de reconstruir México después de los terremotos de 2017, o que podría cubrir el presupuesto de salud y educación de Bolivia durante cuatro años completos.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Inversores de los Estados Unidos, Canadá y Europa han interpuesto el 89% del total de demandas.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- El 23% de las demandas están relacionadas con los sectores de la minería, el gas y el petróleo, con muchas por medidas que buscaban proteger el ambiente y los derechos de las comunidades. </w:t>
      </w: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Pueden descargar el </w:t>
      </w:r>
      <w:proofErr w:type="spellStart"/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inforne</w:t>
      </w:r>
      <w:proofErr w:type="spellEnd"/>
      <w:r w:rsidRPr="00772416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en: </w:t>
      </w:r>
      <w:hyperlink r:id="rId4" w:tgtFrame="_blank" w:history="1">
        <w:r w:rsidRPr="0077241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UY"/>
          </w:rPr>
          <w:t>https://www.tni.org/es/publicacion/isds-en-numeros</w:t>
        </w:r>
      </w:hyperlink>
    </w:p>
    <w:p w:rsidR="00772416" w:rsidRPr="00772416" w:rsidRDefault="00772416" w:rsidP="007724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2E2F5B" w:rsidRPr="00772416" w:rsidRDefault="00772416" w:rsidP="00772416">
      <w:pPr>
        <w:jc w:val="both"/>
        <w:rPr>
          <w:rFonts w:ascii="Arial" w:hAnsi="Arial" w:cs="Arial"/>
          <w:sz w:val="24"/>
          <w:szCs w:val="24"/>
        </w:rPr>
      </w:pPr>
      <w:r w:rsidRPr="00772416">
        <w:rPr>
          <w:rFonts w:ascii="Arial" w:hAnsi="Arial" w:cs="Arial"/>
          <w:sz w:val="24"/>
          <w:szCs w:val="24"/>
        </w:rPr>
        <w:t>Un abrazo</w:t>
      </w:r>
    </w:p>
    <w:p w:rsidR="00772416" w:rsidRPr="00772416" w:rsidRDefault="00772416" w:rsidP="00772416">
      <w:pPr>
        <w:jc w:val="both"/>
        <w:rPr>
          <w:rFonts w:ascii="Arial" w:hAnsi="Arial" w:cs="Arial"/>
          <w:sz w:val="24"/>
          <w:szCs w:val="24"/>
        </w:rPr>
      </w:pPr>
    </w:p>
    <w:p w:rsidR="00772416" w:rsidRPr="00772416" w:rsidRDefault="00772416" w:rsidP="00772416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772416">
        <w:rPr>
          <w:rFonts w:ascii="Arial" w:hAnsi="Arial" w:cs="Arial"/>
          <w:b/>
          <w:sz w:val="24"/>
          <w:szCs w:val="24"/>
        </w:rPr>
        <w:t>Manuel Hidalgo</w:t>
      </w:r>
      <w:bookmarkEnd w:id="0"/>
    </w:p>
    <w:sectPr w:rsidR="00772416" w:rsidRPr="007724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416"/>
    <w:rsid w:val="002E2F5B"/>
    <w:rsid w:val="0077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080C"/>
  <w15:chartTrackingRefBased/>
  <w15:docId w15:val="{C51C9139-A454-4602-9538-3580A7AF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3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2132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5510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22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6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17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36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388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087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11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3967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4002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3614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2514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327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717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5001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6420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63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370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955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4741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6365622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924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DDDDDD"/>
                                                        <w:left w:val="single" w:sz="6" w:space="0" w:color="DDDDDD"/>
                                                        <w:bottom w:val="single" w:sz="6" w:space="0" w:color="DDDDDD"/>
                                                        <w:right w:val="single" w:sz="6" w:space="0" w:color="DDDDDD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78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6538">
                  <w:marLeft w:val="0"/>
                  <w:marRight w:val="75"/>
                  <w:marTop w:val="0"/>
                  <w:marBottom w:val="0"/>
                  <w:divBdr>
                    <w:top w:val="single" w:sz="6" w:space="6" w:color="D8D8D8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7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39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ni.org/es/publicacion/isds-en-numer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2017-12-18T13:11:00Z</dcterms:created>
  <dcterms:modified xsi:type="dcterms:W3CDTF">2017-12-18T13:14:00Z</dcterms:modified>
</cp:coreProperties>
</file>