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186" w:rsidRPr="006341F7" w:rsidRDefault="00361186" w:rsidP="006341F7">
      <w:pPr>
        <w:pStyle w:val="Ttulo"/>
        <w:rPr>
          <w:b/>
          <w:color w:val="00B050"/>
        </w:rPr>
      </w:pPr>
      <w:r w:rsidRPr="006341F7">
        <w:rPr>
          <w:b/>
          <w:color w:val="00B050"/>
        </w:rPr>
        <w:t>46 INFO-DOC-UTOPÍAS   No. 46</w:t>
      </w:r>
    </w:p>
    <w:p w:rsidR="00361186" w:rsidRPr="00361186" w:rsidRDefault="00361186" w:rsidP="00361186">
      <w:pPr>
        <w:rPr>
          <w:rFonts w:ascii="Times New Roman" w:hAnsi="Times New Roman" w:cs="Times New Roman"/>
          <w:sz w:val="28"/>
          <w:szCs w:val="28"/>
        </w:rPr>
      </w:pPr>
    </w:p>
    <w:p w:rsidR="00361186" w:rsidRPr="00361186" w:rsidRDefault="00361186" w:rsidP="00361186">
      <w:pPr>
        <w:rPr>
          <w:rFonts w:ascii="Times New Roman" w:hAnsi="Times New Roman" w:cs="Times New Roman"/>
          <w:sz w:val="28"/>
          <w:szCs w:val="28"/>
        </w:rPr>
      </w:pPr>
      <w:r w:rsidRPr="00361186">
        <w:rPr>
          <w:rFonts w:ascii="Times New Roman" w:hAnsi="Times New Roman" w:cs="Times New Roman"/>
          <w:sz w:val="28"/>
          <w:szCs w:val="28"/>
        </w:rPr>
        <w:t>Bogotá, martes 24 de octubre de 2017</w:t>
      </w:r>
    </w:p>
    <w:p w:rsidR="00361186" w:rsidRPr="00361186" w:rsidRDefault="00361186" w:rsidP="00361186">
      <w:pPr>
        <w:rPr>
          <w:rFonts w:ascii="Times New Roman" w:hAnsi="Times New Roman" w:cs="Times New Roman"/>
          <w:sz w:val="28"/>
          <w:szCs w:val="28"/>
        </w:rPr>
      </w:pPr>
      <w:r w:rsidRPr="00361186">
        <w:rPr>
          <w:rFonts w:ascii="Times New Roman" w:hAnsi="Times New Roman" w:cs="Times New Roman"/>
          <w:sz w:val="28"/>
          <w:szCs w:val="28"/>
        </w:rPr>
        <w:t>Amigas y amigos de las UTOPÍAS DE JESÚS DE NAZARET:</w:t>
      </w:r>
    </w:p>
    <w:p w:rsidR="00361186" w:rsidRPr="00361186" w:rsidRDefault="00361186" w:rsidP="00361186">
      <w:pPr>
        <w:rPr>
          <w:rFonts w:ascii="Times New Roman" w:hAnsi="Times New Roman" w:cs="Times New Roman"/>
          <w:sz w:val="28"/>
          <w:szCs w:val="28"/>
        </w:rPr>
      </w:pPr>
      <w:r w:rsidRPr="00361186">
        <w:rPr>
          <w:rFonts w:ascii="Times New Roman" w:hAnsi="Times New Roman" w:cs="Times New Roman"/>
          <w:sz w:val="28"/>
          <w:szCs w:val="28"/>
        </w:rPr>
        <w:t>Esta edición les lleva los siguientes temas y textos:</w:t>
      </w:r>
    </w:p>
    <w:p w:rsidR="00361186" w:rsidRDefault="00361186" w:rsidP="00361186">
      <w:pPr>
        <w:pStyle w:val="Prrafodelista"/>
        <w:numPr>
          <w:ilvl w:val="0"/>
          <w:numId w:val="2"/>
        </w:numPr>
        <w:rPr>
          <w:rFonts w:ascii="Times New Roman" w:hAnsi="Times New Roman" w:cs="Times New Roman"/>
          <w:sz w:val="28"/>
          <w:szCs w:val="28"/>
        </w:rPr>
      </w:pPr>
      <w:r w:rsidRPr="00361186">
        <w:rPr>
          <w:rFonts w:ascii="Times New Roman" w:hAnsi="Times New Roman" w:cs="Times New Roman"/>
          <w:sz w:val="28"/>
          <w:szCs w:val="28"/>
        </w:rPr>
        <w:t>Carta de presentación</w:t>
      </w:r>
    </w:p>
    <w:p w:rsidR="00743220" w:rsidRPr="00743220" w:rsidRDefault="00743220" w:rsidP="00743220">
      <w:pPr>
        <w:rPr>
          <w:rFonts w:ascii="Times New Roman" w:hAnsi="Times New Roman" w:cs="Times New Roman"/>
          <w:b/>
          <w:color w:val="C00000"/>
          <w:sz w:val="28"/>
          <w:szCs w:val="28"/>
        </w:rPr>
      </w:pPr>
      <w:r w:rsidRPr="00743220">
        <w:rPr>
          <w:rFonts w:ascii="Times New Roman" w:hAnsi="Times New Roman" w:cs="Times New Roman"/>
          <w:b/>
          <w:color w:val="C00000"/>
          <w:sz w:val="28"/>
          <w:szCs w:val="28"/>
        </w:rPr>
        <w:t>Coyuntura</w:t>
      </w:r>
    </w:p>
    <w:p w:rsidR="00743220" w:rsidRDefault="007A74F3" w:rsidP="00743220">
      <w:pPr>
        <w:pStyle w:val="Prrafodelista"/>
        <w:numPr>
          <w:ilvl w:val="0"/>
          <w:numId w:val="2"/>
        </w:numPr>
        <w:rPr>
          <w:rFonts w:ascii="Times New Roman" w:hAnsi="Times New Roman" w:cs="Times New Roman"/>
          <w:sz w:val="28"/>
          <w:szCs w:val="28"/>
        </w:rPr>
      </w:pPr>
      <w:r w:rsidRPr="005D0472">
        <w:rPr>
          <w:rFonts w:ascii="Times New Roman" w:hAnsi="Times New Roman" w:cs="Times New Roman"/>
          <w:b/>
          <w:sz w:val="28"/>
          <w:szCs w:val="28"/>
        </w:rPr>
        <w:t>El hambre crece en América Latina</w:t>
      </w:r>
      <w:r>
        <w:rPr>
          <w:rFonts w:ascii="Times New Roman" w:hAnsi="Times New Roman" w:cs="Times New Roman"/>
          <w:sz w:val="28"/>
          <w:szCs w:val="28"/>
        </w:rPr>
        <w:t>: dos responsables-irresponsables: la corrupción y el neoliberalismo</w:t>
      </w:r>
    </w:p>
    <w:p w:rsidR="007546D0" w:rsidRPr="00743220" w:rsidRDefault="007546D0" w:rsidP="007546D0">
      <w:pPr>
        <w:pStyle w:val="Prrafodelista"/>
        <w:rPr>
          <w:rFonts w:ascii="Times New Roman" w:hAnsi="Times New Roman" w:cs="Times New Roman"/>
          <w:sz w:val="28"/>
          <w:szCs w:val="28"/>
        </w:rPr>
      </w:pPr>
    </w:p>
    <w:p w:rsidR="00743220" w:rsidRDefault="00743220" w:rsidP="00743220">
      <w:pPr>
        <w:pStyle w:val="Prrafodelista"/>
        <w:numPr>
          <w:ilvl w:val="0"/>
          <w:numId w:val="2"/>
        </w:numPr>
        <w:shd w:val="clear" w:color="auto" w:fill="F4F4F4"/>
        <w:spacing w:after="0" w:line="300" w:lineRule="atLeast"/>
        <w:rPr>
          <w:rFonts w:ascii="Times New Roman" w:eastAsia="Times New Roman" w:hAnsi="Times New Roman" w:cs="Times New Roman"/>
          <w:b/>
          <w:bCs/>
          <w:sz w:val="28"/>
          <w:szCs w:val="28"/>
          <w:lang w:eastAsia="es-CO"/>
        </w:rPr>
      </w:pPr>
      <w:r w:rsidRPr="00743220">
        <w:rPr>
          <w:rFonts w:ascii="Times New Roman" w:eastAsia="Times New Roman" w:hAnsi="Times New Roman" w:cs="Times New Roman"/>
          <w:b/>
          <w:bCs/>
          <w:sz w:val="28"/>
          <w:szCs w:val="28"/>
          <w:lang w:eastAsia="es-CO"/>
        </w:rPr>
        <w:t>Denuncian que seis empresas controlan el mercado de semillas</w:t>
      </w:r>
      <w:r>
        <w:rPr>
          <w:rFonts w:ascii="Times New Roman" w:eastAsia="Times New Roman" w:hAnsi="Times New Roman" w:cs="Times New Roman"/>
          <w:b/>
          <w:bCs/>
          <w:sz w:val="28"/>
          <w:szCs w:val="28"/>
          <w:lang w:eastAsia="es-CO"/>
        </w:rPr>
        <w:t xml:space="preserve">. </w:t>
      </w:r>
      <w:r w:rsidRPr="00743220">
        <w:rPr>
          <w:rFonts w:ascii="Times New Roman" w:eastAsia="Times New Roman" w:hAnsi="Times New Roman" w:cs="Times New Roman"/>
          <w:b/>
          <w:bCs/>
          <w:sz w:val="28"/>
          <w:szCs w:val="28"/>
          <w:lang w:eastAsia="es-CO"/>
        </w:rPr>
        <w:t>Una reforma agraria al revés</w:t>
      </w:r>
    </w:p>
    <w:p w:rsidR="0070071A" w:rsidRPr="0070071A" w:rsidRDefault="0070071A" w:rsidP="0070071A">
      <w:pPr>
        <w:shd w:val="clear" w:color="auto" w:fill="F4F4F4"/>
        <w:spacing w:after="0" w:line="300" w:lineRule="atLeast"/>
        <w:rPr>
          <w:rFonts w:ascii="Times New Roman" w:eastAsia="Times New Roman" w:hAnsi="Times New Roman" w:cs="Times New Roman"/>
          <w:b/>
          <w:bCs/>
          <w:sz w:val="28"/>
          <w:szCs w:val="28"/>
          <w:lang w:eastAsia="es-CO"/>
        </w:rPr>
      </w:pPr>
    </w:p>
    <w:p w:rsidR="0070071A" w:rsidRPr="0070071A" w:rsidRDefault="0070071A" w:rsidP="0070071A">
      <w:pPr>
        <w:pStyle w:val="Prrafodelista"/>
        <w:numPr>
          <w:ilvl w:val="0"/>
          <w:numId w:val="2"/>
        </w:numPr>
        <w:shd w:val="clear" w:color="auto" w:fill="FFFFFF"/>
        <w:spacing w:after="0" w:line="312" w:lineRule="atLeast"/>
        <w:rPr>
          <w:rFonts w:ascii="Times New Roman" w:eastAsia="Times New Roman" w:hAnsi="Times New Roman" w:cs="Times New Roman"/>
          <w:b/>
          <w:caps/>
          <w:color w:val="385623" w:themeColor="accent6" w:themeShade="80"/>
          <w:sz w:val="24"/>
          <w:szCs w:val="24"/>
          <w:lang w:eastAsia="es-CO"/>
        </w:rPr>
      </w:pPr>
      <w:r w:rsidRPr="0070071A">
        <w:rPr>
          <w:rFonts w:ascii="Times New Roman" w:eastAsia="Times New Roman" w:hAnsi="Times New Roman" w:cs="Times New Roman"/>
          <w:b/>
          <w:caps/>
          <w:sz w:val="20"/>
          <w:szCs w:val="20"/>
          <w:lang w:eastAsia="es-CO"/>
        </w:rPr>
        <w:t>TENDRÁ LUGAR EN ROMA EN OCTUBRE DEL 2019</w:t>
      </w:r>
      <w:r>
        <w:rPr>
          <w:rFonts w:ascii="Times New Roman" w:eastAsia="Times New Roman" w:hAnsi="Times New Roman" w:cs="Times New Roman"/>
          <w:b/>
          <w:caps/>
          <w:sz w:val="24"/>
          <w:szCs w:val="24"/>
          <w:lang w:eastAsia="es-CO"/>
        </w:rPr>
        <w:t xml:space="preserve">. </w:t>
      </w:r>
      <w:r w:rsidRPr="0070071A">
        <w:rPr>
          <w:rFonts w:ascii="Times New Roman" w:eastAsia="Times New Roman" w:hAnsi="Times New Roman" w:cs="Times New Roman"/>
          <w:b/>
          <w:color w:val="385623" w:themeColor="accent6" w:themeShade="80"/>
          <w:sz w:val="28"/>
          <w:szCs w:val="28"/>
          <w:lang w:eastAsia="es-CO"/>
        </w:rPr>
        <w:t>El Papa convoca un sínodo de los obispos de la región amazónica</w:t>
      </w:r>
    </w:p>
    <w:p w:rsidR="0070071A" w:rsidRDefault="0070071A" w:rsidP="0070071A">
      <w:pPr>
        <w:shd w:val="clear" w:color="auto" w:fill="F4F4F4"/>
        <w:spacing w:after="0" w:line="30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Pr="0070071A">
        <w:rPr>
          <w:rFonts w:ascii="Times New Roman" w:eastAsia="Times New Roman" w:hAnsi="Times New Roman" w:cs="Times New Roman"/>
          <w:b/>
          <w:sz w:val="28"/>
          <w:szCs w:val="28"/>
          <w:lang w:eastAsia="es-CO"/>
        </w:rPr>
        <w:t>El papa Francisco anunció a</w:t>
      </w:r>
      <w:r>
        <w:rPr>
          <w:rFonts w:ascii="Times New Roman" w:eastAsia="Times New Roman" w:hAnsi="Times New Roman" w:cs="Times New Roman"/>
          <w:b/>
          <w:sz w:val="28"/>
          <w:szCs w:val="28"/>
          <w:lang w:eastAsia="es-CO"/>
        </w:rPr>
        <w:t>yer su decisión de convocar una</w:t>
      </w:r>
    </w:p>
    <w:p w:rsidR="0070071A" w:rsidRDefault="0070071A" w:rsidP="0070071A">
      <w:pPr>
        <w:shd w:val="clear" w:color="auto" w:fill="F4F4F4"/>
        <w:spacing w:after="0" w:line="30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Pr="0070071A">
        <w:rPr>
          <w:rFonts w:ascii="Times New Roman" w:eastAsia="Times New Roman" w:hAnsi="Times New Roman" w:cs="Times New Roman"/>
          <w:b/>
          <w:sz w:val="28"/>
          <w:szCs w:val="28"/>
          <w:lang w:eastAsia="es-CO"/>
        </w:rPr>
        <w:t>Asamblea especial del sínodo de los obispos para la región pan</w:t>
      </w:r>
    </w:p>
    <w:p w:rsidR="0070071A" w:rsidRDefault="0070071A" w:rsidP="0070071A">
      <w:pPr>
        <w:shd w:val="clear" w:color="auto" w:fill="F4F4F4"/>
        <w:spacing w:after="0" w:line="300" w:lineRule="atLeast"/>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         </w:t>
      </w:r>
      <w:r w:rsidRPr="0070071A">
        <w:rPr>
          <w:rFonts w:ascii="Times New Roman" w:eastAsia="Times New Roman" w:hAnsi="Times New Roman" w:cs="Times New Roman"/>
          <w:b/>
          <w:sz w:val="28"/>
          <w:szCs w:val="28"/>
          <w:lang w:eastAsia="es-CO"/>
        </w:rPr>
        <w:t xml:space="preserve"> amazónica, que tendrá lugar en Roma en octubre de 2019</w:t>
      </w:r>
    </w:p>
    <w:p w:rsidR="007546D0" w:rsidRDefault="007546D0" w:rsidP="0070071A">
      <w:pPr>
        <w:shd w:val="clear" w:color="auto" w:fill="F4F4F4"/>
        <w:spacing w:after="0" w:line="300" w:lineRule="atLeast"/>
        <w:rPr>
          <w:rFonts w:ascii="Times New Roman" w:eastAsia="Times New Roman" w:hAnsi="Times New Roman" w:cs="Times New Roman"/>
          <w:b/>
          <w:sz w:val="28"/>
          <w:szCs w:val="28"/>
          <w:lang w:eastAsia="es-CO"/>
        </w:rPr>
      </w:pPr>
    </w:p>
    <w:p w:rsidR="007546D0" w:rsidRDefault="007546D0" w:rsidP="0070071A">
      <w:pPr>
        <w:shd w:val="clear" w:color="auto" w:fill="F4F4F4"/>
        <w:spacing w:after="0" w:line="300" w:lineRule="atLeast"/>
        <w:rPr>
          <w:rFonts w:ascii="Times New Roman" w:eastAsia="Times New Roman" w:hAnsi="Times New Roman" w:cs="Times New Roman"/>
          <w:b/>
          <w:sz w:val="28"/>
          <w:szCs w:val="28"/>
          <w:lang w:eastAsia="es-CO"/>
        </w:rPr>
      </w:pPr>
    </w:p>
    <w:p w:rsidR="007546D0" w:rsidRPr="00085FAE" w:rsidRDefault="007546D0" w:rsidP="007546D0">
      <w:pPr>
        <w:pStyle w:val="Prrafodelista"/>
        <w:numPr>
          <w:ilvl w:val="0"/>
          <w:numId w:val="2"/>
        </w:numPr>
        <w:spacing w:after="0" w:line="240" w:lineRule="auto"/>
        <w:rPr>
          <w:rFonts w:ascii="Times New Roman" w:eastAsia="Times New Roman" w:hAnsi="Times New Roman" w:cs="Times New Roman"/>
          <w:caps/>
          <w:sz w:val="28"/>
          <w:szCs w:val="28"/>
          <w:lang w:eastAsia="es-CO"/>
        </w:rPr>
      </w:pPr>
      <w:r w:rsidRPr="005D0472">
        <w:rPr>
          <w:rFonts w:ascii="Times New Roman" w:eastAsia="Times New Roman" w:hAnsi="Times New Roman" w:cs="Times New Roman"/>
          <w:caps/>
          <w:sz w:val="24"/>
          <w:szCs w:val="24"/>
          <w:lang w:eastAsia="es-CO"/>
        </w:rPr>
        <w:t>ESTÁ ATRAVESANDO "UN TIEMPO DE CAMBIO PROFUNDO, DOLOROSO Y PERMANENTE</w:t>
      </w:r>
      <w:r w:rsidRPr="005D0472">
        <w:rPr>
          <w:rFonts w:ascii="Times New Roman" w:eastAsia="Times New Roman" w:hAnsi="Times New Roman" w:cs="Times New Roman"/>
          <w:b/>
          <w:caps/>
          <w:color w:val="C00000"/>
          <w:sz w:val="24"/>
          <w:szCs w:val="24"/>
          <w:lang w:eastAsia="es-CO"/>
        </w:rPr>
        <w:t>".</w:t>
      </w:r>
      <w:r w:rsidRPr="005D0472">
        <w:rPr>
          <w:rFonts w:ascii="Times New Roman" w:eastAsia="Times New Roman" w:hAnsi="Times New Roman" w:cs="Times New Roman"/>
          <w:b/>
          <w:caps/>
          <w:color w:val="C00000"/>
          <w:sz w:val="28"/>
          <w:szCs w:val="28"/>
          <w:lang w:eastAsia="es-CO"/>
        </w:rPr>
        <w:t xml:space="preserve"> </w:t>
      </w:r>
      <w:r w:rsidRPr="005D0472">
        <w:rPr>
          <w:rFonts w:ascii="Times New Roman" w:eastAsia="Times New Roman" w:hAnsi="Times New Roman" w:cs="Times New Roman"/>
          <w:b/>
          <w:color w:val="C00000"/>
          <w:kern w:val="36"/>
          <w:sz w:val="28"/>
          <w:szCs w:val="28"/>
          <w:lang w:eastAsia="es-CO"/>
        </w:rPr>
        <w:t>La Iglesia australiana</w:t>
      </w:r>
      <w:r w:rsidRPr="005D0472">
        <w:rPr>
          <w:rFonts w:ascii="Times New Roman" w:eastAsia="Times New Roman" w:hAnsi="Times New Roman" w:cs="Times New Roman"/>
          <w:color w:val="C00000"/>
          <w:kern w:val="36"/>
          <w:sz w:val="28"/>
          <w:szCs w:val="28"/>
          <w:lang w:eastAsia="es-CO"/>
        </w:rPr>
        <w:t xml:space="preserve"> </w:t>
      </w:r>
      <w:r w:rsidRPr="007546D0">
        <w:rPr>
          <w:rFonts w:ascii="Times New Roman" w:eastAsia="Times New Roman" w:hAnsi="Times New Roman" w:cs="Times New Roman"/>
          <w:kern w:val="36"/>
          <w:sz w:val="28"/>
          <w:szCs w:val="28"/>
          <w:lang w:eastAsia="es-CO"/>
        </w:rPr>
        <w:t>reconoce que está pasando por "la peor crisis de su historia"</w:t>
      </w:r>
      <w:r>
        <w:rPr>
          <w:rFonts w:ascii="Times New Roman" w:eastAsia="Times New Roman" w:hAnsi="Times New Roman" w:cs="Times New Roman"/>
          <w:kern w:val="36"/>
          <w:sz w:val="28"/>
          <w:szCs w:val="28"/>
          <w:lang w:eastAsia="es-CO"/>
        </w:rPr>
        <w:t xml:space="preserve">. </w:t>
      </w:r>
      <w:r w:rsidRPr="007546D0">
        <w:rPr>
          <w:rFonts w:ascii="Times New Roman" w:eastAsia="Times New Roman" w:hAnsi="Times New Roman" w:cs="Times New Roman"/>
          <w:sz w:val="28"/>
          <w:szCs w:val="28"/>
          <w:lang w:eastAsia="es-CO"/>
        </w:rPr>
        <w:t>Los abusos y la desconfianza de los laicos "le han roto el corazón", lamenta el arzobispo de Brisbane</w:t>
      </w:r>
    </w:p>
    <w:p w:rsidR="00085FAE" w:rsidRDefault="00085FAE" w:rsidP="00085FAE">
      <w:pPr>
        <w:spacing w:after="0" w:line="240" w:lineRule="auto"/>
        <w:rPr>
          <w:rFonts w:ascii="Times New Roman" w:eastAsia="Times New Roman" w:hAnsi="Times New Roman" w:cs="Times New Roman"/>
          <w:caps/>
          <w:sz w:val="28"/>
          <w:szCs w:val="28"/>
          <w:lang w:eastAsia="es-CO"/>
        </w:rPr>
      </w:pPr>
    </w:p>
    <w:p w:rsidR="00085FAE" w:rsidRPr="00085FAE" w:rsidRDefault="00085FAE" w:rsidP="00085FAE">
      <w:pPr>
        <w:spacing w:after="0" w:line="240" w:lineRule="auto"/>
        <w:rPr>
          <w:rFonts w:ascii="Times New Roman" w:eastAsia="Times New Roman" w:hAnsi="Times New Roman" w:cs="Times New Roman"/>
          <w:caps/>
          <w:color w:val="002060"/>
          <w:sz w:val="28"/>
          <w:szCs w:val="28"/>
          <w:lang w:eastAsia="es-CO"/>
        </w:rPr>
      </w:pPr>
    </w:p>
    <w:p w:rsidR="00085FAE" w:rsidRDefault="00085FAE" w:rsidP="00085FAE">
      <w:pPr>
        <w:pStyle w:val="Prrafodelista"/>
        <w:rPr>
          <w:rFonts w:ascii="Times New Roman" w:hAnsi="Times New Roman" w:cs="Times New Roman"/>
          <w:b/>
          <w:color w:val="002060"/>
          <w:sz w:val="28"/>
          <w:szCs w:val="28"/>
        </w:rPr>
      </w:pPr>
      <w:r w:rsidRPr="00085FAE">
        <w:rPr>
          <w:rFonts w:ascii="Times New Roman" w:hAnsi="Times New Roman" w:cs="Times New Roman"/>
          <w:b/>
          <w:color w:val="002060"/>
          <w:sz w:val="28"/>
          <w:szCs w:val="28"/>
        </w:rPr>
        <w:t>500 AÑOS DE REFORMA: Varios artículos de la última edición de la Revista VOICES</w:t>
      </w:r>
      <w:r>
        <w:rPr>
          <w:rFonts w:ascii="Times New Roman" w:hAnsi="Times New Roman" w:cs="Times New Roman"/>
          <w:b/>
          <w:color w:val="002060"/>
          <w:sz w:val="28"/>
          <w:szCs w:val="28"/>
        </w:rPr>
        <w:t>, primer semestre del año 23017</w:t>
      </w:r>
    </w:p>
    <w:p w:rsidR="00085FAE" w:rsidRPr="00085FAE" w:rsidRDefault="00085FAE" w:rsidP="00085FAE">
      <w:pPr>
        <w:pStyle w:val="Prrafodelista"/>
        <w:rPr>
          <w:rFonts w:ascii="Times New Roman" w:hAnsi="Times New Roman" w:cs="Times New Roman"/>
          <w:b/>
          <w:color w:val="002060"/>
          <w:sz w:val="28"/>
          <w:szCs w:val="28"/>
        </w:rPr>
      </w:pPr>
    </w:p>
    <w:p w:rsidR="00085FAE" w:rsidRDefault="00085FAE" w:rsidP="00085FAE">
      <w:pPr>
        <w:pStyle w:val="Prrafodelista"/>
        <w:numPr>
          <w:ilvl w:val="0"/>
          <w:numId w:val="2"/>
        </w:numPr>
        <w:rPr>
          <w:rFonts w:ascii="Times New Roman" w:hAnsi="Times New Roman" w:cs="Times New Roman"/>
          <w:b/>
          <w:sz w:val="28"/>
          <w:szCs w:val="28"/>
        </w:rPr>
      </w:pPr>
      <w:r w:rsidRPr="00085FAE">
        <w:rPr>
          <w:rFonts w:ascii="Times New Roman" w:hAnsi="Times New Roman" w:cs="Times New Roman"/>
          <w:b/>
          <w:sz w:val="28"/>
          <w:szCs w:val="28"/>
        </w:rPr>
        <w:t>Memoria y Actualización</w:t>
      </w:r>
    </w:p>
    <w:p w:rsidR="006A04C0" w:rsidRDefault="006A04C0" w:rsidP="006A04C0">
      <w:pPr>
        <w:rPr>
          <w:rFonts w:ascii="Times New Roman" w:hAnsi="Times New Roman" w:cs="Times New Roman"/>
          <w:b/>
          <w:sz w:val="28"/>
          <w:szCs w:val="28"/>
        </w:rPr>
      </w:pPr>
    </w:p>
    <w:p w:rsidR="006A04C0" w:rsidRDefault="006A04C0" w:rsidP="006A04C0">
      <w:pPr>
        <w:pStyle w:val="Prrafodelista"/>
        <w:numPr>
          <w:ilvl w:val="0"/>
          <w:numId w:val="2"/>
        </w:numPr>
        <w:rPr>
          <w:rFonts w:ascii="Times New Roman" w:hAnsi="Times New Roman" w:cs="Times New Roman"/>
          <w:b/>
          <w:sz w:val="28"/>
          <w:szCs w:val="28"/>
        </w:rPr>
      </w:pPr>
      <w:r w:rsidRPr="006A04C0">
        <w:rPr>
          <w:rFonts w:ascii="Times New Roman" w:hAnsi="Times New Roman" w:cs="Times New Roman"/>
          <w:b/>
          <w:sz w:val="28"/>
          <w:szCs w:val="28"/>
        </w:rPr>
        <w:t>500</w:t>
      </w:r>
      <w:r>
        <w:rPr>
          <w:rFonts w:ascii="Times New Roman" w:hAnsi="Times New Roman" w:cs="Times New Roman"/>
          <w:b/>
          <w:sz w:val="28"/>
          <w:szCs w:val="28"/>
        </w:rPr>
        <w:t xml:space="preserve"> Años de una Reforma liberadora. </w:t>
      </w:r>
      <w:r w:rsidRPr="006A04C0">
        <w:rPr>
          <w:rFonts w:ascii="Times New Roman" w:hAnsi="Times New Roman" w:cs="Times New Roman"/>
          <w:b/>
          <w:sz w:val="28"/>
          <w:szCs w:val="28"/>
        </w:rPr>
        <w:t xml:space="preserve">Una mirada a la obra de Lutero desde la experiencia de la vida de la fe latinoamericana </w:t>
      </w:r>
    </w:p>
    <w:p w:rsidR="00891605" w:rsidRPr="00891605" w:rsidRDefault="00891605" w:rsidP="00891605">
      <w:pPr>
        <w:pStyle w:val="Prrafodelista"/>
        <w:rPr>
          <w:rFonts w:cs="Times New Roman"/>
          <w:b/>
          <w:sz w:val="28"/>
          <w:szCs w:val="28"/>
        </w:rPr>
      </w:pPr>
    </w:p>
    <w:p w:rsidR="00891605" w:rsidRPr="00891605" w:rsidRDefault="00891605" w:rsidP="00891605">
      <w:pPr>
        <w:pStyle w:val="Prrafodelista"/>
        <w:numPr>
          <w:ilvl w:val="0"/>
          <w:numId w:val="2"/>
        </w:numPr>
        <w:rPr>
          <w:b/>
          <w:sz w:val="28"/>
          <w:szCs w:val="28"/>
        </w:rPr>
      </w:pPr>
      <w:r w:rsidRPr="00891605">
        <w:rPr>
          <w:b/>
          <w:sz w:val="28"/>
          <w:szCs w:val="28"/>
        </w:rPr>
        <w:t xml:space="preserve">Iglesia Reformada... ¿siempre reformándose? </w:t>
      </w:r>
    </w:p>
    <w:p w:rsidR="00891605" w:rsidRPr="00891605" w:rsidRDefault="00891605" w:rsidP="00891605">
      <w:pPr>
        <w:pStyle w:val="Prrafodelista"/>
        <w:rPr>
          <w:sz w:val="28"/>
          <w:szCs w:val="28"/>
        </w:rPr>
      </w:pPr>
      <w:r w:rsidRPr="00891605">
        <w:rPr>
          <w:b/>
          <w:sz w:val="28"/>
          <w:szCs w:val="28"/>
        </w:rPr>
        <w:t>La recepción de la Reforma en las iglesias evangélicas</w:t>
      </w:r>
      <w:r w:rsidRPr="00891605">
        <w:rPr>
          <w:sz w:val="28"/>
          <w:szCs w:val="28"/>
        </w:rPr>
        <w:t xml:space="preserve"> </w:t>
      </w:r>
    </w:p>
    <w:p w:rsidR="00891605" w:rsidRPr="00755962" w:rsidRDefault="00891605" w:rsidP="00891605">
      <w:pPr>
        <w:pStyle w:val="Prrafodelista"/>
        <w:rPr>
          <w:rFonts w:ascii="Times New Roman" w:hAnsi="Times New Roman" w:cs="Times New Roman"/>
          <w:b/>
          <w:sz w:val="28"/>
          <w:szCs w:val="28"/>
        </w:rPr>
      </w:pPr>
    </w:p>
    <w:p w:rsidR="00144CBB" w:rsidRDefault="00755962" w:rsidP="00144CBB">
      <w:pPr>
        <w:pStyle w:val="Prrafodelista"/>
        <w:numPr>
          <w:ilvl w:val="0"/>
          <w:numId w:val="2"/>
        </w:numPr>
        <w:rPr>
          <w:rFonts w:ascii="Times New Roman" w:hAnsi="Times New Roman" w:cs="Times New Roman"/>
          <w:b/>
          <w:sz w:val="28"/>
          <w:szCs w:val="28"/>
        </w:rPr>
      </w:pPr>
      <w:r w:rsidRPr="00755962">
        <w:rPr>
          <w:rFonts w:ascii="Times New Roman" w:hAnsi="Times New Roman" w:cs="Times New Roman"/>
          <w:b/>
          <w:sz w:val="28"/>
          <w:szCs w:val="28"/>
        </w:rPr>
        <w:t>500</w:t>
      </w:r>
      <w:r>
        <w:rPr>
          <w:rFonts w:ascii="Times New Roman" w:hAnsi="Times New Roman" w:cs="Times New Roman"/>
          <w:b/>
          <w:sz w:val="28"/>
          <w:szCs w:val="28"/>
        </w:rPr>
        <w:t xml:space="preserve"> Años de una Reforma liberadora. </w:t>
      </w:r>
      <w:r w:rsidRPr="00755962">
        <w:rPr>
          <w:rFonts w:ascii="Times New Roman" w:hAnsi="Times New Roman" w:cs="Times New Roman"/>
          <w:b/>
          <w:sz w:val="28"/>
          <w:szCs w:val="28"/>
        </w:rPr>
        <w:t xml:space="preserve">Una mirada a la obra de Lutero desde la experiencia de la vida de la fe latinoamericana </w:t>
      </w:r>
    </w:p>
    <w:p w:rsidR="00144CBB" w:rsidRPr="00144CBB" w:rsidRDefault="00144CBB" w:rsidP="00144CBB">
      <w:pPr>
        <w:pStyle w:val="Prrafodelista"/>
        <w:ind w:left="1069"/>
        <w:rPr>
          <w:rFonts w:ascii="Times New Roman" w:hAnsi="Times New Roman" w:cs="Times New Roman"/>
          <w:b/>
          <w:sz w:val="28"/>
          <w:szCs w:val="28"/>
        </w:rPr>
      </w:pPr>
    </w:p>
    <w:p w:rsidR="00144CBB" w:rsidRPr="00144CBB" w:rsidRDefault="00144CBB" w:rsidP="00144CBB">
      <w:pPr>
        <w:pStyle w:val="Prrafodelista"/>
        <w:numPr>
          <w:ilvl w:val="0"/>
          <w:numId w:val="2"/>
        </w:numPr>
        <w:rPr>
          <w:rFonts w:ascii="Times New Roman" w:hAnsi="Times New Roman" w:cs="Times New Roman"/>
          <w:b/>
          <w:sz w:val="28"/>
          <w:szCs w:val="28"/>
        </w:rPr>
      </w:pPr>
      <w:r>
        <w:rPr>
          <w:rFonts w:ascii="Times New Roman" w:hAnsi="Times New Roman" w:cs="Times New Roman"/>
          <w:b/>
          <w:sz w:val="28"/>
          <w:szCs w:val="28"/>
        </w:rPr>
        <w:t xml:space="preserve"> </w:t>
      </w:r>
      <w:r w:rsidRPr="00144CBB">
        <w:rPr>
          <w:rFonts w:ascii="Times New Roman" w:hAnsi="Times New Roman" w:cs="Times New Roman"/>
          <w:b/>
          <w:sz w:val="28"/>
          <w:szCs w:val="28"/>
        </w:rPr>
        <w:t xml:space="preserve">Otro Papado para el siglo XXI. Reflexiones a partir de la Encíclica Ut unum sint de Juan Pablo II </w:t>
      </w:r>
    </w:p>
    <w:p w:rsidR="00144CBB" w:rsidRPr="00144CBB" w:rsidRDefault="00144CBB" w:rsidP="00144CBB">
      <w:pPr>
        <w:rPr>
          <w:rFonts w:ascii="Times New Roman" w:hAnsi="Times New Roman" w:cs="Times New Roman"/>
          <w:b/>
          <w:sz w:val="28"/>
          <w:szCs w:val="28"/>
        </w:rPr>
      </w:pPr>
    </w:p>
    <w:p w:rsidR="006A04C0" w:rsidRDefault="00144CBB" w:rsidP="006A04C0">
      <w:pPr>
        <w:rPr>
          <w:rFonts w:ascii="Times New Roman" w:hAnsi="Times New Roman" w:cs="Times New Roman"/>
          <w:b/>
          <w:sz w:val="28"/>
          <w:szCs w:val="28"/>
        </w:rPr>
      </w:pPr>
      <w:r>
        <w:rPr>
          <w:rFonts w:ascii="Times New Roman" w:hAnsi="Times New Roman" w:cs="Times New Roman"/>
          <w:b/>
          <w:sz w:val="28"/>
          <w:szCs w:val="28"/>
        </w:rPr>
        <w:t xml:space="preserve">Saludos cordiales, </w:t>
      </w:r>
    </w:p>
    <w:p w:rsidR="00144CBB" w:rsidRPr="006A04C0" w:rsidRDefault="00144CBB" w:rsidP="006A04C0">
      <w:pPr>
        <w:rPr>
          <w:rFonts w:ascii="Times New Roman" w:hAnsi="Times New Roman" w:cs="Times New Roman"/>
          <w:b/>
          <w:sz w:val="28"/>
          <w:szCs w:val="28"/>
        </w:rPr>
      </w:pPr>
      <w:r>
        <w:rPr>
          <w:rFonts w:ascii="Times New Roman" w:hAnsi="Times New Roman" w:cs="Times New Roman"/>
          <w:b/>
          <w:sz w:val="28"/>
          <w:szCs w:val="28"/>
        </w:rPr>
        <w:t>Héctor Alfonso Torres Rojas</w:t>
      </w:r>
    </w:p>
    <w:p w:rsidR="00085FAE" w:rsidRPr="00085FAE" w:rsidRDefault="00085FAE" w:rsidP="00085FAE">
      <w:pPr>
        <w:spacing w:after="0" w:line="240" w:lineRule="auto"/>
        <w:rPr>
          <w:rFonts w:ascii="Times New Roman" w:eastAsia="Times New Roman" w:hAnsi="Times New Roman" w:cs="Times New Roman"/>
          <w:caps/>
          <w:sz w:val="28"/>
          <w:szCs w:val="28"/>
          <w:lang w:eastAsia="es-CO"/>
        </w:rPr>
      </w:pPr>
    </w:p>
    <w:p w:rsidR="007546D0" w:rsidRPr="0070071A" w:rsidRDefault="007546D0" w:rsidP="0070071A">
      <w:pPr>
        <w:shd w:val="clear" w:color="auto" w:fill="F4F4F4"/>
        <w:spacing w:after="0" w:line="300" w:lineRule="atLeast"/>
        <w:rPr>
          <w:rFonts w:ascii="Times New Roman" w:eastAsia="Times New Roman" w:hAnsi="Times New Roman" w:cs="Times New Roman"/>
          <w:b/>
          <w:bCs/>
          <w:sz w:val="28"/>
          <w:szCs w:val="28"/>
          <w:lang w:eastAsia="es-CO"/>
        </w:rPr>
      </w:pPr>
    </w:p>
    <w:p w:rsidR="006341F7" w:rsidRPr="00845E44" w:rsidRDefault="006341F7" w:rsidP="006341F7">
      <w:pPr>
        <w:numPr>
          <w:ilvl w:val="0"/>
          <w:numId w:val="3"/>
        </w:numPr>
        <w:shd w:val="clear" w:color="auto" w:fill="FFFFFF"/>
        <w:spacing w:after="0" w:line="240" w:lineRule="auto"/>
        <w:ind w:left="-900"/>
        <w:jc w:val="center"/>
        <w:textAlignment w:val="baseline"/>
        <w:rPr>
          <w:rFonts w:ascii="inherit" w:eastAsia="Times New Roman" w:hAnsi="inherit" w:cs="Times New Roman"/>
          <w:color w:val="000000"/>
          <w:sz w:val="27"/>
          <w:szCs w:val="27"/>
          <w:lang w:eastAsia="es-CO"/>
        </w:rPr>
      </w:pPr>
    </w:p>
    <w:p w:rsidR="006341F7" w:rsidRPr="00845E44" w:rsidRDefault="006341F7" w:rsidP="006341F7">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845E44">
        <w:rPr>
          <w:rFonts w:ascii="inherit" w:eastAsia="Times New Roman" w:hAnsi="inherit" w:cs="Times New Roman"/>
          <w:b/>
          <w:bCs/>
          <w:color w:val="000000"/>
          <w:kern w:val="36"/>
          <w:sz w:val="48"/>
          <w:szCs w:val="48"/>
          <w:lang w:eastAsia="es-CO"/>
        </w:rPr>
        <w:t>El hambre crece en América Latina por primera vez en una década, según la FAO</w:t>
      </w:r>
    </w:p>
    <w:p w:rsidR="006341F7" w:rsidRPr="00845E44" w:rsidRDefault="006341F7" w:rsidP="006341F7">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5" w:history="1">
        <w:r w:rsidRPr="00845E44">
          <w:rPr>
            <w:rFonts w:ascii="inherit" w:eastAsia="Times New Roman" w:hAnsi="inherit" w:cs="Times New Roman"/>
            <w:color w:val="00727F"/>
            <w:sz w:val="27"/>
            <w:szCs w:val="27"/>
            <w:u w:val="single"/>
            <w:bdr w:val="none" w:sz="0" w:space="0" w:color="auto" w:frame="1"/>
            <w:lang w:eastAsia="es-CO"/>
          </w:rPr>
          <w:t>Economía</w:t>
        </w:r>
      </w:hyperlink>
    </w:p>
    <w:p w:rsidR="006341F7" w:rsidRPr="00845E44" w:rsidRDefault="006341F7" w:rsidP="006341F7">
      <w:pPr>
        <w:shd w:val="clear" w:color="auto" w:fill="FFFFFF"/>
        <w:spacing w:after="0" w:line="240" w:lineRule="auto"/>
        <w:textAlignment w:val="center"/>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EL ESPECTADOR, </w:t>
      </w:r>
      <w:r w:rsidRPr="00845E44">
        <w:rPr>
          <w:rFonts w:ascii="inherit" w:eastAsia="Times New Roman" w:hAnsi="inherit" w:cs="Times New Roman"/>
          <w:color w:val="000000"/>
          <w:sz w:val="27"/>
          <w:szCs w:val="27"/>
          <w:lang w:eastAsia="es-CO"/>
        </w:rPr>
        <w:t>10 Oct 2017 - 4:59 PM</w:t>
      </w:r>
    </w:p>
    <w:p w:rsidR="006341F7" w:rsidRPr="00845E44" w:rsidRDefault="006341F7" w:rsidP="006341F7">
      <w:pPr>
        <w:shd w:val="clear" w:color="auto" w:fill="FFFFFF"/>
        <w:spacing w:after="150" w:line="240" w:lineRule="auto"/>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AFP</w:t>
      </w:r>
    </w:p>
    <w:p w:rsidR="006341F7" w:rsidRPr="00845E44" w:rsidRDefault="006341F7" w:rsidP="006341F7">
      <w:pPr>
        <w:shd w:val="clear" w:color="auto" w:fill="FFFFFF"/>
        <w:spacing w:after="225" w:line="240" w:lineRule="auto"/>
        <w:textAlignment w:val="baseline"/>
        <w:rPr>
          <w:rFonts w:ascii="inherit" w:eastAsia="Times New Roman" w:hAnsi="inherit" w:cs="Times New Roman"/>
          <w:color w:val="1D1D1D"/>
          <w:sz w:val="27"/>
          <w:szCs w:val="27"/>
          <w:lang w:eastAsia="es-CO"/>
        </w:rPr>
      </w:pPr>
      <w:r w:rsidRPr="00845E44">
        <w:rPr>
          <w:rFonts w:ascii="inherit" w:eastAsia="Times New Roman" w:hAnsi="inherit" w:cs="Times New Roman"/>
          <w:color w:val="1D1D1D"/>
          <w:sz w:val="27"/>
          <w:szCs w:val="27"/>
          <w:lang w:eastAsia="es-CO"/>
        </w:rPr>
        <w:t>Después de una década de celebrar avances en su erradicación, el número total de personas que padecen hambre creció en América Latina en 2016 al tiempo que se expandió la obesidad, un fenómeno que está "desbocado" en la región, según alertó la FAO.</w:t>
      </w:r>
    </w:p>
    <w:p w:rsidR="006341F7" w:rsidRPr="00845E44" w:rsidRDefault="006341F7" w:rsidP="006341F7">
      <w:pPr>
        <w:shd w:val="clear" w:color="auto" w:fill="FFFFFF"/>
        <w:spacing w:after="0" w:line="240" w:lineRule="auto"/>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noProof/>
          <w:color w:val="000000"/>
          <w:sz w:val="27"/>
          <w:szCs w:val="27"/>
          <w:lang w:eastAsia="es-CO"/>
        </w:rPr>
        <w:lastRenderedPageBreak/>
        <w:drawing>
          <wp:inline distT="0" distB="0" distL="0" distR="0" wp14:anchorId="2B734A32" wp14:editId="00F21957">
            <wp:extent cx="4936713" cy="3286125"/>
            <wp:effectExtent l="0" t="0" r="0" b="0"/>
            <wp:docPr id="1" name="Imagen 1" descr="https://www.elespectador.com/sites/default/files/ha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hamb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0389" cy="3288572"/>
                    </a:xfrm>
                    <a:prstGeom prst="rect">
                      <a:avLst/>
                    </a:prstGeom>
                    <a:noFill/>
                    <a:ln>
                      <a:noFill/>
                    </a:ln>
                  </pic:spPr>
                </pic:pic>
              </a:graphicData>
            </a:graphic>
          </wp:inline>
        </w:drawing>
      </w:r>
    </w:p>
    <w:p w:rsidR="006341F7" w:rsidRPr="00845E44" w:rsidRDefault="006341F7" w:rsidP="006341F7">
      <w:pPr>
        <w:shd w:val="clear" w:color="auto" w:fill="1D1D1D"/>
        <w:spacing w:line="240" w:lineRule="auto"/>
        <w:textAlignment w:val="baseline"/>
        <w:rPr>
          <w:rFonts w:ascii="inherit" w:eastAsia="Times New Roman" w:hAnsi="inherit" w:cs="Times New Roman"/>
          <w:color w:val="FFFFFF"/>
          <w:sz w:val="27"/>
          <w:szCs w:val="27"/>
          <w:lang w:eastAsia="es-CO"/>
        </w:rPr>
      </w:pPr>
      <w:r w:rsidRPr="00845E44">
        <w:rPr>
          <w:rFonts w:ascii="inherit" w:eastAsia="Times New Roman" w:hAnsi="inherit" w:cs="Times New Roman"/>
          <w:color w:val="FFFFFF"/>
          <w:sz w:val="27"/>
          <w:szCs w:val="27"/>
          <w:bdr w:val="none" w:sz="0" w:space="0" w:color="auto" w:frame="1"/>
          <w:lang w:eastAsia="es-CO"/>
        </w:rPr>
        <w:t>Pixabay</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El año pasado, alrededor de 42,5 millones de latinoamericanos (el 6,6% de la población total) </w:t>
      </w:r>
      <w:r w:rsidRPr="00845E44">
        <w:rPr>
          <w:rFonts w:ascii="inherit" w:eastAsia="Times New Roman" w:hAnsi="inherit" w:cs="Times New Roman"/>
          <w:b/>
          <w:bCs/>
          <w:color w:val="000000"/>
          <w:sz w:val="27"/>
          <w:szCs w:val="27"/>
          <w:bdr w:val="none" w:sz="0" w:space="0" w:color="auto" w:frame="1"/>
          <w:lang w:eastAsia="es-CO"/>
        </w:rPr>
        <w:t>no contaron con la cantidad suficiente de alimentos para cubrir sus necesidades calóricas diarias</w:t>
      </w:r>
      <w:r w:rsidRPr="00845E44">
        <w:rPr>
          <w:rFonts w:ascii="inherit" w:eastAsia="Times New Roman" w:hAnsi="inherit" w:cs="Times New Roman"/>
          <w:color w:val="000000"/>
          <w:sz w:val="27"/>
          <w:szCs w:val="27"/>
          <w:lang w:eastAsia="es-CO"/>
        </w:rPr>
        <w:t>, lo que representó un aumento de 2,4 millones de personas, un 6% más en relación al año anterior.</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 xml:space="preserve">"Vamos por mal camino. La región ha dado un paso atrás importante en una lucha que venía ganando", dijo el representante regional de la FAO, Julio Berdegué, al entregar en rueda de prensa el </w:t>
      </w:r>
      <w:r w:rsidRPr="00845E44">
        <w:rPr>
          <w:rFonts w:ascii="inherit" w:eastAsia="Times New Roman" w:hAnsi="inherit" w:cs="Times New Roman"/>
          <w:b/>
          <w:color w:val="000000"/>
          <w:sz w:val="27"/>
          <w:szCs w:val="27"/>
          <w:lang w:eastAsia="es-CO"/>
        </w:rPr>
        <w:t>"Panorama de la seguridad alimentaria y nutricional en América Latina y el Caribe".</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Sudamérica, una de las regiones más ricas en la producción de alimentos, </w:t>
      </w:r>
      <w:r w:rsidRPr="00845E44">
        <w:rPr>
          <w:rFonts w:ascii="inherit" w:eastAsia="Times New Roman" w:hAnsi="inherit" w:cs="Times New Roman"/>
          <w:b/>
          <w:bCs/>
          <w:color w:val="000000"/>
          <w:sz w:val="27"/>
          <w:szCs w:val="27"/>
          <w:bdr w:val="none" w:sz="0" w:space="0" w:color="auto" w:frame="1"/>
          <w:lang w:eastAsia="es-CO"/>
        </w:rPr>
        <w:t>sufrió el mayor incremento de la subalimentación, al crecer el hambre de un 5 a un 5,6%. </w:t>
      </w:r>
      <w:r w:rsidRPr="00845E44">
        <w:rPr>
          <w:rFonts w:ascii="inherit" w:eastAsia="Times New Roman" w:hAnsi="inherit" w:cs="Times New Roman"/>
          <w:color w:val="000000"/>
          <w:sz w:val="27"/>
          <w:szCs w:val="27"/>
          <w:lang w:eastAsia="es-CO"/>
        </w:rPr>
        <w:t>Pero pese a que no aumentó en el Caribe, el hambre sigue teniendo la mayor prevalencia en esta región, con un 17,7% de su población.</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 xml:space="preserve">El incremento del hambre en América Latina </w:t>
      </w:r>
      <w:r w:rsidRPr="00845E44">
        <w:rPr>
          <w:rFonts w:ascii="inherit" w:eastAsia="Times New Roman" w:hAnsi="inherit" w:cs="Times New Roman"/>
          <w:color w:val="FF0000"/>
          <w:sz w:val="27"/>
          <w:szCs w:val="27"/>
          <w:lang w:eastAsia="es-CO"/>
        </w:rPr>
        <w:t xml:space="preserve">"se relaciona principalmente con la desaceleración económica, las crecientes tasas de desempleo, la disminución del salario mínimo y el deterioro de las redes de protección social", </w:t>
      </w:r>
      <w:r w:rsidRPr="00845E44">
        <w:rPr>
          <w:rFonts w:ascii="inherit" w:eastAsia="Times New Roman" w:hAnsi="inherit" w:cs="Times New Roman"/>
          <w:color w:val="000000"/>
          <w:sz w:val="27"/>
          <w:szCs w:val="27"/>
          <w:lang w:eastAsia="es-CO"/>
        </w:rPr>
        <w:t xml:space="preserve">explicó el director </w:t>
      </w:r>
      <w:r w:rsidRPr="00845E44">
        <w:rPr>
          <w:rFonts w:ascii="inherit" w:eastAsia="Times New Roman" w:hAnsi="inherit" w:cs="Times New Roman"/>
          <w:color w:val="000000"/>
          <w:sz w:val="27"/>
          <w:szCs w:val="27"/>
          <w:lang w:eastAsia="es-CO"/>
        </w:rPr>
        <w:lastRenderedPageBreak/>
        <w:t>general de la agencia de Naciones Unidas para la Alimentación y la Agricultura, FAO, José Graziano.</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En cuanto a países,</w:t>
      </w:r>
      <w:r w:rsidRPr="00845E44">
        <w:rPr>
          <w:rFonts w:ascii="inherit" w:eastAsia="Times New Roman" w:hAnsi="inherit" w:cs="Times New Roman"/>
          <w:b/>
          <w:bCs/>
          <w:color w:val="000000"/>
          <w:sz w:val="27"/>
          <w:szCs w:val="27"/>
          <w:bdr w:val="none" w:sz="0" w:space="0" w:color="auto" w:frame="1"/>
          <w:lang w:eastAsia="es-CO"/>
        </w:rPr>
        <w:t> la peor situación en términos de prevalencia la presenta Haití</w:t>
      </w:r>
      <w:r w:rsidRPr="00845E44">
        <w:rPr>
          <w:rFonts w:ascii="inherit" w:eastAsia="Times New Roman" w:hAnsi="inherit" w:cs="Times New Roman"/>
          <w:color w:val="000000"/>
          <w:sz w:val="27"/>
          <w:szCs w:val="27"/>
          <w:lang w:eastAsia="es-CO"/>
        </w:rPr>
        <w:t>, donde casi el 47% de su población sufre de hambre (equivalente a unos 5 millones de personas).</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Venezuela, en tanto, -sumida en una profunda crisis política y económica- </w:t>
      </w:r>
      <w:r w:rsidRPr="00845E44">
        <w:rPr>
          <w:rFonts w:ascii="inherit" w:eastAsia="Times New Roman" w:hAnsi="inherit" w:cs="Times New Roman"/>
          <w:b/>
          <w:bCs/>
          <w:color w:val="000000"/>
          <w:sz w:val="27"/>
          <w:szCs w:val="27"/>
          <w:bdr w:val="none" w:sz="0" w:space="0" w:color="auto" w:frame="1"/>
          <w:lang w:eastAsia="es-CO"/>
        </w:rPr>
        <w:t>es el país que registró el mayor aumento en el número de subnutridos</w:t>
      </w:r>
      <w:r w:rsidRPr="00845E44">
        <w:rPr>
          <w:rFonts w:ascii="inherit" w:eastAsia="Times New Roman" w:hAnsi="inherit" w:cs="Times New Roman"/>
          <w:color w:val="000000"/>
          <w:sz w:val="27"/>
          <w:szCs w:val="27"/>
          <w:lang w:eastAsia="es-CO"/>
        </w:rPr>
        <w:t>, pasando de 2,8 millones de personas en 2015 a 4,1 millones, con una prevalencia del 13% de su población.</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Argentina y Perú registraron un aumento de 0,1 millones de personas, mientras Bolivia, Chile, Ecuador y Paraguay mantuvieron sus cifras.</w:t>
      </w:r>
      <w:r>
        <w:rPr>
          <w:rFonts w:ascii="inherit" w:eastAsia="Times New Roman" w:hAnsi="inherit" w:cs="Times New Roman"/>
          <w:color w:val="000000"/>
          <w:sz w:val="27"/>
          <w:szCs w:val="27"/>
          <w:lang w:eastAsia="es-CO"/>
        </w:rPr>
        <w:t xml:space="preserve"> </w:t>
      </w:r>
      <w:r w:rsidRPr="00845E44">
        <w:rPr>
          <w:rFonts w:ascii="inherit" w:eastAsia="Times New Roman" w:hAnsi="inherit" w:cs="Times New Roman"/>
          <w:b/>
          <w:bCs/>
          <w:color w:val="000000"/>
          <w:sz w:val="27"/>
          <w:szCs w:val="27"/>
          <w:bdr w:val="none" w:sz="0" w:space="0" w:color="auto" w:frame="1"/>
          <w:lang w:eastAsia="es-CO"/>
        </w:rPr>
        <w:t>Colombia redujo el número de personas de 3,7 a 3,4 millones en el mismo periodo.</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Brasil, Cuba y Uruguay presentan, en tanto, una proporción de personas subalimentadas inferior al 2,5%.</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Con estas cifras, que revierten décadas de progreso, es muy difícil que la región alcance el Objetivo de Desarrollo Sostenible 2 de hambre cero, que compromete poner fin al hambre, lograr a seguridad alimentaria y la mejora de la nutrición y promover la agricultura sostenible al año 2030.</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b/>
          <w:bCs/>
          <w:color w:val="000000"/>
          <w:sz w:val="27"/>
          <w:szCs w:val="27"/>
          <w:bdr w:val="none" w:sz="0" w:space="0" w:color="auto" w:frame="1"/>
          <w:lang w:eastAsia="es-CO"/>
        </w:rPr>
        <w:t>Obesidad desbocada</w:t>
      </w:r>
    </w:p>
    <w:p w:rsidR="006341F7"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Pero no sólo se incrementó el número de subalimentados en la región. </w:t>
      </w:r>
      <w:r w:rsidRPr="00845E44">
        <w:rPr>
          <w:rFonts w:ascii="inherit" w:eastAsia="Times New Roman" w:hAnsi="inherit" w:cs="Times New Roman"/>
          <w:b/>
          <w:bCs/>
          <w:color w:val="000000"/>
          <w:sz w:val="27"/>
          <w:szCs w:val="27"/>
          <w:bdr w:val="none" w:sz="0" w:space="0" w:color="auto" w:frame="1"/>
          <w:lang w:eastAsia="es-CO"/>
        </w:rPr>
        <w:t>En América Latina la obesidad está "desbocada"</w:t>
      </w:r>
      <w:r w:rsidRPr="00845E44">
        <w:rPr>
          <w:rFonts w:ascii="inherit" w:eastAsia="Times New Roman" w:hAnsi="inherit" w:cs="Times New Roman"/>
          <w:color w:val="000000"/>
          <w:sz w:val="27"/>
          <w:szCs w:val="27"/>
          <w:lang w:eastAsia="es-CO"/>
        </w:rPr>
        <w:t>, convirtiéndose en un problema de salud pública en todos los países de la región, alertaron los expertos de la FAO.</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"Tenemos un problema desbocado de obesidad en América Latina", luego de que en 24 de los 33 países latinoamericanos la obesidad en adultos se ubica por sobre el 20% de su población, alertó Berdegué.</w:t>
      </w:r>
    </w:p>
    <w:p w:rsidR="006341F7" w:rsidRPr="00845E44" w:rsidRDefault="006341F7" w:rsidP="006341F7">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b/>
          <w:bCs/>
          <w:color w:val="000000"/>
          <w:sz w:val="27"/>
          <w:szCs w:val="27"/>
          <w:bdr w:val="none" w:sz="0" w:space="0" w:color="auto" w:frame="1"/>
          <w:lang w:eastAsia="es-CO"/>
        </w:rPr>
        <w:lastRenderedPageBreak/>
        <w:t>El problema es tal que el número de muertos asociados a enfermedades producidas por la obesidad supera a las del narcotráfico y la criminalidad.</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Chile, con un 30% de su población adulta obesa, tiene una de las tasas más altas de la región, afectando especialmente a las mujeres (32,8%), que lideran el índice de obesidad en América del Sur. También lo hacen los niños, con una tasa de sobrepeso que alcanza al 9,3%, por arriba del promedio de América Latina (7% de la población de niños menores de 5 años).</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En Sudamérica, el 7,4% de los niños menores de cinco años sufre sobrepeso y obesidad, al igual que el 6% de los niños en América Central y el 6,9% de los niños del Caribe.</w:t>
      </w:r>
    </w:p>
    <w:p w:rsidR="006341F7" w:rsidRPr="00845E44" w:rsidRDefault="006341F7" w:rsidP="006341F7">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845E44">
        <w:rPr>
          <w:rFonts w:ascii="inherit" w:eastAsia="Times New Roman" w:hAnsi="inherit" w:cs="Times New Roman"/>
          <w:color w:val="000000"/>
          <w:sz w:val="27"/>
          <w:szCs w:val="27"/>
          <w:lang w:eastAsia="es-CO"/>
        </w:rPr>
        <w:t>En este sentido, la FAO llamó a los gobiernos de la región a establecer políticas públicas para favorecer al consumo de alimentos saludables, que en general presentan precios más caros que los más calóricos.</w:t>
      </w:r>
    </w:p>
    <w:p w:rsidR="006341F7" w:rsidRDefault="006341F7" w:rsidP="006341F7"/>
    <w:p w:rsidR="006341F7" w:rsidRPr="00452F90" w:rsidRDefault="006341F7" w:rsidP="006341F7">
      <w:pPr>
        <w:shd w:val="clear" w:color="auto" w:fill="F4F4F4"/>
        <w:spacing w:after="0" w:line="300" w:lineRule="atLeast"/>
        <w:rPr>
          <w:rFonts w:ascii="Arial" w:eastAsia="Times New Roman" w:hAnsi="Arial" w:cs="Arial"/>
          <w:b/>
          <w:bCs/>
          <w:color w:val="000000"/>
          <w:sz w:val="24"/>
          <w:szCs w:val="24"/>
          <w:lang w:eastAsia="es-CO"/>
        </w:rPr>
      </w:pPr>
      <w:r w:rsidRPr="00452F90">
        <w:rPr>
          <w:rFonts w:ascii="Arial" w:eastAsia="Times New Roman" w:hAnsi="Arial" w:cs="Arial"/>
          <w:b/>
          <w:bCs/>
          <w:color w:val="000000"/>
          <w:sz w:val="24"/>
          <w:szCs w:val="24"/>
          <w:lang w:eastAsia="es-CO"/>
        </w:rPr>
        <w:t>Denuncian que seis empresas controlan el mercado de semillas</w:t>
      </w:r>
    </w:p>
    <w:p w:rsidR="006341F7" w:rsidRPr="00531B85" w:rsidRDefault="006341F7" w:rsidP="006341F7">
      <w:pPr>
        <w:shd w:val="clear" w:color="auto" w:fill="F4F4F4"/>
        <w:spacing w:after="0" w:line="780" w:lineRule="atLeast"/>
        <w:rPr>
          <w:rFonts w:ascii="Arial" w:eastAsia="Times New Roman" w:hAnsi="Arial" w:cs="Arial"/>
          <w:b/>
          <w:bCs/>
          <w:color w:val="008ABE"/>
          <w:sz w:val="52"/>
          <w:szCs w:val="52"/>
          <w:lang w:eastAsia="es-CO"/>
        </w:rPr>
      </w:pPr>
      <w:r w:rsidRPr="00452F90">
        <w:rPr>
          <w:rFonts w:ascii="Arial" w:eastAsia="Times New Roman" w:hAnsi="Arial" w:cs="Arial"/>
          <w:b/>
          <w:bCs/>
          <w:color w:val="008ABE"/>
          <w:sz w:val="52"/>
          <w:szCs w:val="52"/>
          <w:lang w:eastAsia="es-CO"/>
        </w:rPr>
        <w:t>Una reforma agraria al revés</w:t>
      </w:r>
    </w:p>
    <w:p w:rsidR="006341F7" w:rsidRDefault="006341F7" w:rsidP="006341F7">
      <w:pPr>
        <w:shd w:val="clear" w:color="auto" w:fill="F4F4F4"/>
        <w:spacing w:after="0" w:line="780" w:lineRule="atLeast"/>
        <w:rPr>
          <w:rFonts w:ascii="Arial" w:eastAsia="Times New Roman" w:hAnsi="Arial" w:cs="Arial"/>
          <w:b/>
          <w:bCs/>
          <w:sz w:val="24"/>
          <w:szCs w:val="24"/>
          <w:lang w:eastAsia="es-CO"/>
        </w:rPr>
      </w:pPr>
      <w:r w:rsidRPr="00452F90">
        <w:rPr>
          <w:rFonts w:ascii="Arial" w:eastAsia="Times New Roman" w:hAnsi="Arial" w:cs="Arial"/>
          <w:b/>
          <w:bCs/>
          <w:sz w:val="24"/>
          <w:szCs w:val="24"/>
          <w:lang w:eastAsia="es-CO"/>
        </w:rPr>
        <w:t>Fuente SGRAL, Brasil, 18 de septiembre de 2017</w:t>
      </w:r>
    </w:p>
    <w:p w:rsidR="006341F7" w:rsidRPr="00452F90" w:rsidRDefault="006341F7" w:rsidP="006341F7">
      <w:pPr>
        <w:shd w:val="clear" w:color="auto" w:fill="F4F4F4"/>
        <w:spacing w:after="0" w:line="780" w:lineRule="atLeast"/>
        <w:rPr>
          <w:rFonts w:ascii="Arial" w:eastAsia="Times New Roman" w:hAnsi="Arial" w:cs="Arial"/>
          <w:b/>
          <w:bCs/>
          <w:sz w:val="24"/>
          <w:szCs w:val="24"/>
          <w:lang w:eastAsia="es-CO"/>
        </w:rPr>
      </w:pPr>
    </w:p>
    <w:p w:rsidR="006341F7" w:rsidRDefault="006341F7" w:rsidP="006341F7">
      <w:pPr>
        <w:shd w:val="clear" w:color="auto" w:fill="F4F4F4"/>
        <w:spacing w:after="0" w:line="300" w:lineRule="atLeast"/>
        <w:rPr>
          <w:rFonts w:ascii="Arial" w:eastAsia="Times New Roman" w:hAnsi="Arial" w:cs="Arial"/>
          <w:sz w:val="28"/>
          <w:szCs w:val="28"/>
          <w:lang w:eastAsia="es-CO"/>
        </w:rPr>
      </w:pPr>
      <w:r w:rsidRPr="00452F90">
        <w:rPr>
          <w:rFonts w:ascii="Arial" w:eastAsia="Times New Roman" w:hAnsi="Arial" w:cs="Arial"/>
          <w:sz w:val="28"/>
          <w:szCs w:val="28"/>
          <w:lang w:eastAsia="es-CO"/>
        </w:rPr>
        <w:t xml:space="preserve">La investigadora Silvia Ribeiro, una de las mayores investigadoras latinoamericanas, sostiene que Argentina y Brasil tienen el 21 por ciento del consumo de agrotóxicos. </w:t>
      </w:r>
    </w:p>
    <w:p w:rsidR="006341F7" w:rsidRPr="00452F90" w:rsidRDefault="006341F7" w:rsidP="006341F7">
      <w:pPr>
        <w:shd w:val="clear" w:color="auto" w:fill="F4F4F4"/>
        <w:spacing w:after="0" w:line="300" w:lineRule="atLeast"/>
        <w:rPr>
          <w:rFonts w:ascii="Arial" w:eastAsia="Times New Roman" w:hAnsi="Arial" w:cs="Arial"/>
          <w:sz w:val="28"/>
          <w:szCs w:val="28"/>
          <w:lang w:eastAsia="es-CO"/>
        </w:rPr>
      </w:pPr>
      <w:r w:rsidRPr="00452F90">
        <w:rPr>
          <w:rFonts w:ascii="Arial" w:eastAsia="Times New Roman" w:hAnsi="Arial" w:cs="Arial"/>
          <w:sz w:val="28"/>
          <w:szCs w:val="28"/>
          <w:lang w:eastAsia="es-CO"/>
        </w:rPr>
        <w:t>Seis multinacionales gigantes se reparten el mercado de semillas.</w:t>
      </w:r>
    </w:p>
    <w:p w:rsidR="006341F7" w:rsidRDefault="006341F7" w:rsidP="006341F7">
      <w:pPr>
        <w:shd w:val="clear" w:color="auto" w:fill="F4F4F4"/>
        <w:spacing w:after="0" w:line="240" w:lineRule="atLeast"/>
        <w:rPr>
          <w:rFonts w:ascii="Arial" w:eastAsia="Times New Roman" w:hAnsi="Arial" w:cs="Arial"/>
          <w:b/>
          <w:bCs/>
          <w:color w:val="0D0D0D"/>
          <w:sz w:val="23"/>
          <w:szCs w:val="23"/>
          <w:lang w:eastAsia="es-CO"/>
        </w:rPr>
      </w:pPr>
    </w:p>
    <w:p w:rsidR="006341F7" w:rsidRPr="00452F90" w:rsidRDefault="006341F7" w:rsidP="006341F7">
      <w:pPr>
        <w:shd w:val="clear" w:color="auto" w:fill="F4F4F4"/>
        <w:spacing w:after="0" w:line="240" w:lineRule="atLeast"/>
        <w:rPr>
          <w:rFonts w:ascii="Arial" w:eastAsia="Times New Roman" w:hAnsi="Arial" w:cs="Arial"/>
          <w:b/>
          <w:bCs/>
          <w:color w:val="5B5A5E"/>
          <w:sz w:val="23"/>
          <w:szCs w:val="23"/>
          <w:lang w:eastAsia="es-CO"/>
        </w:rPr>
      </w:pPr>
      <w:r w:rsidRPr="00452F90">
        <w:rPr>
          <w:rFonts w:ascii="Arial" w:eastAsia="Times New Roman" w:hAnsi="Arial" w:cs="Arial"/>
          <w:b/>
          <w:bCs/>
          <w:color w:val="0D0D0D"/>
          <w:sz w:val="23"/>
          <w:szCs w:val="23"/>
          <w:lang w:eastAsia="es-CO"/>
        </w:rPr>
        <w:t>Por </w:t>
      </w:r>
      <w:hyperlink r:id="rId7" w:history="1">
        <w:r w:rsidRPr="00452F90">
          <w:rPr>
            <w:rFonts w:ascii="Arial" w:eastAsia="Times New Roman" w:hAnsi="Arial" w:cs="Arial"/>
            <w:b/>
            <w:bCs/>
            <w:color w:val="0D0D0D"/>
            <w:sz w:val="23"/>
            <w:szCs w:val="23"/>
            <w:lang w:eastAsia="es-CO"/>
          </w:rPr>
          <w:t>Darío Aranda</w:t>
        </w:r>
      </w:hyperlink>
    </w:p>
    <w:p w:rsidR="006341F7" w:rsidRPr="00452F90" w:rsidRDefault="006341F7" w:rsidP="006341F7">
      <w:pPr>
        <w:shd w:val="clear" w:color="auto" w:fill="F4F4F4"/>
        <w:spacing w:before="120" w:after="120" w:line="240" w:lineRule="auto"/>
        <w:ind w:left="360" w:right="120"/>
        <w:jc w:val="center"/>
        <w:rPr>
          <w:rFonts w:ascii="Arial" w:eastAsia="Times New Roman" w:hAnsi="Arial" w:cs="Arial"/>
          <w:b/>
          <w:bCs/>
          <w:color w:val="000000"/>
          <w:sz w:val="24"/>
          <w:szCs w:val="24"/>
          <w:lang w:eastAsia="es-CO"/>
        </w:rPr>
      </w:pPr>
    </w:p>
    <w:p w:rsidR="006341F7" w:rsidRDefault="006341F7" w:rsidP="006341F7">
      <w:pPr>
        <w:shd w:val="clear" w:color="auto" w:fill="FFFFFF"/>
        <w:spacing w:after="0" w:line="300" w:lineRule="atLeast"/>
        <w:rPr>
          <w:rFonts w:ascii="Arial" w:eastAsia="Times New Roman" w:hAnsi="Arial" w:cs="Arial"/>
          <w:b/>
          <w:bCs/>
          <w:color w:val="000000"/>
          <w:sz w:val="24"/>
          <w:szCs w:val="24"/>
          <w:lang w:eastAsia="es-CO"/>
        </w:rPr>
      </w:pPr>
      <w:r w:rsidRPr="00452F90">
        <w:rPr>
          <w:rFonts w:ascii="Arial" w:eastAsia="Times New Roman" w:hAnsi="Arial" w:cs="Arial"/>
          <w:b/>
          <w:bCs/>
          <w:color w:val="000000"/>
          <w:sz w:val="24"/>
          <w:szCs w:val="24"/>
          <w:lang w:eastAsia="es-CO"/>
        </w:rPr>
        <w:t>Silvia Ribeiro participó de un encuentro en Rosario. </w:t>
      </w:r>
    </w:p>
    <w:p w:rsidR="006341F7" w:rsidRPr="00452F90" w:rsidRDefault="006341F7" w:rsidP="006341F7">
      <w:pPr>
        <w:shd w:val="clear" w:color="auto" w:fill="FFFFFF"/>
        <w:spacing w:after="0" w:line="300" w:lineRule="atLeast"/>
        <w:rPr>
          <w:rFonts w:ascii="Arial" w:eastAsia="Times New Roman" w:hAnsi="Arial" w:cs="Arial"/>
          <w:b/>
          <w:bCs/>
          <w:color w:val="000000"/>
          <w:sz w:val="24"/>
          <w:szCs w:val="24"/>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lastRenderedPageBreak/>
        <w:t>La amenaza que implica la fusión de las grandes empresas (como Bayer-Monsanto), el rol de la ciencia al servicio de las compañías, el peligro de los nuevos transgénicos y la necesidad de más agricultura campesina-indígena. Algunos de los temas que trabaja desde hace treinta años Silvia Ribeiro, una de las mayores investigadoras latinoamericanas sobre el agronegocio. Y una definición de los países de la región: “Han perdido soberanía por su dependencia extrema a un puñado de empresas biotecnológicas”.</w:t>
      </w:r>
    </w:p>
    <w:p w:rsidR="006341F7" w:rsidRDefault="006341F7" w:rsidP="006341F7">
      <w:pPr>
        <w:shd w:val="clear" w:color="auto" w:fill="F4F4F4"/>
        <w:spacing w:after="15" w:line="456" w:lineRule="atLeast"/>
        <w:rPr>
          <w:rFonts w:ascii="Arial" w:eastAsia="Times New Roman" w:hAnsi="Arial" w:cs="Arial"/>
          <w:b/>
          <w:color w:val="000000"/>
          <w:sz w:val="28"/>
          <w:szCs w:val="28"/>
          <w:lang w:eastAsia="es-CO"/>
        </w:rPr>
      </w:pPr>
      <w:r w:rsidRPr="00452F90">
        <w:rPr>
          <w:rFonts w:ascii="Arial" w:eastAsia="Times New Roman" w:hAnsi="Arial" w:cs="Arial"/>
          <w:color w:val="000000"/>
          <w:sz w:val="27"/>
          <w:szCs w:val="27"/>
          <w:lang w:eastAsia="es-CO"/>
        </w:rPr>
        <w:t xml:space="preserve">Investigadora del Grupo ETC (Grupo de Acción sobre Erosión, Tecnología y Concentración), </w:t>
      </w:r>
      <w:r w:rsidRPr="00452F90">
        <w:rPr>
          <w:rFonts w:ascii="Arial" w:eastAsia="Times New Roman" w:hAnsi="Arial" w:cs="Arial"/>
          <w:b/>
          <w:color w:val="000000"/>
          <w:sz w:val="28"/>
          <w:szCs w:val="28"/>
          <w:lang w:eastAsia="es-CO"/>
        </w:rPr>
        <w:t>Ribeiro fue una de las disertantes en el Encuentro Intercontinental Madre Tierra, una sola salud, organizado en Rosario por la materia Salud Socioambiental de la Facultad de Ciencias Médicas. </w:t>
      </w:r>
    </w:p>
    <w:p w:rsidR="006341F7" w:rsidRPr="00452F90" w:rsidRDefault="006341F7" w:rsidP="006341F7">
      <w:pPr>
        <w:shd w:val="clear" w:color="auto" w:fill="F4F4F4"/>
        <w:spacing w:after="15" w:line="456" w:lineRule="atLeast"/>
        <w:rPr>
          <w:rFonts w:ascii="Arial" w:eastAsia="Times New Roman" w:hAnsi="Arial" w:cs="Arial"/>
          <w:b/>
          <w:color w:val="000000"/>
          <w:sz w:val="28"/>
          <w:szCs w:val="28"/>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–¿Cómo evalúa la situación del agro en la región?</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Pr>
          <w:rFonts w:ascii="Arial" w:eastAsia="Times New Roman" w:hAnsi="Arial" w:cs="Arial"/>
          <w:color w:val="000000"/>
          <w:sz w:val="27"/>
          <w:szCs w:val="27"/>
          <w:lang w:eastAsia="es-CO"/>
        </w:rPr>
        <w:t>–América L</w:t>
      </w:r>
      <w:r w:rsidRPr="00452F90">
        <w:rPr>
          <w:rFonts w:ascii="Arial" w:eastAsia="Times New Roman" w:hAnsi="Arial" w:cs="Arial"/>
          <w:color w:val="000000"/>
          <w:sz w:val="27"/>
          <w:szCs w:val="27"/>
          <w:lang w:eastAsia="es-CO"/>
        </w:rPr>
        <w:t xml:space="preserve">atina está dividida en dos en la situación agrícola. </w:t>
      </w:r>
      <w:r w:rsidRPr="00452F90">
        <w:rPr>
          <w:rFonts w:ascii="Arial" w:eastAsia="Times New Roman" w:hAnsi="Arial" w:cs="Arial"/>
          <w:b/>
          <w:color w:val="000000"/>
          <w:sz w:val="27"/>
          <w:szCs w:val="27"/>
          <w:lang w:eastAsia="es-CO"/>
        </w:rPr>
        <w:t>Está la república unida de la soja (Argentina, Uruguay, Paraguay, Bolivia y Brasil) y el resto. Hay que recordar que luego de 20 años de transgénicos, sólo diez países tienen el 90 por ciento de la producción.</w:t>
      </w:r>
      <w:r w:rsidRPr="00452F90">
        <w:rPr>
          <w:rFonts w:ascii="Arial" w:eastAsia="Times New Roman" w:hAnsi="Arial" w:cs="Arial"/>
          <w:color w:val="000000"/>
          <w:sz w:val="27"/>
          <w:szCs w:val="27"/>
          <w:lang w:eastAsia="es-CO"/>
        </w:rPr>
        <w:t xml:space="preserve"> Quiere decir que los transgénicos nunca llegaron a ser el fenómeno omnipresente que nos quieren hacer creer.</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–¿Cuáles son las características de estos países dominados por el modelo transgénico?</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 xml:space="preserve">–La estructura agrícola ha sufrido un proceso de concentración corporativa y de reforma agraria al revés, concentró la tierra en menos manos. A eso hay que sumarle las enfermedades provocadas por los agrotóxicos. </w:t>
      </w:r>
      <w:r w:rsidRPr="00452F90">
        <w:rPr>
          <w:rFonts w:ascii="Arial" w:eastAsia="Times New Roman" w:hAnsi="Arial" w:cs="Arial"/>
          <w:b/>
          <w:color w:val="000000"/>
          <w:sz w:val="27"/>
          <w:szCs w:val="27"/>
          <w:lang w:eastAsia="es-CO"/>
        </w:rPr>
        <w:t>Un dato elocuente es que Argentina y Brasil tienen el 21 por ciento del consumo global de agrotóxicos</w:t>
      </w:r>
      <w:r w:rsidRPr="00452F90">
        <w:rPr>
          <w:rFonts w:ascii="Arial" w:eastAsia="Times New Roman" w:hAnsi="Arial" w:cs="Arial"/>
          <w:color w:val="000000"/>
          <w:sz w:val="27"/>
          <w:szCs w:val="27"/>
          <w:lang w:eastAsia="es-CO"/>
        </w:rPr>
        <w:t xml:space="preserve">. Si Monsanto-Bayer </w:t>
      </w:r>
      <w:r w:rsidRPr="00452F90">
        <w:rPr>
          <w:rFonts w:ascii="Arial" w:eastAsia="Times New Roman" w:hAnsi="Arial" w:cs="Arial"/>
          <w:color w:val="000000"/>
          <w:sz w:val="27"/>
          <w:szCs w:val="27"/>
          <w:lang w:eastAsia="es-CO"/>
        </w:rPr>
        <w:lastRenderedPageBreak/>
        <w:t>quieren poner condiciones inaceptables, las va a poder poner por el nivel de vulnerabilidad altísimo del país al depender de esas compañías. Han perdido soberanía por su dependencia extrema a un puñado de empresas biotecnológicas. El resto de América Latina se parece más a la media mundial. La mayor parte de alimentos la siguen produciendo los pequeños agricultores urbanos, campesinos, la pesca artesanal. El 70 por ciento del mundo se alimenta mediante la agricultura familiar y hay que profundizar ese camino.</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–¿Cómo es el proceso de “megafusiones” de las empresas transgénicas?    </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 xml:space="preserve">–Una referencia es que hace veinte años Monsanto no tenía semillas y hoy es la más grande del mundo. Hace treinta años había más de 7000 empresas de semillas. </w:t>
      </w:r>
      <w:r w:rsidRPr="00452F90">
        <w:rPr>
          <w:rFonts w:ascii="Arial" w:eastAsia="Times New Roman" w:hAnsi="Arial" w:cs="Arial"/>
          <w:b/>
          <w:color w:val="000000"/>
          <w:sz w:val="27"/>
          <w:szCs w:val="27"/>
          <w:lang w:eastAsia="es-CO"/>
        </w:rPr>
        <w:t>Y ahora Monsanto tiene el 25 por ciento del mercado de todo tipo de semillas</w:t>
      </w:r>
      <w:r w:rsidRPr="00452F90">
        <w:rPr>
          <w:rFonts w:ascii="Arial" w:eastAsia="Times New Roman" w:hAnsi="Arial" w:cs="Arial"/>
          <w:color w:val="000000"/>
          <w:sz w:val="27"/>
          <w:szCs w:val="27"/>
          <w:lang w:eastAsia="es-CO"/>
        </w:rPr>
        <w:t xml:space="preserve">. </w:t>
      </w:r>
      <w:r w:rsidRPr="00452F90">
        <w:rPr>
          <w:rFonts w:ascii="Arial" w:eastAsia="Times New Roman" w:hAnsi="Arial" w:cs="Arial"/>
          <w:b/>
          <w:color w:val="000000"/>
          <w:sz w:val="27"/>
          <w:szCs w:val="27"/>
          <w:lang w:eastAsia="es-CO"/>
        </w:rPr>
        <w:t>Lo que ha pasado es que en 20 años se han dado más de 200 fusiones</w:t>
      </w:r>
      <w:r w:rsidRPr="00452F90">
        <w:rPr>
          <w:rFonts w:ascii="Arial" w:eastAsia="Times New Roman" w:hAnsi="Arial" w:cs="Arial"/>
          <w:color w:val="000000"/>
          <w:sz w:val="27"/>
          <w:szCs w:val="27"/>
          <w:lang w:eastAsia="es-CO"/>
        </w:rPr>
        <w:t xml:space="preserve">. Que terminan en lo que llamamos las seis gigantes genéticos. </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color w:val="000000"/>
          <w:sz w:val="27"/>
          <w:szCs w:val="27"/>
          <w:lang w:eastAsia="es-CO"/>
        </w:rPr>
        <w:t>Son Monsanto, Syngenta, Dupont, Dow, Basf y Bayer.</w:t>
      </w:r>
      <w:r w:rsidRPr="00452F90">
        <w:rPr>
          <w:rFonts w:ascii="Arial" w:eastAsia="Times New Roman" w:hAnsi="Arial" w:cs="Arial"/>
          <w:color w:val="000000"/>
          <w:sz w:val="27"/>
          <w:szCs w:val="27"/>
          <w:lang w:eastAsia="es-CO"/>
        </w:rPr>
        <w:t xml:space="preserve"> Estas empresas dominan el mercado mundial de semillas. Y todas son productoras de venenos. Primero concentran el mercado y luego comienzan las megafusiones. Monsanto-Bayer, Syngenta-ChenChina, Dow-Dupont controlan más del 60 por ciento del mercado total de semillas (no solo transgénicas) y el 71 por ciento del mercado de agrotóxicos. Cifras descabelladas. Ninguna oficina antimonopolio debiera aprobar esas fusiones.</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–¿Cuál es el riesgo?</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lastRenderedPageBreak/>
        <w:t>–Controlan precio, innovación e impacta en las políticas agrícolas. Países que están con un alto grado de agricultura industrial, como Argentina, pasan a estar en situación de vulnerabilidad. Incluso en términos de soberanía. Estas empresas tienen un poder de negociación que es mucho más que de negociación, es de imposición sobre un país, incluso con leyes a medida.</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–Empresas y medios están con una campaña sobre los “nuevos transgénicos”. Ustedes remarcan críticas.</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–Le llaman edición genómica. Cuenta con una gran maniobra de propaganda para no pasar por ninguna ley de bioseguridad.</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–¿De qué se trata y qué riesgos implica?</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–El desconocimiento que hay sobre las funciones del genoma es bastante amplio. Ahora nos quieren hacer creer que lo que hacen con los genes es como cambiar un texto, con pequeños cambios, que no impactaría en el sentido total. Y eso es mentira. Un ejemplo para entenderlo es como si tomaras los diez mandamientos en un idioma que no conocés, y le sacas una palabra, un “no”. Ellos te dicen que no implica nada. Pero es fundamental, modifica todo el sentido.</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–¿Es una manipulación genética que no se conoce cómo impactará?</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–Hay un desconocimiento muy grande no solo de para qué sirven los genes, se conocen algunas funciones, y no las interacciones entre sí ni las interacciones de los genes por razones externas, como ambientales. El genoma no es un mapa estático. El grado de incertidumbre es muy alto y claro que tampoco se sabe su impacto en la salud y el ambiente.</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–¿Cuáles son estas nuevas tecnologías transgénicas?</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–Son varias. La estrella es una que descubren en 2012, Crispr (“Repeticiones palindrómicas cortas agrupadas y regularmente interespaciadas”). Una manera muy burda de explicar es que se trata de un GPS con un par de tijeras. Crispr es un GPS que te lleva a una parte específica del genoma, y Cas9 son las tijeras. Es una modificación genética con impactos impredecibles.</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–¿Implica más transgénicos?</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–Con estas nuevas tecnologías pueden producir cualquier tipo de transgénico. Resistencia a herbicidas, silenciar genes, agregar genes distintos. Lo quieren usar tanto en alimentos como en salud. Ellos dicen que es previsible, pero es todo lo contrario. Incluso con estas tecnologías pueden eliminar especias que ellos consideran molestas, como el amaranto, que no pueden controlar con los agrotóxicos. Monsanto y Dupont son los que más están impulsando.</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–¿Cuál es el rol de la ciencia en este modelo?</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–Con los científicos críticos ha habido una caza de brujas brutal. Dos ejemplos son (Gilles-Eric) Seralini en Francia y Andrés Carrasco en Argentina. El ataque mediático, económico y político es feroz con las voces críticas.</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–¿Y sobre la ciencia dominante?</w:t>
      </w:r>
    </w:p>
    <w:p w:rsidR="006341F7"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–En términos de política científica dominante es una ciencia mercenaria, vendida a los intereses de las corporaciones. Es una tecnociencia que busca resultados para las empresas.</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b/>
          <w:bCs/>
          <w:color w:val="000000"/>
          <w:sz w:val="27"/>
          <w:szCs w:val="27"/>
          <w:lang w:eastAsia="es-CO"/>
        </w:rPr>
        <w:t>–¿La opción?</w:t>
      </w:r>
    </w:p>
    <w:p w:rsidR="006341F7" w:rsidRPr="00452F90" w:rsidRDefault="006341F7" w:rsidP="006341F7">
      <w:pPr>
        <w:shd w:val="clear" w:color="auto" w:fill="F4F4F4"/>
        <w:spacing w:after="15" w:line="456" w:lineRule="atLeast"/>
        <w:rPr>
          <w:rFonts w:ascii="Arial" w:eastAsia="Times New Roman" w:hAnsi="Arial" w:cs="Arial"/>
          <w:color w:val="000000"/>
          <w:sz w:val="27"/>
          <w:szCs w:val="27"/>
          <w:lang w:eastAsia="es-CO"/>
        </w:rPr>
      </w:pPr>
      <w:r w:rsidRPr="00452F90">
        <w:rPr>
          <w:rFonts w:ascii="Arial" w:eastAsia="Times New Roman" w:hAnsi="Arial" w:cs="Arial"/>
          <w:color w:val="000000"/>
          <w:sz w:val="27"/>
          <w:szCs w:val="27"/>
          <w:lang w:eastAsia="es-CO"/>
        </w:rPr>
        <w:t>–La parte esperanzadora que tiene que ver con este congreso, donde hay cada vez más personas, de muchas partes del mundo, críticas. Y también hay esperanza porque los campesinos están decididos a quedarse en la tierra que siempre vivieron.</w:t>
      </w:r>
    </w:p>
    <w:p w:rsidR="006341F7" w:rsidRDefault="006341F7" w:rsidP="006341F7"/>
    <w:p w:rsidR="006341F7" w:rsidRPr="00421DAE" w:rsidRDefault="006341F7" w:rsidP="006341F7">
      <w:pPr>
        <w:shd w:val="clear" w:color="auto" w:fill="FFFFFF"/>
        <w:spacing w:after="0" w:line="240" w:lineRule="auto"/>
        <w:rPr>
          <w:rFonts w:ascii="Arial" w:eastAsia="Times New Roman" w:hAnsi="Arial" w:cs="Arial"/>
          <w:color w:val="333333"/>
          <w:sz w:val="24"/>
          <w:szCs w:val="24"/>
          <w:lang w:eastAsia="es-CO"/>
        </w:rPr>
      </w:pPr>
    </w:p>
    <w:p w:rsidR="006341F7" w:rsidRPr="00421DAE" w:rsidRDefault="006341F7" w:rsidP="006341F7">
      <w:pPr>
        <w:shd w:val="clear" w:color="auto" w:fill="FFFFFF"/>
        <w:spacing w:after="0" w:line="240" w:lineRule="auto"/>
        <w:rPr>
          <w:rFonts w:ascii="Arial" w:eastAsia="Times New Roman" w:hAnsi="Arial" w:cs="Arial"/>
          <w:color w:val="333333"/>
          <w:sz w:val="24"/>
          <w:szCs w:val="24"/>
          <w:lang w:eastAsia="es-CO"/>
        </w:rPr>
      </w:pPr>
      <w:r w:rsidRPr="00421DAE">
        <w:rPr>
          <w:rFonts w:ascii="Arial" w:eastAsia="Times New Roman" w:hAnsi="Arial" w:cs="Arial"/>
          <w:noProof/>
          <w:color w:val="333333"/>
          <w:sz w:val="24"/>
          <w:szCs w:val="24"/>
          <w:lang w:eastAsia="es-CO"/>
        </w:rPr>
        <w:drawing>
          <wp:inline distT="0" distB="0" distL="0" distR="0" wp14:anchorId="53DAE097" wp14:editId="0EE6F479">
            <wp:extent cx="5029200" cy="2514600"/>
            <wp:effectExtent l="0" t="0" r="0" b="0"/>
            <wp:docPr id="2" name="Imagen 2" descr="El Papa convoca un sínodo de los obispos de la región amaz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voca un sínodo de los obispos de la región amazón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8875" cy="2519438"/>
                    </a:xfrm>
                    <a:prstGeom prst="rect">
                      <a:avLst/>
                    </a:prstGeom>
                    <a:noFill/>
                    <a:ln>
                      <a:noFill/>
                    </a:ln>
                  </pic:spPr>
                </pic:pic>
              </a:graphicData>
            </a:graphic>
          </wp:inline>
        </w:drawing>
      </w:r>
    </w:p>
    <w:p w:rsidR="006341F7" w:rsidRDefault="006341F7" w:rsidP="006341F7">
      <w:pPr>
        <w:shd w:val="clear" w:color="auto" w:fill="FFFFFF"/>
        <w:spacing w:after="0" w:line="312" w:lineRule="atLeast"/>
        <w:rPr>
          <w:rFonts w:ascii="Arial" w:eastAsia="Times New Roman" w:hAnsi="Arial" w:cs="Arial"/>
          <w:caps/>
          <w:color w:val="990000"/>
          <w:sz w:val="24"/>
          <w:szCs w:val="24"/>
          <w:lang w:eastAsia="es-CO"/>
        </w:rPr>
      </w:pPr>
    </w:p>
    <w:p w:rsidR="006341F7" w:rsidRPr="00421DAE" w:rsidRDefault="006341F7" w:rsidP="006341F7">
      <w:pPr>
        <w:shd w:val="clear" w:color="auto" w:fill="FFFFFF"/>
        <w:spacing w:after="0" w:line="312" w:lineRule="atLeast"/>
        <w:rPr>
          <w:rFonts w:ascii="Arial" w:eastAsia="Times New Roman" w:hAnsi="Arial" w:cs="Arial"/>
          <w:caps/>
          <w:color w:val="990000"/>
          <w:sz w:val="24"/>
          <w:szCs w:val="24"/>
          <w:lang w:eastAsia="es-CO"/>
        </w:rPr>
      </w:pPr>
      <w:r w:rsidRPr="00421DAE">
        <w:rPr>
          <w:rFonts w:ascii="Arial" w:eastAsia="Times New Roman" w:hAnsi="Arial" w:cs="Arial"/>
          <w:caps/>
          <w:color w:val="990000"/>
          <w:sz w:val="24"/>
          <w:szCs w:val="24"/>
          <w:lang w:eastAsia="es-CO"/>
        </w:rPr>
        <w:t>TENDRÁ LUGAR EN ROMA EN OCTUBRE DEL 2019</w:t>
      </w:r>
    </w:p>
    <w:p w:rsidR="006341F7" w:rsidRPr="00421DAE" w:rsidRDefault="006341F7" w:rsidP="006341F7">
      <w:pPr>
        <w:shd w:val="clear" w:color="auto" w:fill="FFFFFF"/>
        <w:spacing w:after="83" w:line="240" w:lineRule="auto"/>
        <w:outlineLvl w:val="1"/>
        <w:rPr>
          <w:rFonts w:ascii="inherit" w:eastAsia="Times New Roman" w:hAnsi="inherit" w:cs="Arial"/>
          <w:color w:val="000000"/>
          <w:sz w:val="39"/>
          <w:szCs w:val="39"/>
          <w:lang w:eastAsia="es-CO"/>
        </w:rPr>
      </w:pPr>
      <w:r w:rsidRPr="00421DAE">
        <w:rPr>
          <w:rFonts w:ascii="inherit" w:eastAsia="Times New Roman" w:hAnsi="inherit" w:cs="Arial"/>
          <w:color w:val="000000"/>
          <w:sz w:val="39"/>
          <w:szCs w:val="39"/>
          <w:lang w:eastAsia="es-CO"/>
        </w:rPr>
        <w:t>El Papa convoca un sínodo de los obispos de la región amazónica</w:t>
      </w:r>
    </w:p>
    <w:p w:rsidR="006341F7" w:rsidRPr="00421DAE" w:rsidRDefault="006341F7" w:rsidP="006341F7">
      <w:pPr>
        <w:shd w:val="clear" w:color="auto" w:fill="FFFFFF"/>
        <w:spacing w:after="165" w:line="240" w:lineRule="auto"/>
        <w:rPr>
          <w:rFonts w:ascii="Arial" w:eastAsia="Times New Roman" w:hAnsi="Arial" w:cs="Arial"/>
          <w:color w:val="333333"/>
          <w:sz w:val="24"/>
          <w:szCs w:val="24"/>
          <w:lang w:eastAsia="es-CO"/>
        </w:rPr>
      </w:pPr>
      <w:r w:rsidRPr="00421DAE">
        <w:rPr>
          <w:rFonts w:ascii="Arial" w:eastAsia="Times New Roman" w:hAnsi="Arial" w:cs="Arial"/>
          <w:color w:val="333333"/>
          <w:sz w:val="24"/>
          <w:szCs w:val="24"/>
          <w:lang w:eastAsia="es-CO"/>
        </w:rPr>
        <w:t>El papa Francisco anunció ayer su decisión de convocar una Asamblea especial del sínodo de los obispos para la región pan amazónica, que tendrá lugar en Roma en octubre de 2019.</w:t>
      </w:r>
    </w:p>
    <w:p w:rsidR="006341F7" w:rsidRPr="00421DAE" w:rsidRDefault="006341F7" w:rsidP="006341F7">
      <w:pPr>
        <w:shd w:val="clear" w:color="auto" w:fill="FFFFFF"/>
        <w:spacing w:after="0" w:line="240" w:lineRule="auto"/>
        <w:rPr>
          <w:rFonts w:ascii="Arial" w:eastAsia="Times New Roman" w:hAnsi="Arial" w:cs="Arial"/>
          <w:color w:val="333333"/>
          <w:sz w:val="18"/>
          <w:szCs w:val="18"/>
          <w:lang w:eastAsia="es-CO"/>
        </w:rPr>
      </w:pPr>
      <w:hyperlink r:id="rId9" w:history="1">
        <w:r w:rsidRPr="00421DAE">
          <w:rPr>
            <w:rFonts w:ascii="Arial" w:eastAsia="Times New Roman" w:hAnsi="Arial" w:cs="Arial"/>
            <w:color w:val="333333"/>
            <w:sz w:val="18"/>
            <w:szCs w:val="18"/>
            <w:lang w:eastAsia="es-CO"/>
          </w:rPr>
          <w:t>16/10/17 9:43 AM</w:t>
        </w:r>
      </w:hyperlink>
    </w:p>
    <w:p w:rsidR="006341F7" w:rsidRPr="00421DAE" w:rsidRDefault="006341F7" w:rsidP="006341F7">
      <w:pPr>
        <w:shd w:val="clear" w:color="auto" w:fill="FFFFFF"/>
        <w:spacing w:after="165" w:line="240" w:lineRule="auto"/>
        <w:rPr>
          <w:rFonts w:ascii="Arial" w:eastAsia="Times New Roman" w:hAnsi="Arial" w:cs="Arial"/>
          <w:color w:val="333333"/>
          <w:sz w:val="24"/>
          <w:szCs w:val="24"/>
          <w:lang w:eastAsia="es-CO"/>
        </w:rPr>
      </w:pPr>
      <w:r w:rsidRPr="00421DAE">
        <w:rPr>
          <w:rFonts w:ascii="Arial" w:eastAsia="Times New Roman" w:hAnsi="Arial" w:cs="Arial"/>
          <w:color w:val="333333"/>
          <w:sz w:val="24"/>
          <w:szCs w:val="24"/>
          <w:lang w:eastAsia="es-CO"/>
        </w:rPr>
        <w:t>(</w:t>
      </w:r>
      <w:r w:rsidRPr="00421DAE">
        <w:rPr>
          <w:rFonts w:ascii="Arial" w:eastAsia="Times New Roman" w:hAnsi="Arial" w:cs="Arial"/>
          <w:b/>
          <w:bCs/>
          <w:color w:val="333333"/>
          <w:sz w:val="24"/>
          <w:szCs w:val="24"/>
          <w:lang w:eastAsia="es-CO"/>
        </w:rPr>
        <w:t>Zenit/InfoCatólica</w:t>
      </w:r>
      <w:r w:rsidRPr="00421DAE">
        <w:rPr>
          <w:rFonts w:ascii="Arial" w:eastAsia="Times New Roman" w:hAnsi="Arial" w:cs="Arial"/>
          <w:color w:val="333333"/>
          <w:sz w:val="24"/>
          <w:szCs w:val="24"/>
          <w:lang w:eastAsia="es-CO"/>
        </w:rPr>
        <w:t>) Palabras del Papa en el Angelus</w:t>
      </w:r>
    </w:p>
    <w:p w:rsidR="006341F7" w:rsidRPr="00421DAE" w:rsidRDefault="006341F7" w:rsidP="006341F7">
      <w:pPr>
        <w:shd w:val="clear" w:color="auto" w:fill="FFFFFF"/>
        <w:spacing w:after="150" w:line="240" w:lineRule="auto"/>
        <w:rPr>
          <w:rFonts w:ascii="Georgia" w:eastAsia="Times New Roman" w:hAnsi="Georgia" w:cs="Arial"/>
          <w:color w:val="333333"/>
          <w:sz w:val="23"/>
          <w:szCs w:val="23"/>
          <w:lang w:eastAsia="es-CO"/>
        </w:rPr>
      </w:pPr>
      <w:r w:rsidRPr="00421DAE">
        <w:rPr>
          <w:rFonts w:ascii="Georgia" w:eastAsia="Times New Roman" w:hAnsi="Georgia" w:cs="Arial"/>
          <w:color w:val="333333"/>
          <w:sz w:val="23"/>
          <w:szCs w:val="23"/>
          <w:lang w:eastAsia="es-CO"/>
        </w:rPr>
        <w:t>Queridos hermanos y hermanas,</w:t>
      </w:r>
      <w:r w:rsidRPr="00421DAE">
        <w:rPr>
          <w:rFonts w:ascii="Georgia" w:eastAsia="Times New Roman" w:hAnsi="Georgia" w:cs="Arial"/>
          <w:color w:val="333333"/>
          <w:sz w:val="23"/>
          <w:szCs w:val="23"/>
          <w:lang w:eastAsia="es-CO"/>
        </w:rPr>
        <w:br/>
        <w:t>Al término de esta celebración, os saludo cordialmente, a los que habéis venido de diversos países para rendir homenaje a los nuevos santos. Mi pensamiento respetuoso va de manera particular a las delegaciones oficiales de Brasil, Francia, Italia, Méjico, de la Orden de Malta y de España. Que el ejemplo y la intercesión de estos testigos luminosos del Evangelio nos acompañen en nuestro camino y nos ayuden a promover siempre relaciones fraternas y solidarias, para el bien de la Iglesia y de la sociedad.</w:t>
      </w:r>
    </w:p>
    <w:p w:rsidR="006341F7" w:rsidRPr="00421DAE" w:rsidRDefault="006341F7" w:rsidP="006341F7">
      <w:pPr>
        <w:shd w:val="clear" w:color="auto" w:fill="FFFFFF"/>
        <w:spacing w:after="150" w:line="240" w:lineRule="auto"/>
        <w:rPr>
          <w:rFonts w:ascii="Georgia" w:eastAsia="Times New Roman" w:hAnsi="Georgia" w:cs="Arial"/>
          <w:color w:val="333333"/>
          <w:sz w:val="23"/>
          <w:szCs w:val="23"/>
          <w:lang w:eastAsia="es-CO"/>
        </w:rPr>
      </w:pPr>
      <w:r w:rsidRPr="00421DAE">
        <w:rPr>
          <w:rFonts w:ascii="Georgia" w:eastAsia="Times New Roman" w:hAnsi="Georgia" w:cs="Arial"/>
          <w:color w:val="333333"/>
          <w:sz w:val="23"/>
          <w:szCs w:val="23"/>
          <w:lang w:eastAsia="es-CO"/>
        </w:rPr>
        <w:lastRenderedPageBreak/>
        <w:t>Acogiendo el deseo de algunas conferencias episcopales de América Latina, lo mismo que la voz de diversos pastores y fieles de otras partes del mundo,</w:t>
      </w:r>
      <w:r w:rsidRPr="00421DAE">
        <w:rPr>
          <w:rFonts w:ascii="Georgia" w:eastAsia="Times New Roman" w:hAnsi="Georgia" w:cs="Arial"/>
          <w:b/>
          <w:bCs/>
          <w:color w:val="333333"/>
          <w:sz w:val="23"/>
          <w:szCs w:val="23"/>
          <w:lang w:eastAsia="es-CO"/>
        </w:rPr>
        <w:t> he decidido convocar una Asamblea especial del sínodo de los obispos para la región pan amazónica, que tendrá lugar en Roma en octubre de 2019</w:t>
      </w:r>
      <w:r w:rsidRPr="00421DAE">
        <w:rPr>
          <w:rFonts w:ascii="Georgia" w:eastAsia="Times New Roman" w:hAnsi="Georgia" w:cs="Arial"/>
          <w:color w:val="333333"/>
          <w:sz w:val="23"/>
          <w:szCs w:val="23"/>
          <w:lang w:eastAsia="es-CO"/>
        </w:rPr>
        <w:t>. El objetivo principal de esta convocatoria es identificar nuevas formas de evangelización de esta parte del Pueblo de Dios, especialmente a los indígenas, a menudo olvidados y sin perspectivas de un futuro pacífico, en particular debido a la crisis de la selva amazónica, un pulmón de capital importancia para nuestro planeta. Que los nuevos santos intercedan por este acontecimiento eclesial, para que, en el respeto a la belleza de la creación, todos los pueblos de la tierra alaben a Dios, el Señor del universo, e iluminados por Él recorran los caminos de justicia y de paz.</w:t>
      </w:r>
    </w:p>
    <w:p w:rsidR="006341F7" w:rsidRPr="00421DAE" w:rsidRDefault="006341F7" w:rsidP="006341F7">
      <w:pPr>
        <w:shd w:val="clear" w:color="auto" w:fill="FFFFFF"/>
        <w:spacing w:after="150" w:line="240" w:lineRule="auto"/>
        <w:rPr>
          <w:rFonts w:ascii="Georgia" w:eastAsia="Times New Roman" w:hAnsi="Georgia" w:cs="Arial"/>
          <w:color w:val="333333"/>
          <w:sz w:val="23"/>
          <w:szCs w:val="23"/>
          <w:lang w:eastAsia="es-CO"/>
        </w:rPr>
      </w:pPr>
      <w:r w:rsidRPr="00421DAE">
        <w:rPr>
          <w:rFonts w:ascii="Georgia" w:eastAsia="Times New Roman" w:hAnsi="Georgia" w:cs="Arial"/>
          <w:color w:val="333333"/>
          <w:sz w:val="23"/>
          <w:szCs w:val="23"/>
          <w:lang w:eastAsia="es-CO"/>
        </w:rPr>
        <w:t>Recuerdo también que pasado mañana se celebrará la Jornada mundial del rechazo de la pobreza. </w:t>
      </w:r>
      <w:r w:rsidRPr="00421DAE">
        <w:rPr>
          <w:rFonts w:ascii="Georgia" w:eastAsia="Times New Roman" w:hAnsi="Georgia" w:cs="Arial"/>
          <w:b/>
          <w:bCs/>
          <w:color w:val="333333"/>
          <w:sz w:val="23"/>
          <w:szCs w:val="23"/>
          <w:lang w:eastAsia="es-CO"/>
        </w:rPr>
        <w:t>La pobreza no es una fatalidad: tiene causas que deben ser reconocidas y suprimidas</w:t>
      </w:r>
      <w:r w:rsidRPr="00421DAE">
        <w:rPr>
          <w:rFonts w:ascii="Georgia" w:eastAsia="Times New Roman" w:hAnsi="Georgia" w:cs="Arial"/>
          <w:color w:val="333333"/>
          <w:sz w:val="23"/>
          <w:szCs w:val="23"/>
          <w:lang w:eastAsia="es-CO"/>
        </w:rPr>
        <w:t> , para honrar la dignidad de muchos de nuestros hermanos y hermanas, siguiendo el ejemplo de los santos.</w:t>
      </w:r>
    </w:p>
    <w:p w:rsidR="006341F7" w:rsidRPr="00421DAE" w:rsidRDefault="006341F7" w:rsidP="006341F7">
      <w:pPr>
        <w:shd w:val="clear" w:color="auto" w:fill="FFFFFF"/>
        <w:spacing w:line="240" w:lineRule="auto"/>
        <w:rPr>
          <w:rFonts w:ascii="Georgia" w:eastAsia="Times New Roman" w:hAnsi="Georgia" w:cs="Arial"/>
          <w:color w:val="333333"/>
          <w:sz w:val="23"/>
          <w:szCs w:val="23"/>
          <w:lang w:eastAsia="es-CO"/>
        </w:rPr>
      </w:pPr>
      <w:r w:rsidRPr="00421DAE">
        <w:rPr>
          <w:rFonts w:ascii="Georgia" w:eastAsia="Times New Roman" w:hAnsi="Georgia" w:cs="Arial"/>
          <w:color w:val="333333"/>
          <w:sz w:val="23"/>
          <w:szCs w:val="23"/>
          <w:lang w:eastAsia="es-CO"/>
        </w:rPr>
        <w:t>Y ahora volvámonos hacia la Virgen María.</w:t>
      </w:r>
      <w:r w:rsidRPr="00421DAE">
        <w:rPr>
          <w:rFonts w:ascii="Georgia" w:eastAsia="Times New Roman" w:hAnsi="Georgia" w:cs="Arial"/>
          <w:color w:val="333333"/>
          <w:sz w:val="23"/>
          <w:szCs w:val="23"/>
          <w:lang w:eastAsia="es-CO"/>
        </w:rPr>
        <w:br/>
        <w:t>Angelus Domini……</w:t>
      </w:r>
    </w:p>
    <w:p w:rsidR="006341F7" w:rsidRPr="00421DAE" w:rsidRDefault="006341F7" w:rsidP="006341F7">
      <w:pPr>
        <w:shd w:val="clear" w:color="auto" w:fill="FFFFFF"/>
        <w:spacing w:after="165" w:line="240" w:lineRule="auto"/>
        <w:rPr>
          <w:rFonts w:ascii="Arial" w:eastAsia="Times New Roman" w:hAnsi="Arial" w:cs="Arial"/>
          <w:color w:val="333333"/>
          <w:sz w:val="24"/>
          <w:szCs w:val="24"/>
          <w:lang w:eastAsia="es-CO"/>
        </w:rPr>
      </w:pPr>
      <w:r w:rsidRPr="00421DAE">
        <w:rPr>
          <w:rFonts w:ascii="Arial" w:eastAsia="Times New Roman" w:hAnsi="Arial" w:cs="Arial"/>
          <w:color w:val="333333"/>
          <w:sz w:val="24"/>
          <w:szCs w:val="24"/>
          <w:lang w:eastAsia="es-CO"/>
        </w:rPr>
        <w:t> </w:t>
      </w:r>
    </w:p>
    <w:p w:rsidR="006341F7" w:rsidRPr="00737940" w:rsidRDefault="006341F7" w:rsidP="006341F7">
      <w:pPr>
        <w:spacing w:after="0" w:line="240" w:lineRule="auto"/>
        <w:rPr>
          <w:rFonts w:ascii="Arial" w:eastAsia="Times New Roman" w:hAnsi="Arial" w:cs="Arial"/>
          <w:caps/>
          <w:color w:val="052852"/>
          <w:sz w:val="30"/>
          <w:szCs w:val="30"/>
          <w:lang w:eastAsia="es-CO"/>
        </w:rPr>
      </w:pPr>
      <w:r w:rsidRPr="00737940">
        <w:rPr>
          <w:rFonts w:ascii="Arial" w:eastAsia="Times New Roman" w:hAnsi="Arial" w:cs="Arial"/>
          <w:caps/>
          <w:color w:val="052852"/>
          <w:sz w:val="30"/>
          <w:szCs w:val="30"/>
          <w:lang w:eastAsia="es-CO"/>
        </w:rPr>
        <w:t>ESTÁ ATRAVESANDO "UN TIEMPO DE CAMBIO PROFUNDO, DOLOROSO Y PERMANENTE"</w:t>
      </w:r>
    </w:p>
    <w:p w:rsidR="006341F7" w:rsidRPr="00737940" w:rsidRDefault="006341F7" w:rsidP="006341F7">
      <w:pPr>
        <w:spacing w:before="30" w:after="150" w:line="288" w:lineRule="atLeast"/>
        <w:outlineLvl w:val="0"/>
        <w:rPr>
          <w:rFonts w:ascii="Arial" w:eastAsia="Times New Roman" w:hAnsi="Arial" w:cs="Arial"/>
          <w:color w:val="052852"/>
          <w:kern w:val="36"/>
          <w:sz w:val="72"/>
          <w:szCs w:val="72"/>
          <w:lang w:eastAsia="es-CO"/>
        </w:rPr>
      </w:pPr>
      <w:r w:rsidRPr="00737940">
        <w:rPr>
          <w:rFonts w:ascii="Arial" w:eastAsia="Times New Roman" w:hAnsi="Arial" w:cs="Arial"/>
          <w:color w:val="052852"/>
          <w:kern w:val="36"/>
          <w:sz w:val="72"/>
          <w:szCs w:val="72"/>
          <w:lang w:eastAsia="es-CO"/>
        </w:rPr>
        <w:t>La Iglesia australiana reconoce que está pasando por "la peor crisis de su historia"</w:t>
      </w:r>
    </w:p>
    <w:p w:rsidR="006341F7" w:rsidRPr="00737940" w:rsidRDefault="006341F7" w:rsidP="006341F7">
      <w:pPr>
        <w:spacing w:after="150" w:line="240" w:lineRule="auto"/>
        <w:rPr>
          <w:rFonts w:ascii="Arial" w:eastAsia="Times New Roman" w:hAnsi="Arial" w:cs="Arial"/>
          <w:color w:val="0F72E8"/>
          <w:sz w:val="36"/>
          <w:szCs w:val="36"/>
          <w:lang w:eastAsia="es-CO"/>
        </w:rPr>
      </w:pPr>
      <w:r w:rsidRPr="00737940">
        <w:rPr>
          <w:rFonts w:ascii="Arial" w:eastAsia="Times New Roman" w:hAnsi="Arial" w:cs="Arial"/>
          <w:color w:val="0F72E8"/>
          <w:sz w:val="36"/>
          <w:szCs w:val="36"/>
          <w:lang w:eastAsia="es-CO"/>
        </w:rPr>
        <w:t>Los abusos y la desconfianza de los laicos "le han roto el corazón", lamenta el arzobispo de Brisbane</w:t>
      </w:r>
    </w:p>
    <w:p w:rsidR="006341F7" w:rsidRPr="00737940" w:rsidRDefault="006341F7" w:rsidP="006341F7">
      <w:pPr>
        <w:spacing w:after="0" w:line="360" w:lineRule="atLeast"/>
        <w:rPr>
          <w:rFonts w:ascii="Times New Roman" w:eastAsia="Times New Roman" w:hAnsi="Times New Roman" w:cs="Times New Roman"/>
          <w:color w:val="052852"/>
          <w:sz w:val="18"/>
          <w:szCs w:val="18"/>
          <w:lang w:eastAsia="es-CO"/>
        </w:rPr>
      </w:pPr>
      <w:r w:rsidRPr="00737940">
        <w:rPr>
          <w:rFonts w:ascii="Times New Roman" w:eastAsia="Times New Roman" w:hAnsi="Times New Roman" w:cs="Times New Roman"/>
          <w:color w:val="052852"/>
          <w:sz w:val="18"/>
          <w:szCs w:val="18"/>
          <w:lang w:eastAsia="es-CO"/>
        </w:rPr>
        <w:t>Cameron Doody, 11 de octubre de 2017 a las 17:43</w:t>
      </w:r>
    </w:p>
    <w:p w:rsidR="006341F7" w:rsidRPr="00737940" w:rsidRDefault="006341F7" w:rsidP="006341F7">
      <w:pPr>
        <w:spacing w:after="0" w:line="360" w:lineRule="atLeast"/>
        <w:rPr>
          <w:rFonts w:ascii="Times New Roman" w:eastAsia="Times New Roman" w:hAnsi="Times New Roman" w:cs="Times New Roman"/>
          <w:sz w:val="24"/>
          <w:szCs w:val="24"/>
          <w:lang w:eastAsia="es-CO"/>
        </w:rPr>
      </w:pPr>
      <w:r w:rsidRPr="00737940">
        <w:rPr>
          <w:rFonts w:ascii="Times New Roman" w:eastAsia="Times New Roman" w:hAnsi="Times New Roman" w:cs="Times New Roman"/>
          <w:sz w:val="24"/>
          <w:szCs w:val="24"/>
          <w:lang w:eastAsia="es-CO"/>
        </w:rPr>
        <w:t>  </w:t>
      </w:r>
    </w:p>
    <w:p w:rsidR="006341F7" w:rsidRPr="00737940" w:rsidRDefault="006341F7" w:rsidP="006341F7">
      <w:pPr>
        <w:spacing w:after="0" w:line="240" w:lineRule="auto"/>
        <w:rPr>
          <w:rFonts w:ascii="Helvetica" w:eastAsia="Times New Roman" w:hAnsi="Helvetica" w:cs="Helvetica"/>
          <w:color w:val="333333"/>
          <w:sz w:val="21"/>
          <w:szCs w:val="21"/>
          <w:lang w:eastAsia="es-CO"/>
        </w:rPr>
      </w:pPr>
      <w:r w:rsidRPr="00737940">
        <w:rPr>
          <w:rFonts w:ascii="Helvetica" w:eastAsia="Times New Roman" w:hAnsi="Helvetica" w:cs="Helvetica"/>
          <w:noProof/>
          <w:color w:val="333333"/>
          <w:sz w:val="21"/>
          <w:szCs w:val="21"/>
          <w:lang w:eastAsia="es-CO"/>
        </w:rPr>
        <w:lastRenderedPageBreak/>
        <w:drawing>
          <wp:inline distT="0" distB="0" distL="0" distR="0" wp14:anchorId="53D9A9FA" wp14:editId="605AB535">
            <wp:extent cx="5334000" cy="2667000"/>
            <wp:effectExtent l="0" t="0" r="0" b="0"/>
            <wp:docPr id="3" name="Imagen 3" descr="http://www.periodistadigital.com/imagenes/2017/10/10/lazosballarat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0/10/lazosballarat_560x28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341F7" w:rsidRPr="00737940" w:rsidRDefault="006341F7" w:rsidP="006341F7">
      <w:pPr>
        <w:shd w:val="clear" w:color="auto" w:fill="FFFFFF"/>
        <w:spacing w:line="540" w:lineRule="atLeast"/>
        <w:rPr>
          <w:rFonts w:ascii="Arial" w:eastAsia="Times New Roman" w:hAnsi="Arial" w:cs="Arial"/>
          <w:color w:val="8F8F8F"/>
          <w:sz w:val="18"/>
          <w:szCs w:val="18"/>
          <w:lang w:eastAsia="es-CO"/>
        </w:rPr>
      </w:pPr>
      <w:r w:rsidRPr="00737940">
        <w:rPr>
          <w:rFonts w:ascii="Arial" w:eastAsia="Times New Roman" w:hAnsi="Arial" w:cs="Arial"/>
          <w:color w:val="8F8F8F"/>
          <w:sz w:val="18"/>
          <w:szCs w:val="18"/>
          <w:lang w:eastAsia="es-CO"/>
        </w:rPr>
        <w:t>Lazos en honor a las víctimas de abusos en la Iglesia en Ballarat, AustraliaRD</w:t>
      </w:r>
    </w:p>
    <w:p w:rsidR="006341F7" w:rsidRPr="00737940" w:rsidRDefault="006341F7" w:rsidP="006341F7">
      <w:pPr>
        <w:shd w:val="clear" w:color="auto" w:fill="FFFFFF"/>
        <w:spacing w:line="360" w:lineRule="atLeast"/>
        <w:jc w:val="both"/>
        <w:rPr>
          <w:rFonts w:ascii="Arial" w:eastAsia="Times New Roman" w:hAnsi="Arial" w:cs="Arial"/>
          <w:caps/>
          <w:color w:val="333333"/>
          <w:sz w:val="17"/>
          <w:szCs w:val="17"/>
          <w:lang w:eastAsia="es-CO"/>
        </w:rPr>
      </w:pPr>
      <w:hyperlink r:id="rId11" w:history="1">
        <w:r w:rsidRPr="00737940">
          <w:rPr>
            <w:rFonts w:ascii="Arial" w:eastAsia="Times New Roman" w:hAnsi="Arial" w:cs="Arial"/>
            <w:caps/>
            <w:color w:val="0F72E8"/>
            <w:sz w:val="17"/>
            <w:szCs w:val="17"/>
            <w:u w:val="single"/>
            <w:lang w:eastAsia="es-CO"/>
          </w:rPr>
          <w:t>RELIGIÓN</w:t>
        </w:r>
      </w:hyperlink>
      <w:r w:rsidRPr="00737940">
        <w:rPr>
          <w:rFonts w:ascii="Arial" w:eastAsia="Times New Roman" w:hAnsi="Arial" w:cs="Arial"/>
          <w:caps/>
          <w:color w:val="333333"/>
          <w:sz w:val="17"/>
          <w:szCs w:val="17"/>
          <w:lang w:eastAsia="es-CO"/>
        </w:rPr>
        <w:t> | </w:t>
      </w:r>
      <w:hyperlink r:id="rId12" w:history="1">
        <w:r w:rsidRPr="00737940">
          <w:rPr>
            <w:rFonts w:ascii="Arial" w:eastAsia="Times New Roman" w:hAnsi="Arial" w:cs="Arial"/>
            <w:caps/>
            <w:color w:val="0F72E8"/>
            <w:sz w:val="17"/>
            <w:szCs w:val="17"/>
            <w:u w:val="single"/>
            <w:lang w:eastAsia="es-CO"/>
          </w:rPr>
          <w:t>MUNDO</w:t>
        </w:r>
      </w:hyperlink>
    </w:p>
    <w:p w:rsidR="006341F7" w:rsidRPr="00737940" w:rsidRDefault="006341F7" w:rsidP="006341F7">
      <w:pPr>
        <w:shd w:val="clear" w:color="auto" w:fill="FFFFFF"/>
        <w:spacing w:line="240" w:lineRule="auto"/>
        <w:jc w:val="right"/>
        <w:rPr>
          <w:rFonts w:ascii="Arial" w:eastAsia="Times New Roman" w:hAnsi="Arial" w:cs="Arial"/>
          <w:color w:val="052852"/>
          <w:sz w:val="36"/>
          <w:szCs w:val="36"/>
          <w:lang w:eastAsia="es-CO"/>
        </w:rPr>
      </w:pPr>
      <w:r w:rsidRPr="00737940">
        <w:rPr>
          <w:rFonts w:ascii="Arial" w:eastAsia="Times New Roman" w:hAnsi="Arial" w:cs="Arial"/>
          <w:color w:val="052852"/>
          <w:sz w:val="36"/>
          <w:szCs w:val="36"/>
          <w:lang w:eastAsia="es-CO"/>
        </w:rPr>
        <w:t>Los obispos ahora tenemos mucho menos peso y se nos trata de forma más o menos benigna como una parte interesada que hay que controlar que como líderes a los que hay que escuchar</w:t>
      </w:r>
    </w:p>
    <w:p w:rsidR="006341F7" w:rsidRPr="00737940" w:rsidRDefault="006341F7" w:rsidP="006341F7">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3" w:tooltip="Los obispos australianos abordan en Roma la desconfianza de los laicos" w:history="1">
        <w:r w:rsidRPr="00737940">
          <w:rPr>
            <w:rFonts w:ascii="Arial" w:eastAsia="Times New Roman" w:hAnsi="Arial" w:cs="Arial"/>
            <w:color w:val="0F72E8"/>
            <w:sz w:val="27"/>
            <w:szCs w:val="27"/>
            <w:u w:val="single"/>
            <w:lang w:eastAsia="es-CO"/>
          </w:rPr>
          <w:t>Los obispos australianos abordan en Roma la desconfianza de los laicos</w:t>
        </w:r>
      </w:hyperlink>
    </w:p>
    <w:p w:rsidR="006341F7" w:rsidRPr="00737940" w:rsidRDefault="006341F7" w:rsidP="006341F7">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4" w:tooltip="El voto sobre el matrimonio homosexual en Australia, 'oportunidad de escuchar al Espíritu'" w:history="1">
        <w:r w:rsidRPr="00737940">
          <w:rPr>
            <w:rFonts w:ascii="Arial" w:eastAsia="Times New Roman" w:hAnsi="Arial" w:cs="Arial"/>
            <w:color w:val="0F72E8"/>
            <w:sz w:val="27"/>
            <w:szCs w:val="27"/>
            <w:u w:val="single"/>
            <w:lang w:eastAsia="es-CO"/>
          </w:rPr>
          <w:t>El voto sobre el matrimonio homosexual en Australia, "oportunidad de escuchar al Espíritu"</w:t>
        </w:r>
      </w:hyperlink>
    </w:p>
    <w:p w:rsidR="006341F7" w:rsidRPr="00737940" w:rsidRDefault="006341F7" w:rsidP="006341F7">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15" w:tooltip="Expertos denuncian que Pell obstaculizó medidas clave para atajar los abusos a menores en Australia" w:history="1">
        <w:r w:rsidRPr="00737940">
          <w:rPr>
            <w:rFonts w:ascii="Arial" w:eastAsia="Times New Roman" w:hAnsi="Arial" w:cs="Arial"/>
            <w:color w:val="0F72E8"/>
            <w:sz w:val="27"/>
            <w:szCs w:val="27"/>
            <w:u w:val="single"/>
            <w:lang w:eastAsia="es-CO"/>
          </w:rPr>
          <w:t>Expertos denuncian que Pell obstaculizó medidas clave para atajar los abusos a menores en Australia</w:t>
        </w:r>
      </w:hyperlink>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w:t>
      </w:r>
      <w:r w:rsidRPr="00737940">
        <w:rPr>
          <w:rFonts w:ascii="Arial" w:eastAsia="Times New Roman" w:hAnsi="Arial" w:cs="Arial"/>
          <w:i/>
          <w:iCs/>
          <w:color w:val="333333"/>
          <w:sz w:val="27"/>
          <w:szCs w:val="27"/>
          <w:lang w:eastAsia="es-CO"/>
        </w:rPr>
        <w:t>Cameron Doody</w:t>
      </w:r>
      <w:r w:rsidRPr="00737940">
        <w:rPr>
          <w:rFonts w:ascii="Arial" w:eastAsia="Times New Roman" w:hAnsi="Arial" w:cs="Arial"/>
          <w:color w:val="333333"/>
          <w:sz w:val="27"/>
          <w:szCs w:val="27"/>
          <w:lang w:eastAsia="es-CO"/>
        </w:rPr>
        <w:t>).- El juicio contra el cardenal George Pell por supuestos abusos a menores. La Real Comisión anti-pederastia, cuyo informe -previsto para diciembre- revelará el verdadero alcance de las negligencias y encubrimientos de los obispos. Son algunos de los factores que se han convergido en </w:t>
      </w:r>
      <w:r w:rsidRPr="00737940">
        <w:rPr>
          <w:rFonts w:ascii="Arial" w:eastAsia="Times New Roman" w:hAnsi="Arial" w:cs="Arial"/>
          <w:b/>
          <w:bCs/>
          <w:color w:val="333333"/>
          <w:sz w:val="27"/>
          <w:szCs w:val="27"/>
          <w:lang w:eastAsia="es-CO"/>
        </w:rPr>
        <w:t>"la peor crisis" a la que se enfrenta la Iglesia australiana en toda su historia</w:t>
      </w:r>
      <w:r w:rsidRPr="00737940">
        <w:rPr>
          <w:rFonts w:ascii="Arial" w:eastAsia="Times New Roman" w:hAnsi="Arial" w:cs="Arial"/>
          <w:color w:val="333333"/>
          <w:sz w:val="27"/>
          <w:szCs w:val="27"/>
          <w:lang w:eastAsia="es-CO"/>
        </w:rPr>
        <w:t>, según ha advertido el arzobispo de Brisbane y vicepresidente del episcopado nacional, Mark Coleridge.</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lastRenderedPageBreak/>
        <w:t>Coleridga, quien fue llamado a consulta a Roma la pasada semana para abordar la situación de la Iglesia del país, concedió una </w:t>
      </w:r>
      <w:hyperlink r:id="rId16" w:tgtFrame="_blank" w:history="1">
        <w:r w:rsidRPr="00737940">
          <w:rPr>
            <w:rFonts w:ascii="Arial" w:eastAsia="Times New Roman" w:hAnsi="Arial" w:cs="Arial"/>
            <w:color w:val="0F72E8"/>
            <w:sz w:val="27"/>
            <w:szCs w:val="27"/>
            <w:u w:val="single"/>
            <w:lang w:eastAsia="es-CO"/>
          </w:rPr>
          <w:t>entrevista</w:t>
        </w:r>
      </w:hyperlink>
      <w:r w:rsidRPr="00737940">
        <w:rPr>
          <w:rFonts w:ascii="Arial" w:eastAsia="Times New Roman" w:hAnsi="Arial" w:cs="Arial"/>
          <w:color w:val="333333"/>
          <w:sz w:val="27"/>
          <w:szCs w:val="27"/>
          <w:lang w:eastAsia="es-CO"/>
        </w:rPr>
        <w:t> al </w:t>
      </w:r>
      <w:r w:rsidRPr="00737940">
        <w:rPr>
          <w:rFonts w:ascii="Arial" w:eastAsia="Times New Roman" w:hAnsi="Arial" w:cs="Arial"/>
          <w:i/>
          <w:iCs/>
          <w:color w:val="333333"/>
          <w:sz w:val="27"/>
          <w:szCs w:val="27"/>
          <w:lang w:eastAsia="es-CO"/>
        </w:rPr>
        <w:t>Tablet</w:t>
      </w:r>
      <w:r w:rsidRPr="00737940">
        <w:rPr>
          <w:rFonts w:ascii="Arial" w:eastAsia="Times New Roman" w:hAnsi="Arial" w:cs="Arial"/>
          <w:color w:val="333333"/>
          <w:sz w:val="27"/>
          <w:szCs w:val="27"/>
          <w:lang w:eastAsia="es-CO"/>
        </w:rPr>
        <w:t> en la que se confesó que la Iglesia en Australia "ha sido sacudida hasta lo más profundo". El escándalo de las agresiones a menores </w:t>
      </w:r>
      <w:r w:rsidRPr="00737940">
        <w:rPr>
          <w:rFonts w:ascii="Arial" w:eastAsia="Times New Roman" w:hAnsi="Arial" w:cs="Arial"/>
          <w:b/>
          <w:bCs/>
          <w:color w:val="333333"/>
          <w:sz w:val="27"/>
          <w:szCs w:val="27"/>
          <w:lang w:eastAsia="es-CO"/>
        </w:rPr>
        <w:t>"le he roto el corazón"</w:t>
      </w:r>
      <w:r w:rsidRPr="00737940">
        <w:rPr>
          <w:rFonts w:ascii="Arial" w:eastAsia="Times New Roman" w:hAnsi="Arial" w:cs="Arial"/>
          <w:color w:val="333333"/>
          <w:sz w:val="27"/>
          <w:szCs w:val="27"/>
          <w:lang w:eastAsia="es-CO"/>
        </w:rPr>
        <w:t>, añadió el prelado, evocando las estadísticas que manejan el tribunal especial del Gobierno australiano que </w:t>
      </w:r>
      <w:hyperlink r:id="rId17" w:tgtFrame="_blank" w:history="1">
        <w:r w:rsidRPr="00737940">
          <w:rPr>
            <w:rFonts w:ascii="Arial" w:eastAsia="Times New Roman" w:hAnsi="Arial" w:cs="Arial"/>
            <w:color w:val="0F72E8"/>
            <w:sz w:val="27"/>
            <w:szCs w:val="27"/>
            <w:u w:val="single"/>
            <w:lang w:eastAsia="es-CO"/>
          </w:rPr>
          <w:t>evidencian</w:t>
        </w:r>
      </w:hyperlink>
      <w:r w:rsidRPr="00737940">
        <w:rPr>
          <w:rFonts w:ascii="Arial" w:eastAsia="Times New Roman" w:hAnsi="Arial" w:cs="Arial"/>
          <w:color w:val="333333"/>
          <w:sz w:val="27"/>
          <w:szCs w:val="27"/>
          <w:lang w:eastAsia="es-CO"/>
        </w:rPr>
        <w:t> que entre 1980 y 2015 </w:t>
      </w:r>
      <w:r w:rsidRPr="00737940">
        <w:rPr>
          <w:rFonts w:ascii="Arial" w:eastAsia="Times New Roman" w:hAnsi="Arial" w:cs="Arial"/>
          <w:b/>
          <w:bCs/>
          <w:color w:val="333333"/>
          <w:sz w:val="27"/>
          <w:szCs w:val="27"/>
          <w:lang w:eastAsia="es-CO"/>
        </w:rPr>
        <w:t>el 7% del clero de entonces perpetró este tipo de crímenes contra niños</w:t>
      </w:r>
      <w:r w:rsidRPr="00737940">
        <w:rPr>
          <w:rFonts w:ascii="Arial" w:eastAsia="Times New Roman" w:hAnsi="Arial" w:cs="Arial"/>
          <w:color w:val="333333"/>
          <w:sz w:val="27"/>
          <w:szCs w:val="27"/>
          <w:lang w:eastAsia="es-CO"/>
        </w:rPr>
        <w:t>.</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Consecuencia de esta vergüenza nacional de los abusos a menores en la Iglesia, reconoció el arzobispo Coleridge, ha sido que "nuestra influencia social y política ha disminuido mucho, así como nuestra autoridad moral". Y eso "en un momento en el que Australia está debatiendo cuestiones de una gran importancia social" -como el reconocimiento legal de los matrimonios homosexuales- "y los obispos ahora tenemos mucho menos peso y se nos trata de forma más o menos benigna como una parte interesada que hay que controlar que como líderes a los que hay que escuchar".</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Por todo esto, concluyó el arzobispo de Brisbane, "está claro que la Iglesia está atravesando </w:t>
      </w:r>
      <w:r w:rsidRPr="00737940">
        <w:rPr>
          <w:rFonts w:ascii="Arial" w:eastAsia="Times New Roman" w:hAnsi="Arial" w:cs="Arial"/>
          <w:b/>
          <w:bCs/>
          <w:color w:val="333333"/>
          <w:sz w:val="27"/>
          <w:szCs w:val="27"/>
          <w:lang w:eastAsia="es-CO"/>
        </w:rPr>
        <w:t>un tiempo de cambio profundo, doloroso y permanente</w:t>
      </w:r>
      <w:r w:rsidRPr="00737940">
        <w:rPr>
          <w:rFonts w:ascii="Arial" w:eastAsia="Times New Roman" w:hAnsi="Arial" w:cs="Arial"/>
          <w:color w:val="333333"/>
          <w:sz w:val="27"/>
          <w:szCs w:val="27"/>
          <w:lang w:eastAsia="es-CO"/>
        </w:rPr>
        <w:t>". Pero no todo está perdido, matizó, ya que "aún así hay en esto una </w:t>
      </w:r>
      <w:r w:rsidRPr="00737940">
        <w:rPr>
          <w:rFonts w:ascii="Arial" w:eastAsia="Times New Roman" w:hAnsi="Arial" w:cs="Arial"/>
          <w:b/>
          <w:bCs/>
          <w:color w:val="333333"/>
          <w:sz w:val="27"/>
          <w:szCs w:val="27"/>
          <w:lang w:eastAsia="es-CO"/>
        </w:rPr>
        <w:t>gracia punzante</w:t>
      </w:r>
      <w:r w:rsidRPr="00737940">
        <w:rPr>
          <w:rFonts w:ascii="Arial" w:eastAsia="Times New Roman" w:hAnsi="Arial" w:cs="Arial"/>
          <w:color w:val="333333"/>
          <w:sz w:val="27"/>
          <w:szCs w:val="27"/>
          <w:lang w:eastAsia="es-CO"/>
        </w:rPr>
        <w:t>, convocando a la Iglesia a una mayor autenticidad". Tanto la llamada de la Real Comisión de limpiar la Iglesia a fondo como el reto del Papa Francisco de ser Iglesia en salida, dijo Coleridge, les parece ser a los obispos australianos "uno de las alteraciones extrañas del Espíritu Santo".</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noProof/>
          <w:color w:val="333333"/>
          <w:sz w:val="27"/>
          <w:szCs w:val="27"/>
          <w:lang w:eastAsia="es-CO"/>
        </w:rPr>
        <w:lastRenderedPageBreak/>
        <w:drawing>
          <wp:inline distT="0" distB="0" distL="0" distR="0" wp14:anchorId="12E6A6D8" wp14:editId="359B7839">
            <wp:extent cx="5334000" cy="3000375"/>
            <wp:effectExtent l="0" t="0" r="0" b="9525"/>
            <wp:docPr id="4" name="Imagen 4" descr="http://www.periodistadigital.com/imagenes/2017/10/10/el-arzobispo-de-brisbane-mark-cole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0/10/el-arzobispo-de-brisbane-mark-coleridg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b/>
          <w:bCs/>
          <w:i/>
          <w:iCs/>
          <w:color w:val="333333"/>
          <w:sz w:val="27"/>
          <w:szCs w:val="27"/>
          <w:lang w:eastAsia="es-CO"/>
        </w:rPr>
        <w:t>La magistrada acuerda la comparecencia de cincuenta testigos de la acusación en el caso Pell</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Mientras tanto, en el caso del cardenal Pell, </w:t>
      </w:r>
      <w:r w:rsidRPr="00737940">
        <w:rPr>
          <w:rFonts w:ascii="Arial" w:eastAsia="Times New Roman" w:hAnsi="Arial" w:cs="Arial"/>
          <w:b/>
          <w:bCs/>
          <w:color w:val="333333"/>
          <w:sz w:val="27"/>
          <w:szCs w:val="27"/>
          <w:lang w:eastAsia="es-CO"/>
        </w:rPr>
        <w:t>se espera que comparezcan hasta cincuenta testigos</w:t>
      </w:r>
      <w:r w:rsidRPr="00737940">
        <w:rPr>
          <w:rFonts w:ascii="Arial" w:eastAsia="Times New Roman" w:hAnsi="Arial" w:cs="Arial"/>
          <w:color w:val="333333"/>
          <w:sz w:val="27"/>
          <w:szCs w:val="27"/>
          <w:lang w:eastAsia="es-CO"/>
        </w:rPr>
        <w:t> cuando la audiencia preliminar contra el Prefecto de la Secretaría de Economía de la Santa Sede por supuestos abusos sexuales eche a andar el 5 de marzo próximo.</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En el curso de una vista de veinte minutos que tuvo lugar la semana pasada en Melbourne, en la que se fijó la fecha en la que se decidirá si hay pruebas suficientes como para juzgar finalmente al purpurado, la magistrada acordó la comparecencia de un medio centenar de testigos de la acusación, cuyo informe, visto en la cita y según fuentes judiciales, </w:t>
      </w:r>
      <w:r w:rsidRPr="00737940">
        <w:rPr>
          <w:rFonts w:ascii="Arial" w:eastAsia="Times New Roman" w:hAnsi="Arial" w:cs="Arial"/>
          <w:b/>
          <w:bCs/>
          <w:color w:val="333333"/>
          <w:sz w:val="27"/>
          <w:szCs w:val="27"/>
          <w:lang w:eastAsia="es-CO"/>
        </w:rPr>
        <w:t>era "voluminoso"</w:t>
      </w:r>
      <w:r w:rsidRPr="00737940">
        <w:rPr>
          <w:rFonts w:ascii="Arial" w:eastAsia="Times New Roman" w:hAnsi="Arial" w:cs="Arial"/>
          <w:color w:val="333333"/>
          <w:sz w:val="27"/>
          <w:szCs w:val="27"/>
          <w:lang w:eastAsia="es-CO"/>
        </w:rPr>
        <w:t>. 45 de esos testigos serán interrogados también por la defensa, que intentará demostrar, según el abogado del cardenal Pell, que las acusaciones contra el religioso </w:t>
      </w:r>
      <w:r w:rsidRPr="00737940">
        <w:rPr>
          <w:rFonts w:ascii="Arial" w:eastAsia="Times New Roman" w:hAnsi="Arial" w:cs="Arial"/>
          <w:b/>
          <w:bCs/>
          <w:color w:val="333333"/>
          <w:sz w:val="27"/>
          <w:szCs w:val="27"/>
          <w:lang w:eastAsia="es-CO"/>
        </w:rPr>
        <w:t>"son imposibles"</w:t>
      </w:r>
      <w:r w:rsidRPr="00737940">
        <w:rPr>
          <w:rFonts w:ascii="Arial" w:eastAsia="Times New Roman" w:hAnsi="Arial" w:cs="Arial"/>
          <w:color w:val="333333"/>
          <w:sz w:val="27"/>
          <w:szCs w:val="27"/>
          <w:lang w:eastAsia="es-CO"/>
        </w:rPr>
        <w:t>.</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color w:val="333333"/>
          <w:sz w:val="27"/>
          <w:szCs w:val="27"/>
          <w:lang w:eastAsia="es-CO"/>
        </w:rPr>
        <w:t>Aunque la policía del estado australiano imputó a Pell este pasado mes de junio cargos que involucran a "demandantes múltiples", la naturaleza exacta de esos supuestos delitos aún no ha sido revelada. </w:t>
      </w:r>
      <w:r w:rsidRPr="00737940">
        <w:rPr>
          <w:rFonts w:ascii="Arial" w:eastAsia="Times New Roman" w:hAnsi="Arial" w:cs="Arial"/>
          <w:b/>
          <w:bCs/>
          <w:color w:val="333333"/>
          <w:sz w:val="27"/>
          <w:szCs w:val="27"/>
          <w:lang w:eastAsia="es-CO"/>
        </w:rPr>
        <w:t>El cardenal y su equipo legal sigue insistiendo en su inocencia</w:t>
      </w:r>
      <w:r w:rsidRPr="00737940">
        <w:rPr>
          <w:rFonts w:ascii="Arial" w:eastAsia="Times New Roman" w:hAnsi="Arial" w:cs="Arial"/>
          <w:color w:val="333333"/>
          <w:sz w:val="27"/>
          <w:szCs w:val="27"/>
          <w:lang w:eastAsia="es-CO"/>
        </w:rPr>
        <w:t>, hasta el punto en el que, en la vista de la semana pasada y aunque no fuera necesario, el abogado avanzó que en marzo Pell se declarará "no culpable".</w:t>
      </w:r>
    </w:p>
    <w:p w:rsidR="006341F7" w:rsidRPr="00737940" w:rsidRDefault="006341F7" w:rsidP="006341F7">
      <w:pPr>
        <w:shd w:val="clear" w:color="auto" w:fill="FFFFFF"/>
        <w:spacing w:after="450" w:line="240" w:lineRule="auto"/>
        <w:jc w:val="both"/>
        <w:rPr>
          <w:rFonts w:ascii="Arial" w:eastAsia="Times New Roman" w:hAnsi="Arial" w:cs="Arial"/>
          <w:color w:val="333333"/>
          <w:sz w:val="27"/>
          <w:szCs w:val="27"/>
          <w:lang w:eastAsia="es-CO"/>
        </w:rPr>
      </w:pPr>
      <w:r w:rsidRPr="00737940">
        <w:rPr>
          <w:rFonts w:ascii="Arial" w:eastAsia="Times New Roman" w:hAnsi="Arial" w:cs="Arial"/>
          <w:noProof/>
          <w:color w:val="333333"/>
          <w:sz w:val="27"/>
          <w:szCs w:val="27"/>
          <w:lang w:eastAsia="es-CO"/>
        </w:rPr>
        <w:lastRenderedPageBreak/>
        <w:drawing>
          <wp:inline distT="0" distB="0" distL="0" distR="0" wp14:anchorId="285FEEB0" wp14:editId="03549076">
            <wp:extent cx="5334000" cy="3552825"/>
            <wp:effectExtent l="0" t="0" r="0" b="9525"/>
            <wp:docPr id="5" name="Imagen 5" descr="http://www.periodistadigital.com/imagenes/2017/10/10/pell-rumbo-a-los-tribunales-en-melbou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0/10/pell-rumbo-a-los-tribunales-en-melbourn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p>
    <w:p w:rsidR="006341F7" w:rsidRPr="00737940" w:rsidRDefault="006341F7" w:rsidP="006341F7">
      <w:pPr>
        <w:pBdr>
          <w:bottom w:val="single" w:sz="6" w:space="1" w:color="auto"/>
        </w:pBdr>
        <w:spacing w:after="0" w:line="240" w:lineRule="auto"/>
        <w:jc w:val="center"/>
        <w:rPr>
          <w:rFonts w:ascii="Arial" w:eastAsia="Times New Roman" w:hAnsi="Arial" w:cs="Arial"/>
          <w:vanish/>
          <w:sz w:val="16"/>
          <w:szCs w:val="16"/>
          <w:lang w:eastAsia="es-CO"/>
        </w:rPr>
      </w:pPr>
      <w:r w:rsidRPr="00737940">
        <w:rPr>
          <w:rFonts w:ascii="Arial" w:eastAsia="Times New Roman" w:hAnsi="Arial" w:cs="Arial"/>
          <w:vanish/>
          <w:sz w:val="16"/>
          <w:szCs w:val="16"/>
          <w:lang w:eastAsia="es-CO"/>
        </w:rPr>
        <w:t>Principio del formulario</w:t>
      </w:r>
    </w:p>
    <w:p w:rsidR="006341F7" w:rsidRPr="00737940" w:rsidRDefault="006341F7" w:rsidP="006341F7">
      <w:pPr>
        <w:pBdr>
          <w:top w:val="single" w:sz="6" w:space="1" w:color="auto"/>
        </w:pBdr>
        <w:spacing w:after="0" w:line="240" w:lineRule="auto"/>
        <w:jc w:val="center"/>
        <w:rPr>
          <w:rFonts w:ascii="Arial" w:eastAsia="Times New Roman" w:hAnsi="Arial" w:cs="Arial"/>
          <w:vanish/>
          <w:sz w:val="16"/>
          <w:szCs w:val="16"/>
          <w:lang w:eastAsia="es-CO"/>
        </w:rPr>
      </w:pPr>
      <w:r w:rsidRPr="00737940">
        <w:rPr>
          <w:rFonts w:ascii="Arial" w:eastAsia="Times New Roman" w:hAnsi="Arial" w:cs="Arial"/>
          <w:vanish/>
          <w:sz w:val="16"/>
          <w:szCs w:val="16"/>
          <w:lang w:eastAsia="es-CO"/>
        </w:rPr>
        <w:t>Final del formulario</w:t>
      </w:r>
    </w:p>
    <w:p w:rsidR="006341F7" w:rsidRDefault="006341F7" w:rsidP="006341F7"/>
    <w:p w:rsidR="006341F7" w:rsidRDefault="006341F7" w:rsidP="006341F7">
      <w:pPr>
        <w:rPr>
          <w:b/>
          <w:sz w:val="48"/>
          <w:szCs w:val="48"/>
        </w:rPr>
      </w:pPr>
      <w:r w:rsidRPr="00D2356B">
        <w:rPr>
          <w:b/>
          <w:sz w:val="48"/>
          <w:szCs w:val="48"/>
        </w:rPr>
        <w:t>500 AÑOS DE REFORMA</w:t>
      </w:r>
      <w:r>
        <w:rPr>
          <w:b/>
          <w:sz w:val="48"/>
          <w:szCs w:val="48"/>
        </w:rPr>
        <w:t xml:space="preserve">: </w:t>
      </w:r>
    </w:p>
    <w:p w:rsidR="006341F7" w:rsidRDefault="006341F7" w:rsidP="006341F7">
      <w:pPr>
        <w:rPr>
          <w:b/>
          <w:sz w:val="48"/>
          <w:szCs w:val="48"/>
        </w:rPr>
      </w:pPr>
      <w:r>
        <w:rPr>
          <w:b/>
          <w:sz w:val="48"/>
          <w:szCs w:val="48"/>
        </w:rPr>
        <w:t>Memoria y Actualización</w:t>
      </w:r>
    </w:p>
    <w:p w:rsidR="006341F7" w:rsidRPr="00D2356B" w:rsidRDefault="006341F7" w:rsidP="006341F7">
      <w:pPr>
        <w:rPr>
          <w:b/>
          <w:sz w:val="48"/>
          <w:szCs w:val="48"/>
        </w:rPr>
      </w:pPr>
    </w:p>
    <w:p w:rsidR="006341F7" w:rsidRDefault="006341F7" w:rsidP="006341F7">
      <w:pPr>
        <w:rPr>
          <w:b/>
          <w:sz w:val="28"/>
          <w:szCs w:val="28"/>
        </w:rPr>
      </w:pPr>
      <w:r w:rsidRPr="00D2356B">
        <w:rPr>
          <w:b/>
          <w:sz w:val="28"/>
          <w:szCs w:val="28"/>
        </w:rPr>
        <w:t xml:space="preserve">Presentación </w:t>
      </w:r>
    </w:p>
    <w:p w:rsidR="006341F7" w:rsidRDefault="006341F7" w:rsidP="006341F7">
      <w:pPr>
        <w:rPr>
          <w:b/>
          <w:sz w:val="28"/>
          <w:szCs w:val="28"/>
        </w:rPr>
      </w:pPr>
      <w:r w:rsidRPr="00D2356B">
        <w:rPr>
          <w:b/>
          <w:sz w:val="28"/>
          <w:szCs w:val="28"/>
        </w:rPr>
        <w:t xml:space="preserve">500 años de la Reforma, memoria y actualización </w:t>
      </w:r>
    </w:p>
    <w:p w:rsidR="006341F7" w:rsidRPr="00D2356B" w:rsidRDefault="006341F7" w:rsidP="006341F7">
      <w:pPr>
        <w:rPr>
          <w:b/>
          <w:sz w:val="28"/>
          <w:szCs w:val="28"/>
        </w:rPr>
      </w:pPr>
      <w:r w:rsidRPr="00D2356B">
        <w:rPr>
          <w:b/>
          <w:sz w:val="28"/>
          <w:szCs w:val="28"/>
        </w:rPr>
        <w:t>Marcelo BARROS y José María VIGIL.</w:t>
      </w:r>
    </w:p>
    <w:p w:rsidR="006341F7" w:rsidRDefault="006341F7" w:rsidP="006341F7">
      <w:r>
        <w:t xml:space="preserve"> En 2017, las Iglesias cristianas e incluso el mundo laical celebran los 500 años de la Reforma. La sociedad recuerda la influencia de Lutero para la difusión de la lengua y de la cultura alemana. Las Iglesias se preguntarán sobre la actualidad de la profecía de Lutero y de la reforma nacida del movimiento que inició. En este número de revistas teológicas latinoamericanas, ofrecido como Minga/Mutirão por la ASETT a las publicaciones latinoamericanas, no se nos puede escapar de la pregunta que recorre todos los artículos: ¿Será que la figura de Lutero y su propuesta teológica y espiritual conserva todavía hoy una actualidad profética y relevante? ¿Será que la savia que viene de esa raíz del Cristianismo occidental permanece viva o, ante tantos problemas que cada día nos </w:t>
      </w:r>
      <w:r>
        <w:lastRenderedPageBreak/>
        <w:t xml:space="preserve">desafían, se volvió estéril? No se trata sólo de saber si todavía se puede reconocer el ADN de Lutero en el cuerpo de las comunidades luteranas de hoy. Algo así podría revelar solamente una relación apenas histórica o nostálgica. Se trata de algo más fundamental. Es preciso reflexionar sobre si el espíritu que animó a Lutero y la radicalidad de su profecía todavía suscitan, hoy, una reforma permanente en las Iglesias y en el corazón de las personas que creen en el Evangelio. Durante el año de conmemoración del quinto centenario de la Reforma, ciertamente, muchas publicaciones abordarán en el mundo entero estas mismas cuestiones, con conclusiones semejantes o diferentes, según el ángulo a partir del que partan los autores y autoras. En general, en América Latina tenemos menos publicaciones especializadas sobre el tema. En Brasil, en la década pasada, fue un éxito la traducción del libro 24 · de Marlon Ronald Fluck: História e Teologia da Reforma, así como O tempo das Reformas. De 1250 a 1550, de Pierre Chaunu1. Actualmente, hay un cierto consenso entre autores, católicos y evangélicos, en que Lutero no tenía en mente dividir la Iglesia. Proponía una reforma basada en la conversión de sus pastores y fieles al espíritu original del Evangelio. Sin duda, en un mundo que ha perdido el rumbo y una sociedad basada en la competición y el lucro, la teología de Lutero sobre la Cruz y la gracia contiene un mensaje actual2. A partir del Concilio Vaticano II, la misma Iglesia Católica ha incorporado varios de los conceptos sobre los que Lutero insistía como elementos de la fe común. En 1999, representantes del Consejo Pontificio para la Unidad de los Cristianos (del Vaticano) y autoridades de la Federación Luterana Mundial firmaron una Declaración común sobre la Fe y la Justificación, el 30 de octubre de 1999, aniversario de la Reforma3. Lamentablemente, ese diálogo todavía vigente, que se hizo posible al final del siglo XX, todavía no era posible en el siglo XVI. Algunos protagonistas de un lado y de otro lo quisieron. Lutero no tenía intención de romper con la jerarquía de la Iglesia. Y del lado de Roma, en 1523, el papa Adriano VI envió sus delegados a la Dieta de Nüremberg, y a través de ellos escribió a Lutero: "Cuando nuestro Señor Jesucristo quiso purificar la ciudad de Jerusalén, comenzó por el templo. Así también nosotros sabemos que los mayores pecados de nuestra Iglesia comienzan por esa Curia romana, y es por ella que debemos iniciar la reforma". El mensaje no llegó porque, mientras los delegados estaban en camino, el papa murió en Roma y la misión fue clausurada4. En su trabajo actual sobre Lutero, el cardenal Kasper alude a ese episodio del papa Adriano VI5. 1 Cf. FLUCK, Marlon Ronald, História e Teologia da Reforma, São Paulo, Ed. Companhia dos Editores, 2003. El libro propone una interpretación teológico-social de Lutero y de su obra y concluye con un análisis de la aportación permanente de la Reforma. Ver también CHAUNU, Pierre, O Tempo das Reformas, de 1250 a 1550. São Paulo, Ed Setenta, 2002. El hecho mismo de situar a acción reformadora de Lutero en el conjunto de un movimiento de renovación que viene de siglos anteriores y se remonta a personas como Pedro Valdez y Francisco de Assis nos permite mirar la Reforma con otros ojos. 2 Sobre eso ver: HELMER, Christine, Lutero, um teólogo para tempos modernos, São Leopoldo, Editora Sinodal, 2009. Este libro es resultado de una conferencia internacional sobre ese tema celebrada en Chicago (2008). 3 Ver: BINKMAN, Martien, el término Justificação, en OIKOUMENE, organizado por LOSSKY, Nicholas y otros, Dicionário do Movimento Ecumênico, Petrópolis, Vozes, 2005, pp. 684-685. 4 Ver SCHUTZ, Roger, Dinâmica do Provisório, São Paulo, Ed. Paulinas, 1969, pp. 45-46. 5 KASPER, W., Martin Lutero, una prospettiva ecumenica, Brescia, Queriniana, pp. 32. 24 · Presentación · 25 De parte de los reformadores, Melanchton intentó retomar el diálogo. Y parece que Lutero, ya maduro, mantenía sustancialmente las mismas posiciones, pero hacía más matices en sus afirmaciones. Aquí, dejamos a los especialistas el estudio histórico sobre las causas de la Reforma. También </w:t>
      </w:r>
      <w:r>
        <w:lastRenderedPageBreak/>
        <w:t xml:space="preserve">dejamos de lado un análisis teológico más profundo sobre lo que Lutero representó de novedad para el cristianismo. Si precisásemos situar a Lutero en su contexto, ¿lo veríamos más como hijo y continuador de la cultura medieval, o acentuaríamos más su figura como uno de los iniciadores de los tiempos modernos?6 ¿Reconocemos en Lutero más un "doctor común de la fe cristiana", como proponía el cardenal Roger Etchagaray en 1983, en las conmemoraciones del quinto centenario de su nacimiento, o, como subrayó el luterano Wolfhart Pannemberg, un hombre que, involuntariamente, provocó la fragmentación del cristianismo? El luterano Pannemberg sostiene que, en cierta forma, el surgimiento de Iglesias confesionales e incluso de la Iglesia Luterana habrían significado cierto fracaso del proyecto más profundo de la Reforma7. Ninguno de nosotros exigiría que el Lutero del siglo XVI, en una Europa que se levantaba contra judíos y musulmanes, fuese respetuoso y dialogante con esas otras ramas de la fe abrahámica. El desafío propio de esta revista y de sus articulistas es proponer la reflexión sobre los 500 años de la Reforma a partir de un enfoque proprio y más desafiador. Nos interesa saber cómo anda el proyecto de una reforma permanente en la línea del principio medieval Ecclesia reformata semper reformanda, actualmente citado ya varias veces por el papa Francisco. Queremos recordar los 500 años de Lutero a la luz de una ecumenicidad laical y pluralista e incluso cada vez más frecuentemente pos-religional. ¿Será que, hoye, en un mundo pluralista y ya no de cristiandad, la visión sostenida por Lutero de una "Iglesia invisible" y la radicalidad de la “sola Gratia", en cierta manera, no se expresaría hoy en una teología y espiritualidad pos-religional? ¿Será que, como dice el obispo episcopaliano John Shelby Spong, la Reforma que propone el pos-teísmo –la muerte y la superación del viejo teísmo, muerte que él da por evidente– está produciendo poco a poco una nueva Reforma, que va dejar pequeña la Reforma del siglo XVI? ¿Será que en una sociedad cada vez más penetrada de cultura y ciencia, se estará produciendo, casi sin que pueda percibirse, 6 Sobre eso, el cardenal Walter Kasper reflexiona en su libro, ib., pp. 16-18. </w:t>
      </w:r>
      <w:r w:rsidRPr="006341F7">
        <w:rPr>
          <w:lang w:val="en-US"/>
        </w:rPr>
        <w:t xml:space="preserve">7 Ver: PANNEMBERG, Wolphart, Reformation und Einheit der Kirche, citado por Kasper, ib., p. 31. </w:t>
      </w:r>
      <w:r>
        <w:t xml:space="preserve">Presentación · 25 26 · un nuevo «tiempo axial», que no va a reformar una religión u otra, sino que va a transformar el sentido mismo de la religiosidad, de forma que la nueva espiritualidad va a resultar difícilmente reconocible para los viejos parámetros religionales? Tal vez estamos, sin darnos cuenta, en el curso de la reforma religiosa/espiritual más profunda de los varios milenios después del llamado tiempo axial. Por otra parte, aquí, nos proponemos abordar el quinto centenario de la Reforma a partir de la realidad latino-americana y caribeña y, muy específicamente, a partir de un compromiso afectivo y efectivo, fundamental y prioritario, con los empobrecidos del mundo. Incluso autores que viven fuera de América Latina manifiestan ese cuidado metodológico en su forma de hacer teología. Para no quitar el sabor de cada contribución y mantener el respeto a la originalidad de cada autor/a, no los resumiremos aquí ni procuraremos mostrar una continuidad que pudiera parecer forzada. Es más del espíritu de esta revista subrayar que aquí caminamos en el sentido de una "diversidad reconciliada", meta que Oscar Cullmann había propuesto como modelo de unidad para las Iglesias. Desde los años 80, el Concilio Mundial de Iglesias lo adoptó como principio eclesiológico básico, y el papa Francisco ha aludido a ello en algunas de sus alocuciones, así como ha asumido la exigencia de Lutero sobre la radicalidad del Evangelio como norma suprema de nuestra vida8. Sin duda, la excelente y profunda reflexión de José Arregui sobre la necesidad de la reforma del papado retoma una de las tesis principales de Lutero. Arregui no cita a Lutero. Parte de la propuesta del papa Juan Pablo II en 1995 en la encíclica Ut unum sint para que las otras Iglesias le ayudasen a reformar las expresiones y formas como ese servicio está </w:t>
      </w:r>
      <w:r>
        <w:lastRenderedPageBreak/>
        <w:t>siendo realizado hoy, manteniendo lo esencial de la vocación del ministerio que él considera petrino. Arregui muestra las limitaciones teológicas y prácticas de tal proyecto y cómo ha fracasado totalmente. Y apunta perspectivas posibles. Los 500 años de la Reforma nos invitan a reflexionar sobre un movimiento de renovación eclesial que va mucho más allá de Lutero. Sería muy útil y pertinente incluir en esa reflexión la figura y la propuesta teológica de otros reformadores como Calvino, Zwinglio, Melanchton y otros. Sin duda, para nosotros latino-americanos la reflexión sobre Thomas Münzer, teólogo de los campesinos adquiere una importancia especial y agradecemos a Roberto Zwetch el traernos esa colaboración. 8 Ibid, p. 65-66. 26 · Presentación · 27 Son asuntos que darían no sólo para un número de revista, sino para varias. Por eso, reconocemos la limitación de ese horizonte, pero nos quedamos con la figura de Lutero, de la que partimos para nuestra reflexión sobre el hoy de la Iglesia y del mundo. Buena lectura. Que estas reflexiones susciten otras, y que esta minga/mutirão provoque otros diálogos sobre los diversos aspectos de este asunto. Así, en la Reforma luterana del siglo XVI y en la reforma permanente de la Iglesia a la que somos llamados hoy y siempre a colaborar, podremos ver la acción del Dios de amor maternal. Todavía hoy, su Espíritu, ruah de vida y ternura, Axé de fiesta y alegría, Pachamama que nos alimenta e nos revitaliza, continúa actualizando el lema que el Consejo Mundial de Iglesias tomó como tema de su 4ª Asamblea Mundial en Upsala (1968). Para muchas Iglesias, aquella asamblea significó el comienzo de un rumbo nuevo de renovación eclesial y de misión de diá- logo para con la humanidad al servicio del mundo. Como hace 50 años, entonces a través del Concilio Vaticano II, y luego por el Consejo Mundial de Iglesias en Asamblea General de Upsala, todavía hoy somos llamados a prolongar el diálogo amoroso con la humanidad, esencial para una reforma profunda del espíritu evangélico. Sólo cuando vivimos esto, podemos verdaderamente escuchar a Dios, que continúa diciendo: "Hago nuevas todas las cosas" (Ap 21,5).</w:t>
      </w:r>
    </w:p>
    <w:p w:rsidR="006341F7" w:rsidRPr="00D2356B" w:rsidRDefault="006341F7" w:rsidP="006341F7">
      <w:pPr>
        <w:rPr>
          <w:b/>
        </w:rPr>
      </w:pPr>
      <w:r w:rsidRPr="00D2356B">
        <w:rPr>
          <w:b/>
        </w:rPr>
        <w:t>Revista VOICES, 2017/1.</w:t>
      </w:r>
      <w:r>
        <w:rPr>
          <w:b/>
        </w:rPr>
        <w:t xml:space="preserve"> De la Asociación Internacional de Teólogos-as</w:t>
      </w:r>
    </w:p>
    <w:p w:rsidR="006341F7" w:rsidRPr="009149D1" w:rsidRDefault="006341F7" w:rsidP="006341F7">
      <w:pPr>
        <w:rPr>
          <w:b/>
          <w:sz w:val="44"/>
          <w:szCs w:val="44"/>
        </w:rPr>
      </w:pPr>
      <w:r w:rsidRPr="009149D1">
        <w:rPr>
          <w:b/>
          <w:sz w:val="44"/>
          <w:szCs w:val="44"/>
        </w:rPr>
        <w:t xml:space="preserve">500 Años de una Reforma liberadora </w:t>
      </w:r>
    </w:p>
    <w:p w:rsidR="006341F7" w:rsidRPr="009149D1" w:rsidRDefault="006341F7" w:rsidP="006341F7">
      <w:pPr>
        <w:rPr>
          <w:b/>
          <w:sz w:val="28"/>
          <w:szCs w:val="28"/>
        </w:rPr>
      </w:pPr>
      <w:r w:rsidRPr="009149D1">
        <w:rPr>
          <w:b/>
          <w:sz w:val="28"/>
          <w:szCs w:val="28"/>
        </w:rPr>
        <w:t xml:space="preserve">Una mirada a la obra de Lutero desde la experiencia de la vida de la fe latinoamericana </w:t>
      </w:r>
    </w:p>
    <w:p w:rsidR="006341F7" w:rsidRPr="008D4FB0" w:rsidRDefault="006341F7" w:rsidP="006341F7">
      <w:pPr>
        <w:rPr>
          <w:b/>
        </w:rPr>
      </w:pPr>
      <w:r w:rsidRPr="008D4FB0">
        <w:rPr>
          <w:b/>
        </w:rPr>
        <w:t>Diego PEREIRA1</w:t>
      </w:r>
    </w:p>
    <w:p w:rsidR="006341F7" w:rsidRDefault="006341F7" w:rsidP="006341F7">
      <w:r>
        <w:t>REVISTA VOICES, 2017, Primer Semestre</w:t>
      </w:r>
    </w:p>
    <w:p w:rsidR="006341F7" w:rsidRDefault="006341F7" w:rsidP="006341F7">
      <w:r>
        <w:t>Pág. 189 ss</w:t>
      </w:r>
    </w:p>
    <w:p w:rsidR="006341F7" w:rsidRDefault="006341F7" w:rsidP="006341F7"/>
    <w:p w:rsidR="006341F7" w:rsidRPr="003D58B5" w:rsidRDefault="006341F7" w:rsidP="006341F7">
      <w:pPr>
        <w:rPr>
          <w:b/>
          <w:sz w:val="28"/>
          <w:szCs w:val="28"/>
        </w:rPr>
      </w:pPr>
      <w:r w:rsidRPr="003D58B5">
        <w:rPr>
          <w:b/>
          <w:sz w:val="28"/>
          <w:szCs w:val="28"/>
        </w:rPr>
        <w:t xml:space="preserve">America Latina: tierra oprimida y encubierta en nombre de Cristo </w:t>
      </w:r>
    </w:p>
    <w:p w:rsidR="006341F7" w:rsidRDefault="006341F7" w:rsidP="006341F7">
      <w:r>
        <w:t xml:space="preserve">La tierra latinoamericana contiene una historia que como historia de Salvación sigue siendo muy polarizada: los que aquí llegaron a traer el Evangelio de Jesucristo lo hicieron bajo el yugo de la espada y la sangre. Como cristianos nos fortalecemos al cuestionar críticamente la fe adquirida tradicionalmente: en el mismo tiempo histórico donde Lutero reconoce la voz de Dios que lo llamaba a la liberación, nuestras tierras estaban siendo encubiertas y sometidas por una fuerza política y religiosa que significó la muerte de muchos hermanos y con ellos muchas religiosidades. </w:t>
      </w:r>
      <w:r>
        <w:lastRenderedPageBreak/>
        <w:t xml:space="preserve">Y si bien los católicos podemos reconocer la salvación traída por Jesús a nuestras vidas por medio del anuncio del Evangelio, no podemos conformarnos con las maneras inquisidoras con la cual nuestra Iglesia ha procedido, y que en muchos lugares y situaciones de la actualidad aún sigue siendo guiada por esa clase de mentalidad medieval. En la actualidad latinoamericana la opresión y la esclavitud vienen dadas por un neoliberalismo que impulsa un sistema capitalista que divide al mundo en dos polos cada vez más alejados: uno de gran riqueza y otro sumergido en la pobreza. El consumismo desmedido genera una división social donde los pobres y marginados son acusados de no querer salir de su situación, mientras la clase media y alta se ve envuelta en la máquina del activismo de un mundo que no sabemos hacia dónde va. En medio de ello la persona se ve atrapada en la marea tecnológica que 500 Años de una Reforma liberadora Una mirada a la obra de Lutero desde la experiencia de la vida de la fe latinoamericana Diego PEREIRA1 190 · cada vez más lo separa de la comunidad humana, que busca la excusa del miedo generado por la inseguridad y violencia de las ciudades. Este es el universo donde el cristianismo latinoamericano se debate entre ser el continente de mayoría cristiana, pero a su vez, en un ambiente de crecimiento y valoración de un gran movimiento religioso pluralista donde crecen diversas espiritualidades. Los pueblos indígenas y afroamericanos vienen redescubriendo su identidad defendiendo sus tradiciones y su espiritualidad, tan arraigada a la Madre Tierra. Junto a ello un gran crecimiento de nuevas iglesias, sectas y espiritualidades promovidas desde la globalización de la información. «La realidad cotidiana de Latinoamérica es multirreligiosa y pluriespiritual, como es multicultural. Me gusta hablar de mestizajes porque, así como se da el mestizaje racial y cultural, se da también el mestizaje espiritual y religioso»2. Una exigencia humana y religiosa: la búsqueda de la verdad La búsqueda de una vida cristiana verdadera implica una recepción coherente de la realidad que se vive, para confrontarla con el mensaje de Jesús, resultando de ello un nuevo posicionamiento ante esa realidad, para transformar lo que allí no sea reflejo del Reino de Dios. Jesús, por ser él mismo la Verdad, genera en los cristianos una nueva existencia que les revela su verdad y la verdad de Dios. Pero en Latinoamérica no todos somos sinceros con nuestra realidad ni tampoco somos veraces. Unas veces porque seguimos siendo dominados desde afuera, pero también porque deseamos vivir como los que nos siguen dominando. Nos falta conciencia de unidad y desde allí también aún nos falta superar la autonomía de la conciencia, promovida por Lutero, para alcanzar una cierta unidad de conciencias que nos haga decidir y actuar como comunidad, como propuso Dietrich Bonhoeffer. Pero, en todo esto, a toda la iglesia como Pueblo de Dios aún le falta caminar por la verdad y la sinceridad3. Según Balthasar, toda verdad mundana tiene carácter misterioso, pero aun así es dada en propiedad al ser humano como participación, sin perder por ello la absoluta intimidad de la verdad divina. Esta revelación es una relación libre: «La criatura está así interiormente provista de verdad en cuanto centro relativo, que por su parte es capaz de conocer la verdad y expresarla por sí mismo»4. Desde que nuestro Dios se hizo 2 Cabestrero, Teófilo, ¿Victoria de los vencidos? Latinoamérica en el siglo XXI, Ed. PPC, Madrid, 2002, p. 206 3 Cfr. Küng, Hans, Sinceridad y veracidad. En torno al futuro de la Iglesia, Ed. Herder, Barcelona, 1970 4 Balthasar, Hans Urs von, La esencia de la verdad, Ed. Sudamericana, Bs As, 1955, p. 259 190 · Diego PEREIRA · 191 hombre en Jesús, la participación como propiedad trascendente exige la relación con nuestros prójimos y por ello es que somos testigos que en la vida cotidiana normalmente no hacemos experiencias fuertes de participación. Según Paul Tilich, la participación la debemos pensar en términos de potencia, pero que a su vez se nos revela de tres maneras5: como ser parte, tomar parte y compartir. Ser parte implica la integración de la persona a un grupo </w:t>
      </w:r>
      <w:r>
        <w:lastRenderedPageBreak/>
        <w:t xml:space="preserve">que le da identidad, que le da sentido a su vida, le proporciona cierta paz de saberse acogido, valorado y promovido. Tomar parte es una decisión interior, como movimiento voluntario a incidir directamente en ese grupo del cual se forma parte, expresando libremente en acciones públicas los resultados del examen interior. El sujeto no solo se queda en ser parte, sino que busca transformar el propio grupo y, junto con el grupo, la realidad. Y por último, la participación implica compartir, o sea, partir con, dar una parte de lo que considero como propio, a otros. De este modo sería renunciar voluntariamente a algo que me pertenece y para beneficiar o ayudar a quienes necesitan eso que yo tengo y que puedo compartir. Con esto queremos decir que en Latinoamérica Dios se nos ha revelado, pero aún más, podemos experimentarlo desde el compartir con los que nos rodean, pues ellos son la realidad más profunda. Quizá no siempre como vida, pero también como muerte: son muchos los hermanos muertos en nuestra historia por tanta injusticia y son ellos los que nos revelan la necesidad de liberación que aún necesitamos. Pero este no es un camino que podamos hacer solos, pues necesitamos de otros: la comunidad. Es en ella que Jesús se hace presente de manera clara y cercana, en la Palabra viva proclamada o en la ayuda dada o recibida. La pobreza como despertar de la conciencia Lutero logró darle a la conciencia humana un estatus de independencia sin que con ello se separara de la Palabra de Dios. Pero ¿cómo vio Lutero el drama de la pobreza, frente al mensaje cristiano, en su época? Su pensamiento acerca de los pobres y la pobreza sufrió también un proceso de conversión: desde sus clases en la Universidad sobre la carta a los Romanos, donde se refería a los pobres como los cristianos verdaderos en sentido simbólicoreligioso, irá pasando poco a poco un interpretación históricoliteral de la pobreza. Son los pobres que va reconociendo, frente a la riqueza de la Iglesia, los que lo hacen comprender el papel que jue- 5 Tilich, Paul, A coragem de ser, Ed. Paz e Terra, Rio de Janeiro, 1976, pp. 6787 500 años de una Reforma liberadora · 191 192 · gan dentro de la historia de Salvación: «Durante estos años Lutero estaba estrechando sus contactos con el pueblo, con la inevitable toma de conciencia del sufrimiento de los abundantes pobres»6. Sin duda que también Lutero tiene claro a qué pobreza se refiere: a la sufrida por causa del egoísmo de otros que tienen mucho, y a la pobreza por opción, que es la del monje. La primera, la pobreza sufrida injustamente, tampoco será la causa de la mirada misericordiosa de Dios a las personas, sino la fe que experimentan en el medio de su calvario: «Debemos ser conscientes de que la pobreza y los sufrimientos no hacen a nadie persona grata ante Dios; antes bien, si uno ya es persona grata, entonces su pobreza y sus sufrimientos son cosa preciosa para Dios, como dice el Salmo 116...»7. Las riquezas y los bienes son causa del pecado de avaricia de las personas, y la pobreza puede ser un estado posible de mayor gratitud ante Dios. Los pueblos latinoamericanos han vivido desde sus comienzos la desgracia del sometimiento, no solo al poder político y económico, sino religioso. Aquí la voz de la conciencia humana logra revelarnos que hay algo que está mal y que debe cambiarse. Y el cristianismo en América Latina está históricamente signado por una imagen de Dios vinculada ideológicamente al sistema, aceptando algunos conceptos fundamentales que marcan el aprendizaje de la fe y que son asimilados como justificadores de la opresión: humildad, obediencia, paciencia, pobreza (¿evangé- lica?), renuncia, no venganza, no violencia, entre otros8. De todos modos, creemos que, con Lutero y muchos otros cristianos latinoamericanos, es posible tomar conciencia de esta injusticia y aprovecharla para lograr un mayor grado de comprensión del mensaje cristiano en el contexto actual. Por eso el mundo de los pobres sigue siendo el lugar social que influye en el pensar la fe, sobre todo desde Jesucristo, siendo una realidad que nos da qué pensar, que nos capacita el pensamiento y, sobre todo, nos enseña a pensar9. Tenemos el gran </w:t>
      </w:r>
      <w:r>
        <w:lastRenderedPageBreak/>
        <w:t xml:space="preserve">desafío de luchar contra el ocultamiento de la pobreza de la vida cotidiana, no solo la que se esconde en las polis centralizadoras de los poderes, sino que se la oculta de los mismos pobres a 6 Brummel, Lee., Lutero y los pobres: una muestra de su interpretación, en Varios, Lutero ayer y hoy, Ed. La Aurora, Bs As, 1984, pp. 145157 7 Lutero, Martín, La fe demuestra su vitalidad mediante obras de amor, en Materiales de apoyo del curso online «Martín Lutero y la Reforma de la Iglesia», Seminario Luterano de Ausburgo (SEMLA) 8 Cfr. Boff, Leonardo, La experiencia de Dios, Talleres Editorial Stella, Bogotá, 1975, p. 39 9 Sobrino, Jon, Jesucristo liberador. Lectura socioteológica de Jesús de Nazaret, Ed. Trotta, Madrid, 2010, pp.5157 192 · Diego PEREIRA · 193 quienes intentan distraerlos con un mundo feliz que les venden por internet. El consumismo nos genera deseos innecesarios gracias a la cultura mediática que nos regala imágenes de mundos perfectos que recibimos en nuestros móviles u ordenadores. En este sentido, el cristianismo en América Latina debe jugar un papel imprescindible promoviendo una «noción de revelación como un proceso de aprendizaje de aprender a ser humano. Y este aprendizaje comienza con la crítica de la imagen de modelo de ser humano y el proceso de humanización...»10. Experiencia de conversión y seguimiento de Jesús La búsqueda de Lutero de un Dios misericordioso y benevolente, y su noencuentro con él dentro de la fe aprendida, lo van llevando a una profunda crisis existencial. De la lectura de San Pablo y San Agustín, que parte de su deseo ferviente de servir y a amar a Dios, descubre que la vida cristiana está basada en la fe. Cuando no se encuentre con el Dios del amor bajo la obediencia y la sumisión en el cumplimiento de las obras que mandaba la iglesia, descubre algo que cimentará toda su fuerza espiritual: Dios no pide obras, lo único que quiere es que depositemos toda nuestra fe en él, ya que solo por la fe seremos salvos. No hay nada que hagamos de manera que Dios cambie su actitud sobre nosotros, sino que debemos tener plena confianza en él a través de su hijo Jesucristo. Escribirá Lutero: «...al cristiano le basta con la fe; no necesita obra alguna para ser justificado... ha de tener seguridad de que está desligado de todos los preceptos y leyes; y si está desligado, indudablemente es libre. Esa es la libertad cristiana: la fe sola»11. Esta experiencia de transformación interior, que pasa por una comprensión nueva de la fe, va llevando a Lutero a una liberación interior de tantos miedos y de sentimientos de culpa al reconocer una nueva verdad. Pero esta verdad tiene una segunda exigencia: la fe verdadera convierte en buenas las obras que se realicen. Las obras no serán más exigencias para la salvación, sino que serán fruto de la fe sincera y de un corazón convertido por el amor de Dios. La vida de fe trata entonces de amar y servir al prójimo. Sobre esto escribe: De esta fe surge en el hombre el conocimiento de Dios: llega a darse cuenta de lo bueno y misericordioso que es el Señor. Y tal conocimiento a su vez produce en él un corazón blando... Busca por lo tanto dar expresión a 10 Mo Sung, Jung, Sementes de esperança, Ed. Vozes, Petrópolis, 2005, p. 80 11 Lutero, Martín, La fe demuestra su vitalidad mediante obras de amor, en Materiales de apoyo del curso online «Martín Lutero y la Reforma de la Iglesia», Seminario Luterano de Ausburgo (SEMLA) 500 años de una Reforma liberadora · 193 194 · su amor, y sirve a su prójimo de todo corazón, con cuerpo y vida, bienes y honra, con alma y espíritu, y hace por él todo cuanto esté a su alcance, tal como Dios ha hecho con él.12 En América Latina la interiorización de la realidad viene marcada por un horizonte de sometimiento y opresión, y por ello hablar de transformación espiritual debería llevarnos a la liberación humana. Conocer a Jesús implica un encuentro personal con él a partir de la realidad social, pues es allí donde lo reconocemos bajo la dominación y la esclavitud (quizá hoy renovada en sus prácticas, pero sin dejar de ser esclavitud). La subjetividad que trajeron los conquistadores se enfrentó a una fuerza comunitaria asentada en nuestras tierras que aún es </w:t>
      </w:r>
      <w:r>
        <w:lastRenderedPageBreak/>
        <w:t xml:space="preserve">posible vivirse, pero más que nada en los contextos más vulnerables. El pueblo de los pobres se organiza en sindicatos, partidos, asociaciones, movimientos. Se reúnen en foros, encuentros internacionales, se contactan haciendo provecho de los medios de comunicación logrando perseverar en su caminar histórico, atravesando el tiempo y el espacio en la búsqueda del Reino, de la Tierra sin Mal de los pueblos originarios. Sus aspiraciones poseen en sí una fuerza histórica que supera la lógica del sistema dominador13. Por esto el seguimiento de Jesús en Latinoamérica implica una experiencia de fe marcada por el contexto de pobreza con una apertura al otro el pobre como exigencia primera de reconocerlo como marginado religioso, social, político, económico para, en un segundo momento, pasar a ser discípulo. «El Dios de Jesús es precisamente el Dios de los olvidados y marginados, de aquellos a los que se quiere hacer callar»14, por eso nosotros debemos unirnos a sus voces si queremos entrar en el grupo de los seguidores. El discipulado tiene una espiritualidad que implica ponerse en camino, disponiéndose a dejarse transformar por el amor de Dios, desde el contacto histórico, y desde ella realizar las obras agradables a Dios en los hermanos que sufren. Por la práctica de la liberación las situaciones de injusticia están en primer lugar en la vida del discípulo, viviendo cada día como oportunidad de honrar a su Señor en la solidaridad con los más débiles. Es una espiritualidad encarnada que supera lo simplemente espiritual: le da sentido de conexión entre la dimensión ética o la praxis, y la dimensión intelectual o teórica. 12 Ibidem 13 Cfr. Comblin, José, Antropología Cristiana, Colección «Teología y Liberación», Serie III: La liberación en la Historia, Tomo I, Ed. Paulinas, Bs As, 1985, pp. 189203 14 Gutiérrez, Gustavo, La densidad del presente, Ed. Sígueme, Salamanca, 2003, p. 191 194 · Diego PEREIRA · 195 La fe reflexionada: la teología como camino de liberación Entre los siglos XIV y XV se da en Europa una decadencia muy preocupante a nivel de la teología15. De todo ello Lutero recogerá por contraposición –y como carnada- la falta de eficacia de cuestiones de fe que preocupan a todos pero que quedaban sin definir. Su sólida formación y sus dones personales hicieron de él una mente brillante. Pero la clave de su formación está en su necesidad interior de conocer mejor las Escrituras, por lo que su producción teológica es bíblicamente religiosa: está mediada por la oración, la predicación desde una fe auténtica y un amor total por Jesús16. Esto irá llevando a Lutero a su convencimiento de la Sola Scriptura: solo la Palabra de Dios escrita, sin ninguna interferencia o interpretación de la autoridad de la Iglesia, es la que debe animar la vida del cristiano. Pero esto «no significó en Lutero un juego con versículos bíblicos o con textos combinados ni la mera recitación de textos de memoria. Sola Scriptura es un principio hermenéutico. No debe reinar ningún texto impreso, ningún libro, ninguna letra, sino el espíritu de toda la Sagrada Escritura»17. Será en el estudio de algunos pasajes del Antiguo Testamento y de los Salmos donde sufrirá su gran liberación teológica: él verá que deben ser interpretados a la luz del Evangelio. Sobre todo los Salmos deben ser interpretados a la luz de la síntesis cristológicosoteriológica. La fe reflexionada desde el contexto de opresión y pobreza latinoamericana exigió a los teólogos, preocupados por una completa liberación del ser humano, crear un nuevo método conocido como Teología de la Liberación (TL), que hasta nuestros días continúa incomodando por las denuncias que realiza. Desde el primer impulso que dio el Concilio Vaticano II, las Conferencias Episcopales de Medellín y de Puebla denunciaban la situación de injusticia humana que se vivía en el continente y proponía una clara postura de la Iglesia: la opción preferencial por los pobres. Pero de alguna manera, desde el ámbito institucional y jerárquico, esto no fue llevado a cabo, salvo algunas variadas excepciones que trascendieron la tentación del poder y se comprometieron con la realidad de los latinoamericanos. Superando la teología clásica </w:t>
      </w:r>
      <w:r>
        <w:lastRenderedPageBreak/>
        <w:t xml:space="preserve">que muchas veces dio sustento a la misma colonización, la TL intenta alcanzar la liberación del ser humano como totalidad a partir de la situación actual en la cual se encuentra, 15 García Villoslada, R., Raíces históricas del luteranismo, Ed. BAC, Madrid, 1969, pp. 95132 16 Busquets, Juan, op. cit., p. 70 17 Pietrantonio, Ricardo, Lutero como profesor y hermeneuta de la Biblia, en Varios, Lutero ayer y hoy, Ed. La Aurora, Bs As, 1984, pp. 1533 500 años de una Reforma liberadora · 195 196 · sometido históricamente a la esclavitud y al maltrato. Frente a esta realidad la TL plantea un nuevo método de trabajo, realizando una relectura de la Palabra de Dios y encontrando en ella muchos elementos similares a la situación que viven los que pueblan nuestras tierras y van encontrando una nueva clave de lectura e interpretación. Siguiendo a Leonardo Boff y su hermano Clodovis18 tendremos en primer lugar que la TL se servirá de las ciencias humanas para poder realizar un examen lo más acertado posible de la realidad, la cual muestra una situación de opresión. Analizará con detalle el porqué de la opresión, el porqué de la pobreza que sufren los pueblos. Esto arroja datos cuantificables que objetivizan y dan cuenta de las grandes masas oprimidas por los poderes económicos y políticos, incluso en países donde los gobiernos son de confesión cristiana. Un segundo paso tiene que ver con qué dice la Palabra en aquellas situaciones donde el pueblo elegido vivía situaciones similares. En el AT el Pueblo de Israel ha sido un pueblo sometido por los poderes imperantes (egipcios, romanos) pero desde siempre Yahvé se ha manifestado como el Dios Liberador, que lo saca de las situaciones de injusticia por mano de hombres elegidos para liderar esa misión. De la misma manera Jesús, el Hijo de Dios, con palabras y obras, se muestra como amigo y hermano de los que más sufren y de los más excluidos de la sociedad. Atacó con dureza el abuso de poder en toda su manifestación (sobre todo la religiosa) y denunció la injusticia que sufría su pueblo, al punto de morir como el peor de lo malhechores por causa de su mensaje. Este paso exige una nueva clave interpretativa: desde la liberación que Dios realiza en su pueblo, pero desde la experiencia y relato de los pobres. El tercer paso de la TL es el decisivo, ya que compromete al cristiano en un movimiento liberador que parte del Espíritu de Dios manifestado en la Palabra y se encarna en la realidad, buscando así transformar la injusticia, con una actitud militante en combate contra la pobreza. Es el momento práxico donde se pasa del discurso a la acción, de la oración al planeamiento de estrategias y planes de cambios sociales, generando una santa resistencia frente al sometimiento. Pero es también un cambio de lógica, de lugar: se trata de que junto a los pobres se conviertan los sentimientos de desgracia y abandono, en un sentimiento de lucha, generando espacios de empoderamiento que logren formar estructuras de respuesta inteligente a la mirada despreciativa de los que ignoran su situación. El gran avance de esta teología es que es una teología crítica 18 Boff, Leonardo y Clodovis, Cómo hacer Teología de la Liberación, Ed. Paulinas, São Paulo, 1985 196 · Diego PEREIRA · 197 sobre la misma praxis de la fe: es convertir la vida cotidiana del cristiano en una convivencia evangélica con los más desfavorecidos, entregando la misma vida como sacrificio agradable a Dios en búsqueda de la llegada del Reino en este presente. Como dice Gutiérrez: La reflexión teológica sería entonces, necesariamente una crítica de la sociedad y de la Iglesia, en tanto que convocadas e interpeladas por la Palabra de Dios; una teoría crítica, a la luz de la fe, animada por una intención de práctica e indisolublemente unida, por consiguiente, a la praxis histórica 19. La Reforma de Lutero en sus inicios Según algunos historiadores la Reforma no es comprendida sin Lutero, sino que la Reforma es Lutero (Lortz). Pero lo que Lutero buscaba no era la escisión de la cristiandad sino una reforma de las estructuras anquilosadas en las cuales se encontraban y la hacían lejana al mensaje de Jesús. En este sentido Lutero no logró el apoyo esperado de la clase eclesiástica para </w:t>
      </w:r>
      <w:r>
        <w:lastRenderedPageBreak/>
        <w:t xml:space="preserve">llevar adelante sus cambios, «muchas veces faltó el arquitecto, es decir, un Romano Pontífice que tomase con seriedad y energía la reconstrucción del edificio tambaleante de la cristiandad»20. Si bien su confesor fue quien primero lo impulsa a buscar el aprovechamiento de sus virtudes en pos de un cambio profundo, también será quien tema ante la radicalidad del pensamiento de su fraile. Tan grande fue su obra que según Hans Küng marca un “giro copernicano” en la historia de la teología y de la Iglesia: Con todo, puesto que Roma se negaba entonces a cualquier clase de reforma, tuvo que llegarse a la división de la Iglesia: junto a la división de la Iglesia entre Este y Oeste en el siglo XI, ahora, en el siglo XVI, una nueva división en Occidente entre Norte y Sur en Alemania, en Europa y, finalmente, en América: una división entre las Iglesias de paradigma medieval y las de paradigma reformador21. ¿Cómo puede entenderse que, sin el apoyo de la jerarquía eclesiástica y por lo contrario con toda la crueldad de su oposición, la Reforma se llevara a cabo tan eficazmente? Existía, junto con todo un contexto político y económico, una situación social y religiosa que propició la eficacia de la Reforma. En éste último aspecto destacamos la desconformidad institucional que se venía acentuando cada vez más en el pueblo 19 Gutiérrez, Gustavo, Teología de la Liberación. Perspectivas. Ed. Universitaria S.A., 1971, p. 28 20 Villoslada, Ricardo G., Raíces históricas del luteranismo, Ed. BAC, Madrid, 1969, p. 276 21 Küng, Hans, Cambios de modelo de Iglesia en la marcha del pueblo de Dios, en http:// servicioskoinonia.org/ 500 años de una Reforma liberadora · 197 198 · que reclamaba un protagonismo del laicado frente al desprestigio del sacerdocio que fue llevando a muchos de ellos, a monjes y predicadores a unirse a la Reforma. También la búsqueda de la salvación era cada vez más angustiosa frente a una continua predicación del pecado y el miedo al infierno en un clima de confusión doctrinal por las voces discordantes. Podemos decir con Villoslada que hasta el año 1500 los grandes movimientos reformadores -políticos, ideológicos, religiosos- se difundieron por medios orales y algunos pocos escritos22. Su fuerte fue la militancia o el proselitismo. La Reforma luterana contó con un medio de propaganda que facilitó en un alto grado su expansión: la imprenta. Martín Lutero lo supo aprovechar muy bien para dar a conocer su ruptura con la Iglesia y atraer seguidores a su movimiento religioso. La imprenta contribuyó a generar una revolución en el cristianismo. Sólo entre 1517 y 1520 se imprimieron más de 300.000 copias de treinta textos de Lutero, una cantidad envidiable incluso en nuestros días23. Así el acceso a la Palabra de Dios fue un gran influjo para un nuevo cristianismo que elevó la figura de cada mujer y cada hombre a ser responsables de su fe desde el encuentro con Jesús. Los hogares protestantes eran desde ese entonces la iglesia elegida por Dios donde se convive con el Señor de la historia, sin depender de los intermediarios y a la misma manera del Papa. De todas maneras la Reforma hizo necesario una cierta organización a través de una comisión que debía visitar las diferentes iglesias que se convertían al protestantismo, evaluando la predicación de los ministros, unificando los aspectos doctrinales y litúrgicos, como el sostén de las parroquias. Se establecieron escuelas reformadas a las cuales el mismo Lutero invitaba a los padres a enviar a sus hijos e hijas y también los laicos debían tener mayor formación, mientras se escribieron himnarios para favorecer la participación laica en las celebraciones. Desde estos inicios se va sucediendo la expansión protestante con el apoyo del aparato político alemán. La Reforma en Latinoamérica: las CEBs La reforma eclesial latinoamericana tiene su sustento -al igual que Lutero- en la Palabra de Dios contenida en la Biblia en manos del pueblo sencillo. Y esta reforma se fue dando en Latinoamérica a través de los pequeños grupos de cristianos que comenzaron una lectura orante de la 22 Villoslada, Ricardo G., op. cit., pp. 283- 290 23 Rifkin, Jeremy, La civilización empática, Ed. Paidós, Madrid, 2010, p. 256 </w:t>
      </w:r>
      <w:r>
        <w:lastRenderedPageBreak/>
        <w:t xml:space="preserve">198 · Diego PEREIRA · 199 Palabra confrontándola a su vida cotidiana. Las comunidades eclesiales de base pasaron a dar vida a una Iglesia institucional que caía en descrédito. Su aparición nos recordó el inicio de la Iglesia de Jesús en las primeras comunidades que eran pequeños grupos reunidos en sus propias casas. En América Latina «ellas desenvolvieron un modo propio de vivir la fe, de cantar a alabanza de Dios ligado a la experiencia cotidiana de la vida y la lucha, y de celebrar la Palabra y los signos de la fe»24. Frente a una iglesia institucional que se ha vuelto cada vez más autorreferencial -sobre todo al viejo estilo romano- las comunidades eclesiales de base le han dado la oportunidad a que la Iglesia de Jesús se abra paso a los cambios mundiales, incorporando los elementos propios de cada lugar, logrando no sólo una necesaria inculturación sino que también una apertura al ecumenismo y al convivir pacífico con otras religiones y espiritualidades. Dice Marcelo Barros: En América Latina, esto supone colocarnos en comunión con las culturas populares (negras, indígenas y del catolicismo popular de cada región) y principalmente dar signos concretos de un nuevo modo de ser Iglesia, tanto por la superación del clericalismo (toda comunidad celebra y es ministerial), superación del patriarcalismo y machismo (hombres y mujeres juntos en un discipulado de iguales)25. Se trata de una nueva Iglesia más cercana a lo que Jesús quería, integrada a las clases oprimidas, insertada en los lugares de exclusión social, al lado de los que más sufren y que esperan de ella una respuesta a sus angustias. No es la Iglesia poderosa que se adjudica un poder divino manifestado en figuras de poder terrenal, que amenaza con la condena, que mantiene un sistema monárquico que no acepta el cambio hacia un gobierno democrático, más popular e igualitario. Para Isabel Iñiguez las CEBs son el lugar el hermenéutico y teologal por excelencia ya que en ella se experimenta la cercanía de Jesús y del Proyecto del Padre. En la lectura de la Biblia, el AT muestra la elección de Dios por su pueblo, y esto se continúa en la interpretación hermenéutica de la comunidad-pueblo como Iglesia de los pobres experimentándose como los predilectos de Dios, los elegidos de Jesús para su liberación. Con todo ello: Con Como pueblo en su dignidad es sujeto y deberíamos provocarnos ese análisis de la praxis de manera consciente para dar salto cualitativos, porque va realizando su configuración histórica a partir de las experiencias y la reflexión desde su filosofía latinoamericana, sapiencial y la cultura y 24 Barros, Marcelo, Evangelho e instituição, Ed. Paulus, São Paulo, 2014, p.142 25 Ibidem, op. cit., p. 145 500 años de una Reforma liberadora · 199 200 · religiosidad popular que le van dando su identidad, en la construcción del Reino26. Y desde esta afirmación la autora propone tres ejes de trabajo como desafíos en el nuevo contexto eclesial: la participación y dignidad de todos los integrantes de la comunidad; por otro lado se ve la posibilidad de la comunidad como la forjadora de conciencias, que logre penetrar la realidad con una mirada crítica y sobre todo reconocerse a sí misma como valiosa. Por último habla de una nueva autoridad “otra” generando un nuevo modo de relaciones con las personas, con los bienes colectivos y con la construcción histórica, desde el lugar del servicio. No sólo se trata de volver a las fuentes sino de dejar constancia la lejanía de la actual Iglesia institución. En América Latina la experiencia de pobreza ha sido un signo de los tiempos que ha llevado a construir una nueva Iglesia como Pueblo de Dios, cimentada en la experiencia de sufrimiento y exclusión de los pueblos oprimidos. Esta experiencia se fortalece y acrecienta en las pequeñas comunidades y por eso es que creemos que esta experiencia de las CEBs es la que el mismo Papa Francisco ha vivido en su proceso de formación y de crecimiento como pastor y por ello es que propone una Iglesia pobre y para los pobres (EG 198). Su propuesta pastoral intenta recuperar esta experiencia y extenderla a la Iglesia universal, por medio del diálogo intercultural, respetando las diferencias, en la comunión de creencias y el respeto a la casa </w:t>
      </w:r>
      <w:r>
        <w:lastRenderedPageBreak/>
        <w:t xml:space="preserve">común, todo ello planteado en la Carta Encíclica Laudato si'. La reforma del cristianismo y la utopía de Jesús Con todos los aportes que hemos tomado de Lutero y la Reforma Protestante para buscar las comparaciones con las experiencias de fe en Latinoamérica, queremos destacar algunos elementos: a-mientras que Lutero contó con el apoyo del poder político para llevar adelante su propuesta, las reformas que se proponen en América Latina nace desde los sectores pobres, es promovido por ellos, pero tiene en su contra el poder político, y la falta de recursos para ser eficaces; b-mientras los pobres juegan un papel principal en el desarrollo del pensamiento teológico de Lutero, la experiencia de pobreza que marca la historia de Latinoamérica coloca al pobre en el centro de la predicación de Reino proclamado por Jesús, pero son los actores de la transformación; c-frente a un Lutero que 26 Iñíguez, Isabel, Eclesiogénesis, teología simbólica, en Varios, La Reforma de la Iglesia en tiempos de discernimiento, Marcelo Trejo y Rosario Hermano (orgs.), Ed. Amerindia, Montevideo, 2015, p. 175. 200 · Diego PEREIRA · 201 sufre la oposición y la condenación de la máxima autoridad de la Iglesia, los esfuerzos de las CEBs se vieron ignorados por las autoridades, que se encargaron de castigar a las voces que venía de los miembros de la estructura, hasta el punto de colaborar indirectamente con su muerte; d-por otro lado, si bien la Reforma de Lutero contó con el apoyo de muchos actores, sigue siendo asignada a su persona. En el caso de la reforma desde las CEBs las iglesias latinoamericanas se sienten mayormente veraces por pertenecer, no a una conciencia única, sino a una conciencia comunitaria, como un nosotros unido y completo. La reforma del cristianismo implica volver a Jesús, esto es encontrarnos con la gran utopía del cristianismo: la iglesia tal como Jesús la quiso, pero más que eso, la iglesia como Jesús la dejó planteada mientras estuvo con sus discípulos a través de sus enseñanzas. Pero es ya aceptado que Jesús no quiso fundar una Iglesia, sino que su proyecto pasó por reunir las ovejas del pueblo de Israel, con el mismo Dios manifestado en su Hijo, el Reino ya presente en la tierra. En este sentido seguimos la cuestión planteada por Xavier Alegre de que Jesús no quiso romper con la tradición judía que provenía del Antiguo testamento, ni crear un nuevo pueblo elegido. Si Dios había sido fiel a su pueblo, lo único que debía hacer Jesús, es seguir la misma fidelidad mostrada hasta entonces. En este sentido la reforma posible del cristianismo latinoamericano implica una exigente unidad de las diferentes iglesias, revalorizando los espacios de acuerdos comunes y proponiéndonos cambios eficaces en todos los niveles, pero partiendo de las experiencias que ya se llevan adelante hace tiempo y que se asemejan al proyecto de Jesús. Son las CEBs las que están diseminadas por el mundo como células vivas de un cuerpo que están formando parte del cuerpo espiritual de Cristo que proponía San Pablo, o de la iglesia invisible de Lutero. Esto implica una verdadera transformación de todo el aparato eclesial, un cambio de lugar de la autoridad, mal entendido como poder y no como servicio. La mayor transformación en la historia reciente de la Iglesia católica vino de manos de un latinoamericano en el lugar más alto de la jerarquía, pero que propone una transformación que toca la columna vertebral del cristianismo universal. Él nos invita ser una Iglesia que pida y experimente la misericordia de Dios, pero sobre todo que cambie la mirada sobre sí misma y el mundo. La Reforma que Dios quisiera pasa sus iglesias no podemos saberla con exactitud, pero sí podemos saber qué es lo que el Hijo de Dios quiso e hizo por lograrlo. Y lo que Jesús nos dejó fue su ejemplo concreto de amor, de servicio, de dejarlo todo por el pobre y el necesitado, pues ellos son los verdaderos destinatarios de Dios, y nosotros debemos imitarle. 500 años de una Reforma liberadora · 201 202 · Lutero descubrió en Jesús la grandeza en lo pequeño y fue Jesús que lo fortaleció para enfrentar a la institución que un día lo excomulgaría. Pero firme en Jesús comenzó un proceso de reforma que hoy lo vemos como fruto del Espíritu. Es </w:t>
      </w:r>
      <w:r>
        <w:lastRenderedPageBreak/>
        <w:t>ese mismo Espíritu que nos sigue alentando cada día a trabajar juntos, todos los cristianos, sin detenernos en las diferencias entre iglesias, en favor de hacer que nuestros hermanos que más sufren puedan llevar una vida más digna, y eso implica tomar decisiones radicales que transformen nuestro interior y nuestras comunidades para luego transformar el mundo.</w:t>
      </w:r>
    </w:p>
    <w:p w:rsidR="006341F7" w:rsidRPr="00C861F3" w:rsidRDefault="006341F7" w:rsidP="006341F7">
      <w:pPr>
        <w:rPr>
          <w:b/>
          <w:sz w:val="44"/>
          <w:szCs w:val="44"/>
        </w:rPr>
      </w:pPr>
      <w:r w:rsidRPr="00C861F3">
        <w:rPr>
          <w:b/>
          <w:sz w:val="44"/>
          <w:szCs w:val="44"/>
        </w:rPr>
        <w:t xml:space="preserve">Iglesia Reformada... ¿siempre reformándose? </w:t>
      </w:r>
    </w:p>
    <w:p w:rsidR="006341F7" w:rsidRDefault="006341F7" w:rsidP="006341F7">
      <w:r w:rsidRPr="00C861F3">
        <w:rPr>
          <w:b/>
          <w:sz w:val="28"/>
          <w:szCs w:val="28"/>
        </w:rPr>
        <w:t>La receptio de la Reforma en las iglesias evangélicas</w:t>
      </w:r>
      <w:r>
        <w:t xml:space="preserve"> </w:t>
      </w:r>
    </w:p>
    <w:p w:rsidR="006341F7" w:rsidRPr="00C861F3" w:rsidRDefault="006341F7" w:rsidP="006341F7">
      <w:pPr>
        <w:rPr>
          <w:b/>
        </w:rPr>
      </w:pPr>
      <w:r w:rsidRPr="00C861F3">
        <w:rPr>
          <w:b/>
        </w:rPr>
        <w:t>Luis Carlos MARRERO CHASBAR-1</w:t>
      </w:r>
    </w:p>
    <w:p w:rsidR="006341F7" w:rsidRDefault="006341F7" w:rsidP="006341F7"/>
    <w:p w:rsidR="006341F7" w:rsidRDefault="006341F7" w:rsidP="006341F7">
      <w:r>
        <w:t>REVISTA VOICES, 2017/Primer Semestre</w:t>
      </w:r>
    </w:p>
    <w:p w:rsidR="006341F7" w:rsidRDefault="006341F7" w:rsidP="006341F7">
      <w:r>
        <w:t xml:space="preserve">Pág.  213 </w:t>
      </w:r>
    </w:p>
    <w:p w:rsidR="006341F7" w:rsidRPr="00C861F3" w:rsidRDefault="006341F7" w:rsidP="006341F7">
      <w:pPr>
        <w:rPr>
          <w:b/>
          <w:sz w:val="24"/>
          <w:szCs w:val="24"/>
        </w:rPr>
      </w:pPr>
      <w:r w:rsidRPr="00C861F3">
        <w:rPr>
          <w:b/>
          <w:sz w:val="24"/>
          <w:szCs w:val="24"/>
        </w:rPr>
        <w:t xml:space="preserve">Un punto de partida necesario Siglo XVI. </w:t>
      </w:r>
    </w:p>
    <w:p w:rsidR="006341F7" w:rsidRDefault="006341F7" w:rsidP="006341F7">
      <w:r>
        <w:t xml:space="preserve">Alemania se encuentra bajo el poderío económico y social del Sacro Imperio Romano Germánico. Entre el comercio de las grandes ciudades, el humanismo floreciente, la alta nobleza y grupos de campesinos y vasallos, la iglesia se había corrompido con los poderes y poderosos, acumulando tierras que prácticamente no eran utilizadas, las cuales se convirtieron en el punto de mira de pequeños nobles, que por la crisis del siglo XV, habían perdido sus tierras. Esta pequeña nobleza, aprovechando precisamente las ideas del humanismo, el cual criticaba la acumulación de riquezas de la iglesia católica será uno de los elementos que empieza a despertar la conciencia de algunos cristianos y por esta razón, esta pequeña nobleza será la primera en apoyar las agitaciones reformadoras. Únase a esto que ya había llegado al siglo XVI toda un acumulado histórico anterior de reformas internas y discusiones teológicas con órdenes mendicantes y movimientos heterodoxos del siglo XIII. Se afianza este movimiento cuando un teólogo agustino llamado Martin Lutero comienza su predicación haciendo una revisión a partir de las sagradas Escrituras de la doctrina de la Iglesia Católica. Lutero rechaza la teología sacramental pues afirmaba que esta justificaba la venta de indulgencias y otras prácticas de la Iglesia que nada tenían que ver con el Evangelio de Jesucristo. Es precisamente en el año 1517 cuando este monje clava en la puerta de la iglesia de Wittenberg sus 95 tesis, en las que, entre otras argumentaciones teológicas, atacaba las indulgencias y proyectaba lo que Iglesia Reformada... ¿siempre reformándose? La 214 · sería su doctrina sobre la salvación solo por la fe. Este documento es conocido como las 95 Tesis de Wittenberg y es considerado el comienzo de la Reforma Protestante. El movimiento fue apoyado por nobles y príncipes quienes acogieron a Lutero en sus palacios y castillos. Pronto comenzaría a extenderse a otras regiones de Europa como Inglaterra, Suiza, Hungría y aunque con algunas diferencias doctrinales, teólogos como Juan Calvino, Ulrico Zwinglio, Ferenc David, entre otros, promovieron lo que hoy conocemos como protestantismo o iglesias reformadas. La teología reformada o principios protestantes los pudiéramos resumir de la manera siguiente: 1. Una sola Escritura Este principio define la función de las Escrituras como única autoridad sobre la iglesia. Así como los protestantes del siglo XVI y XVII rechazaron la autoridad del papado y la iglesia Romana, los protestantes contemporáneos deben hoy rechazar toda autoridad extra-escritural sobre la iglesia. Cualquier autoridad, organización, experiencia, liderazgo o práctica dentro de la iglesia </w:t>
      </w:r>
      <w:r>
        <w:lastRenderedPageBreak/>
        <w:t xml:space="preserve">debía estar sujeta al lema de Solo la Escritura. El predicar fielmente y el escuchar atentamente la Palabra de Dios es un acto central en la adoración. La aplicación de las enseñanzas bíblicas a la vida practica y cotidiana de los cristianos y de la iglesia es tarea continua. 2. Una sola Fe Es el único medio por el cual se puede alcanzar la salvación. Cuando Dios por su gracia da fe al ser humano para creer en Cristo y ser salvo. Esa fe es el medio. Dios no salva a alguien automáticamente si no cree. Nadie nace salvo, nadie hereda la salvación, ni nadie puede salvarse a sí mismo o salvar a otros. Solo la fe salva. Y esa fe es en Cristo. Y esa fe nos es dada por gracia. Este fue el aspecto crucial de la Reforma Protestante. Cuenta la historia que Martín Lutero fue liberado de sus tormentos de conciencia en el convento donde se auto-laceraba buscando justificación cuando leyó: El Justo por la Fe vivirá (Rom. 1:17) 3. Un solo mediador: Jesucristo Este principio define el origen y el objeto central de la fe cristiana reformada. Los protestantes se opusieron a exaltar cualquier cosa que no fuera la suficiencia de Cristo. Ningún ritual, institución o individuo puede ni debe ser motivo de confianza sino Cristo. Ningún proyecto, visión o necesidad debe competir por el lugar primario de Cristo en la iglesia. La fe es en Cristo, no fe en otras mediaciones. 214 · Luis Carlos MARRERO · 215 4. Sola Gracia Define el fundamento sobre el cual Dios nos acepta. La gracia es lo contrario a pago o compensación. Cualquier cosa que una persona merezca o se haya ganado por su mérito o esfuerzo es compensación. Pero la gracia no tiene que ver nada con méritos personales. La gracia es la esencia del Evangelio: Porque por Gracia sois salvos…no por obras para que nadie se glorié. La fe que salva Dios la da solo por gracia, no puede ser producida por el ser humano. 5. Sólo a Dios la Gloria En este principio se define la esencia de la adoración a Dios. Una de los grandes logros protestantes fue rescatar la adoración espiritual. Más tarde, el movimiento Puritano termino de refinar lo que aun restaba. Los puritanos fueron llamados así por su protesta contra la conservación de rituales Romanistas en la iglesia de Inglaterra (Anglicana) y porque reclamaban una adoración más pura para Dios. En esencia la adoración debe tener a Dios como el centro. A estos principios fundamentales se le sumaron la separación Iglesia-Estado, el sacerdocio universal de los creyentes, la libertad de conciencia y la libertad religiosa. Con estos breves antecedentes comencemos el camino. 2. Dónde estamos... Existe hoy dentro de algunas corrientes del pensamiento teológico y sociológico, algunas reflexiones sobre la crisis de las religiones en este cambio de civilización anunciado, según la EATWOT, por el paradigma posreligional, el paradigma arqueológico-bíblico y la crisis de contenidos en el cristianismo, que de cierta manera, es vivido en Occidente y precisamente en esta Alemania donde surgió la Reforma, aunque posee repercusiones en otros lugares del mundo. Es por tanto necesario que analicemos con cuidado cómo se están configurando las prácticas religiosas en nuestra América Latina, específicamente dentro de las iglesias evangélicas, las cuales en su mayoría llegaron de Europa y Estados Unidos. Los años noventa del pasado siglo trajeron consigo una gran crisis política y económica en muchas sociedades latinoamericanas caracterizadas por el desorden, la ineficacia e incomunicabilidad de los valores, además de la falta de horizonte al carecerse de objetivos comunes, haciéndose evidentes los síntomas de una crisis que se manifestaría en todas las instituciones de la vida del continente: familiares, laborales, Iglesia Reformada... ¿siempre reformándose? · 215 216 · políticas, estatales, educativas, culturales, religiosas, ambientales, migratorias, entre otras. Esta crisis también trajo consigo una nueva reconfiguración en el escenario religioso del continente y de nuestras iglesias. En medio de anomias sociales, el fenómeno religioso se convirtió en el último peldaño de la escalera, en el cual muchas personas buscaron un hálito de esperanza y resistencia. Experiencias religiosas de todo tipo emergieron en las sociedades latinoamericanas, desde </w:t>
      </w:r>
      <w:r>
        <w:lastRenderedPageBreak/>
        <w:t xml:space="preserve">variadas manifestaciones con discursos cristianos hasta las más diversas experiencias espirituales indígenas, afroamericanas, orientalistas, entre otras. En este nuevo espacio, aparecieron también los “Nuevos Movimientos Religiosos (NMR)”, los cuales configuraron – y siguen configurando – el cuadro religioso continental… “…con nuevos rostros que emanaron de uniones, fragmentaciones y sincretizaciones condicionadas por la realidad social cambiante; otros llegaron desde distintos países en un escenario de mayor apertura hacia el exterior, los hay también resultantes de iglesias plantadas con intereses ideológicos. No solo se trataba de nuevos nombres y corrientes emergentes que generaban atracción, rechazo o conflictos, sino de cambios en los discursos, en los lideratos, en las liturgias, prácticas religiosas, así como nuevas propuestas para asumir la vida desde la fe” 2. Frente al surgimiento y visibilización de experiencias religiosas de toda índole y un supuesto crecimiento acelerado en la membresía de varias denominaciones cristianas, ese cocido socio-religioso, hizo que las iglesias también configuraran sus comprensiones sobre misión e identidad. Por tales motivos antes expuesto, es conveniente tener en cuenta, que lo cristiano en nuestra América se viene expresando con un fuerte predominio de la experiencia sobre la razón y sobre la explicación de la fe. Es fácil entender que, si en los actuales tiempos se rechaza la posibilidad de tener una verdad y una comprensión total de la realidad junto con un discurso totalizador, entonces el énfasis está recayendo sobre la experiencia religiosa y no sobre la comprensión y explicación de la misma. Nos comenta Mardones: “Se apunta claramente hacia la supremacía de la experiencia sobre la razón en las cuestiones relativas al sentido último y, en general, como actitud vital en todas las cuestiones. De nuevo encontramos aquí una sugerencia que, aunque tampoco le es desconocida al cristianismo, es frecuentemente olvidada: en el campo de la fe hay una preeminencia de la vida de fe sobre la teorización de la misma. La verdad experiencial, cercana a la contemplación fruitiva, penetra más en la realidad de lo último que el pen- 2 Varios. (2013). da La Habana: Editorial Acuario 216 · Luis Carlos MARRERO · 217 samiento discursivo. Allí donde el logos (palabra) termina, avanza el espíritu (ruah). La fe se mide más por la ortopraxis que por la ortodoxia, por la recta práctica y vivencia de la fe que por su adecuada expresión. En último término, la fe se acepta por experiencia propia. Hay una especie de contagio o participación en la experiencia que me transmite el otro (relato), que me lleva a comprender y aceptar su propuesta de sentido” 3. No pretendemos en este artículo poder dar soluciones a la problemática involucrada entre fe y experiencia. Por el contrario, simplemente intentamos sacar a la luz la cuestión de los posicionamientos entre experiencia de la fe y explicación de ella, solo para tenerlos en cuenta a la hora de todo análisis teológico. Hay quienes están interesados solamente en las experiencias y otros están totalmente opuestos a las mismas, reduciendo la fe solamente a explicaciones doctrinales teóricas e inmodificables. Para una mejor comprensión de estos problemas y posibles soluciones, nos propusimos identificar al menos, tres modelos teológicos que se están dando en el contexto particular de muchas de nuestras iglesias evangélicas. En primer lugar, debemos referirnos a ciertas teologías que se anuncian como posmodernas o que pretenden adquirir ese talante. Una de ellas es el de la llamada “Teología de la Prosperidad”. Leonildo Silveira Campos afirma en su investigación sobre la Iglesia Universal del Reino de Dios: “Sería a partir de la irrupción de la posmodernidad que se podrían explicar las diferencias existentes entre el pentecostalismo clásico y el neo-pentecostalismo. La Iglesia Universal se prestaría, en ese sentido, para ilustrar bien cómo se da la supervivencia de la religión al interior de una cultura posmoderna, y hasta cómo se puede extraer provecho de esa nueva realidad cultural, por intermedio de la práctica de una pastoral adaptativa, tal como observa Paul F. C. de Andrade. </w:t>
      </w:r>
      <w:r>
        <w:lastRenderedPageBreak/>
        <w:t xml:space="preserve">A través de ese paradigma, se puede explicar también el surgimiento de nuevos movimientos contestatarios de las instituciones religiosas tradicionales, de sus ritos y procesos de institucionalización” 4. ¿Cuáles son los elementos que caracterizan este discurso teoló- gico?: Primeramente la solución mágica inmediata de los problemas humanos, su pragmatismo, la confianza en que todo se puede solucionar, es un convite para participar del negocio de Dios. Según Leonildo esta creatividad de la Teología de la Prosperidad, radica en los elementos que la tornan atrayente y le confieren un poder infalible a través de sus leyes: ley de prosperidad, ley de sembrar y cosechar, inversión en negocios 3 Mardones, José María. (2010) ¿A dónde va la religión? Cristianismo y religiosidad en nuestro tiempo. Santander: Sal Terrae 4 Campos Silveira, Leonildo. (1999). Teatro, Templo e Mercado. Petrópolis: Vozes. Iglesia Reformada... ¿siempre reformándose? · 217 218 · altamente lucrativos y donde el riesgo del capital invertido es mínimo o inexistente. En la obra citada, se han desarrollado más ampliamente los cambios teológicos y sus implicaciones misionológicas de esta clase de teología, aquí simplemente quisimos mencionarlas. De esta manera, esta teología transforma la comprensión de un Dios de amor y solidario con su creación en un capitalista a ultranza, pronunciándose a favor de los poderes del mercado. El elemento cristológico del Jesús de Nazaret que nació, vivió y murió sin ninguna posesión, muda a un Jesús rico quien profetiza los valores monetarios del Reino-Mercado. El segundo modelo de teología visible es lo que Alberto Fernando Roldán en su libro ¿Para qué sirve la teología? Una respuesta crítica con horizonte abierto5 llama de “Teología Simplista”. Según este teólogo argentino este modelo no es nuevo, ya que siempre ha estado permeando algunos sectores de la Iglesia cristiana, pero ahora se ha reinstalado en cuerpos eclesiales y denominacionales. Consiste en simplificaciones de los problemas sociales y económicos que son resultado de políticas como el llamado neoliberalismo, que para otros es, en lenguaje más gráfico y rotundo: el capitalismo salvaje6. Nos sigue diciendo Alberto que para la Teología Simplista, toda la realidad, incluyendo la económica y social, se reduce a cuestiones espirituales. El desempleo es cuestión de demonios, la corrupción de gobernantes –ese flagelo que pareciera no tener fin ni conocer de límites y geografías- es culpa de los cristianos, y todo el interés de Dios pasa, exclusivamente, por la Iglesia, como si Dios no fuera el Creador también, de la familia, el trabajo y el Estado. Precisamente, esta teología desconoce que esos mandatos u órdenes de la creación son producto de la bondad de Dios y no subproductos creados por el ser humano o por la sociedad. En consecuencia, la Teología Simplista termina por subsumir toda la realidad a la Iglesia en una tendencia indisimulablemente gnóstica, maniquea y docética 7. 5 Roldán, Alberto F. (1999) ¿Para qué sirve la teología? Una respuesta crítica con horizonte abierto. FIET. Argentina. Disponible en PDF en https://es.scribd.com/doc/154436438/ Para-Que-Sirve-La-Teologia-Roldan-Alberto 6 Es una nueva economía de libre mercado que nació alrededor del globo y sus consecuencias económicas y sociales están generando una serie de resultados negativos. Se advierte que el libre mercado ha ido creciendo hasta convertirse en un tobogán. Estamos viendo y veremos los aumentos masivos posibles en la pobreza, en el crimen, y en el desempleo, especialmente en el Tercer Mundo, que carece de los sistemas políticos y legales con que cuentan los Estados avanzados. A esta economía descontrolada y con consecuencias extremadamente negativas para los países que no pueden oponérsele se le llama capitalismo salvaje 218 · Luis Carlos MARRERO · 219 Y el tercer modelo es la que denominamos “Teología Fundamentalista”. Y aquí queremos detenernos. No es necesario hacer la historia del fundamentalismo pues ya otros lo han hecho y sería llover sobre mojado. Lo que pretendemos mostrar es que el fundamentalismo no es sólo la interpretación literal de un </w:t>
      </w:r>
      <w:r>
        <w:lastRenderedPageBreak/>
        <w:t xml:space="preserve">texto bíblico o el cumplimiento irrefutable de algún designio divino. Partimos de la premisa de que el fundamentalismo es también una condición humana, y se mueve en base a intereses y objetivos bien precisos. Por supuesto, en el caso religioso siempre buscará el basamento divino que garantice su objetivo final, y para este fin utilizará todo tipo de dispositivos con matices teológicos, convirtiéndolo en una categoría sistémica, lo que provoca la pluralización del término. Siendo así hablaríamos de fundamentalismos. Dos tipos de fundamentalismo se observan de manera distintiva en las iglesias evangélicas. Uno, el más conocido, caracterizado por el literalismo bíblico, la separación de la iglesia como ente extraterrestre que nada tiene que ver con los asuntos de la tierra, donde el pecado sigue dominando el mundo a través de Satanás y se combate este pecado a través de guerras espirituales, cadenas de oraciones y ayunos; la iglesia como única vía verdadera para la salvación del ser humano, además el ecumenismo es visto como el gran peligro diabólico de estos tiempos y las otras religiones son falsas, entre otros. El otro fundamentalismo, tiene su vertiente en nuestras denominaciones más históricas y viene manifestándose desde la contraofensiva teológica al primero, con propuestas teológicas más liberadoras, actualizaciones y re-lecturas bíblicas, una iglesia que acompaña8 los procesos sociales, comprensión del pecado como algo estructural y donde el ecumenismo tiene una lectura humanista, representado en algunos líderes y las otras religiones son destellos de la revelación de Dios pero la consumación final de esta revelación ha sido en Jesucristo. Esta postura también puede ser considerada de fundamentalista pues no admite al interior de sus elaboraciones teológicas otras actitudes que disientan de sus exclusivas verdades. Es un inclusivismo disfrazado de exclusivismo. Sólo es aceptado quien cree y piensa igual, además no hay diferencias entre ambos pues usan los mismos instrumentos mediáticos: Dios, Jesús, 7 Roldán, Alberto F. (1999) ¿Para qué sirve la teología? Una respuesta crítica con horizonte abierto. FIET. Argentina. Disponible en PDF en https://es.scribd.com/doc/154436438/ Para-Que-Sirve-La-Teologia-Roldan-Alberto 8 Creemos que es uno de los términos que deben ser re-configurados pues sigue poniendo a la Iglesia en una posición de poder como ente separado de la sociedad. Iglesia Reformada... ¿siempre reformándose? · 219 220 · Biblia, designios, dogmas, doctrinas, entre otros. Adiciónese a este entramado, los otros grupos religiosos no cristianos que siguen proliferando en la isla de manera acelerada. Esto nos ubica en lo que en ciertas ocasiones nuestras iglesias evangélicas parecen olvidar: estamos viviendo en un continente diverso y plural, no solo en la perspectiva religiosa, sino también en todas las demás áreas del saber y actuar humanos, donde formamos parte de este abanico pluralista. 3. Hacia dónde pudiéramos ir... Estamos percibiendo hoy en la actualidad, que muchas iglesias evangélicas están teniendo una constitución atípica en lo que respecta a la continuidad histórica de la tradición protestante. Es un tipo de cristianismo, que al parecer, nos ha llegado – y continúa llegando – por carriles distintos de los que uso el protestantismo en sus inicios. Se puede pensar incluso, que este cristianismo está conectado con la generación de los últimos treinta años y desligado del protestantismo de la “sola gracia”, la “sola Escritura” y de la “justificación por la fe”. “Por eso la preservación de la fe en ese estilo no significa mantener la fe en la pureza doctrinal como se ha entendido tradicionalmente”9. El teólogo luterano Paul Tillich insistía en la importancia de escuchar las preguntas que el ser humano se hace en su situación concreta y de contestarlas con el mensaje cristiano, lo que le llamó el método de correlación. La preocupación existencial del ser humano, dice Tillich, “debe entrar en diálogo con la verdad del texto bíblico, que tiene respuesta para ésta. La cultura tiene un carácter religioso, y está en relación dialéctica - sí o no- con las suposiciones concretas del cristianismo”10 Sin embargo, el </w:t>
      </w:r>
      <w:r>
        <w:lastRenderedPageBreak/>
        <w:t xml:space="preserve">actual contexto evangélico protestante latinoamericano, la manera de concebir la misión y las nuevas vertientes eclesioló- gicas han variado mucho desde sus orígenes. Sea por nuestra formación, modelos pedagógicos foráneos, crisis de contenidos o por el impacto que están produciendo teologías de nuevo cuño sobre nuestras congregaciones, desde hace algunos años, en asambleas, reuniones, retiros pastorales, entre otros espacios internacionales, se viene planteando la necesidad de re-pensar y recuperar la teología y misión que siempre distinguió al protestantismo. 9 Piedra, Arturo. (2003). Hacia dónde va el protestantismo. Herencia y prospectivas en América Latina. Buenos Aires: Fraternidad Teológica Latinoamericana 10 Tillich, Paul. (1984). Teologia sistemática. São Paulo: Paulinas. 220 · Luis Carlos MARRERO · 221 Para esta labor ineludiblemente debemos empezar por la apertura de un espacio para la reflexión sobre el significado y actualidad de los principios protestantes el actual contexto latinoamericano y mundial y no solo esperar a los 31 de octubre para algún culto o conferencia especial sobre la Reforma. Como aportación a esa reflexión, queremos exponer algunas consideraciones teológicas como resultado de algunos encuentros con teólogos, pastores, seminaristas, laicos y comunidades donde estamos trabajando, tanto en Cuba como en otros lugares del continente. Lo primero que se ha constatado es el debate sobre lo que entendemos por lealtad denominacional. Los protestantes mantenemos que la adhesión a una iglesia o denominación conlleva un sentido de responsabilidad, de compromiso con los enunciados, objetivos y proyectos de aquella denominación de la que pasamos a formar parte. Como iglesias, necesitamos recuperar el sentido de adhesión a lo que somos y estamos haciendo, lo que supone conocer, valorar, respetar y aceptar positivamente nuestros principios denominacionales y compartir una tarea común. Conocer nuestra historia y a quienes la protagonizaron, preguntarnos acerca de sus motivaciones y convicciones, y acercarnos al origen bíblico y teológico de nuestras creencias, principios y prácticas es necesario a la hora de definir claramente y fortalecer nuestra identidad. Un segundo elemento en los debates es priorizar la espiritualidad y la consagración a Dios en nuestras iglesias y estructuras. Como religión cristiana estamos creciendo, pero la vida espiritual languidece en muchas de nuestras denominaciones históricas. Actitudes y costumbres ajenas al protestantismo se esparcen por nuestras denominaciones, empañando nuestro testimonio cristiano y restando eficacia y credibilidad a nuestra tarea común. Hemos de preguntarnos si tales situaciones son, en cierto modo, resultado de una filosofía eclesial y denominacional centrada más en la productividad y en los resultados de nuestros proyectos que en el cuidado de la vida espiritual en nuestras iglesias y miembros o si nos encontramos frente a una crisis de sentido versus los conflictos de poder. Como tercer elemento se debe re-definir la evangelización en nuestras denominaciones. Nuestra realidad es que, salvo honrosas excepciones, nuestras denominaciones históricas no conceden un lugar prioritario a la evangelización en sus programas de trabajo, y en aquellas que la tienen, ésta se deja generalmente al cuidado de los pastores o de las personas que manifiestan tener vocación y aptitudes para la evangelización. Esto implica un cuarto elemento: la formación bíblica y teológica, no solo de pastores sino de toda la iglesia. Esta formación se limita Iglesia Reformada... ¿siempre reformándose? · 221 222 · en no pocas denominaciones a los servicios dominicales o a la Escuela Dominical, se mantiene de forma continuada en niveles elementales, o se enfoca en la instrucción básica de las personas que se incorporan a las iglesias procedentes de otros contextos, lo que no satisface las expectativas de crecimiento de muchos creyentes veteranos, que terminan por abandonar nuestras iglesias en busca de otras congregaciones donde se les den claras oportunidades de crecimiento espiritual. Un dato a tener </w:t>
      </w:r>
      <w:r>
        <w:lastRenderedPageBreak/>
        <w:t>en cuenta es que nuestra membresía está disminuyendo en variadas iglesias históricas. Esto se debe como resultado de deserciones, traslados de miembros a otras iglesias pentecostales y neopentecostales, la incorporación a otras religiones, entre otras. La famosa puerta de atrás de nuestras iglesias, repetidamente señalada como un problema endémico de nuestras congregaciones, sigue abierta y muchos están cruzando su umbral. Necesitamos fomentar el sentido adulto de la fe en palabras de Diarmuid O’Murchu en los miembros de nuestras iglesias, lo que debe estar acompañado de la producción de materiales apropiados en sintonía con nuestro contexto, con nuestra confesión de fe y nuestros principios protestantes. Como quinto elemento debemos trabajar por una teología transformadora y ortopráctica, que sin renunciar a sus raíces históricas, y desde una sólida base bíblica, dialogue con la cultura y ejerza un papel crítico y profético en el ámbito eclesial y social. Esto nos lleva al sexto y último elemento, tomar conciencia de nuestras crisis, conflictos, encuentros y desencuentros, deseos de superación y servicio. Todo esto conducirá a una reflexión sobre nuestro quehacer para potenciarlo y corregirlo. Debemos mantener un permanente sentido de renovación, permaneciendo firmemente arraigados en la revelación recibida: “Retén la forma de las sanas palabras que de mí oíste, en la fe y amor que es en Cristo Jesús. Guarda el buen depósito por el Espíritu Santo que mora en nosotros” (2 Ti. 1:13-14). Para tal labor debemos estar abiertos al mundo en el que vivimos: sus necesidades, sus corrientes, su pulso, su destino. La iglesia tiene que mirar hacia fuera, procurando demostrar una actitud de apertura, solidaridad y servicio hacia los demás, buscando la plenitud del Espíritu Santo, autor de la verdadera renovación que necesitamos. Estos atrevidos pincelazos, que parten de nuestra experiencia pastoral y académica, no pretenden agotar la riqueza de una identidad que sigue en nuestra lectura como una construcción dinámica y contante presta a seguir buscando respuestas a necesidades que lejos de satisfacer, continúan demandando atención. A 500 años de aquellas tesis, aún continuamos apostando por una Iglesia Reformada siempre reformándose.</w:t>
      </w:r>
    </w:p>
    <w:p w:rsidR="006341F7" w:rsidRDefault="006341F7" w:rsidP="006341F7"/>
    <w:p w:rsidR="006341F7" w:rsidRPr="00037FD9" w:rsidRDefault="006341F7" w:rsidP="006341F7">
      <w:pPr>
        <w:rPr>
          <w:b/>
          <w:sz w:val="44"/>
          <w:szCs w:val="44"/>
        </w:rPr>
      </w:pPr>
      <w:r>
        <w:rPr>
          <w:b/>
          <w:sz w:val="44"/>
          <w:szCs w:val="44"/>
        </w:rPr>
        <w:t xml:space="preserve">5-- </w:t>
      </w:r>
      <w:r w:rsidRPr="00037FD9">
        <w:rPr>
          <w:b/>
          <w:sz w:val="44"/>
          <w:szCs w:val="44"/>
        </w:rPr>
        <w:t xml:space="preserve">500 Años de una Reforma liberadora </w:t>
      </w:r>
    </w:p>
    <w:p w:rsidR="006341F7" w:rsidRPr="00037FD9" w:rsidRDefault="006341F7" w:rsidP="006341F7">
      <w:pPr>
        <w:rPr>
          <w:b/>
          <w:sz w:val="44"/>
          <w:szCs w:val="44"/>
        </w:rPr>
      </w:pPr>
      <w:r w:rsidRPr="00037FD9">
        <w:rPr>
          <w:b/>
          <w:sz w:val="44"/>
          <w:szCs w:val="44"/>
        </w:rPr>
        <w:t xml:space="preserve">Una mirada a la obra de Lutero desde la experiencia de la vida de la fe latinoamericana </w:t>
      </w:r>
    </w:p>
    <w:p w:rsidR="006341F7" w:rsidRPr="00037FD9" w:rsidRDefault="006341F7" w:rsidP="006341F7">
      <w:pPr>
        <w:rPr>
          <w:b/>
        </w:rPr>
      </w:pPr>
      <w:r w:rsidRPr="00037FD9">
        <w:rPr>
          <w:b/>
        </w:rPr>
        <w:t xml:space="preserve">Diego PEREIRA 1 </w:t>
      </w:r>
    </w:p>
    <w:p w:rsidR="006341F7" w:rsidRDefault="006341F7" w:rsidP="006341F7">
      <w:r>
        <w:t xml:space="preserve">Diego Pereira es laico católico, tiene 37 años. Es profesor de filosofía y religión. Trabaja en enseñanza media. Es miembro de Amerindia Uruguay y del Equipo Misionero Itinerante Colibrí. Obtuvo el 3er puesto en el Primer Concurso de Ensayo organizado por la REDLAPSI en 2015. Ha publicado varios artículos en revistas impresas y también en varios sitios web de habla hispana, sobre filosofía y teología. Su primer libro «La Fuerza transformadora de la esperanza» (Ed. Nueva Visión, Montevideo, Uruguay) fue publicado en setiembre de 2016. 190 · Cada vez más lo separa de la comunidad humana, que busca la excusa del miedo generado por la inseguridad y violencia de las ciudades. </w:t>
      </w:r>
    </w:p>
    <w:p w:rsidR="006341F7" w:rsidRDefault="006341F7" w:rsidP="006341F7">
      <w:r>
        <w:lastRenderedPageBreak/>
        <w:t xml:space="preserve">Este es el universo donde el cristianismo latinoamericano se debate entre ser el continente de mayoría cristiana, pero a su vez, en un ambiente de crecimiento y valoración de un gran movimiento religioso pluralista donde crecen diversas espiritualidades. Los pueblos indígenas y afroamericanos vienen redescubriendo su identidad defendiendo sus tradiciones y su espiritualidad, tan arraigada a la Madre Tierra. Junto a ello un gran crecimiento de nuevas iglesias, sectas y espiritualidades promovidas desde la globalización de la información. «La realidad cotidiana de Latinoamérica es multirreligiosa y pluriespiritual, como es multicultural. Me gusta hablar de mestizajes porque, así como se da el mestizaje racial y cultural, se da también el mestizaje espiritual y religioso»2. Una exigencia humana y religiosa: la búsqueda de la verdad La búsqueda de una vida cristiana verdadera implica una recepción coherente de la realidad que se vive, para confrontarla con el mensaje de Jesús, resultando de ello un nuevo posicionamiento ante esa realidad, para transformar lo que allí no sea reflejo del Reino de Dios. Jesús, por ser él mismo la Verdad, genera en los cristianos una nueva existencia que les revela su verdad y la verdad de Dios. Pero en Latinoamérica no todos somos sinceros con nuestra realidad ni tampoco somos veraces. Unas veces porque seguimos siendo dominados desde afuera, pero también porque deseamos vivir como los que nos siguen dominando. Nos falta conciencia de unidad y desde allí también aún nos falta superar la autonomía de la conciencia, promovida por Lutero, para alcanzar una cierta unidad de conciencias que nos haga decidir y actuar como comunidad, como propuso Dietrich Bonhoeffer. Pero, en todo esto, a toda la iglesia como Pueblo de Dios aún le falta caminar por la verdad y la sinceridad3. Según Balthasar, toda verdad mundana tiene carácter misterioso, pero aun así es dada en propiedad al ser humano como participación, sin perder por ello la absoluta intimidad de la verdad divina. Esta revelación es una relación libre: «La criatura está así interiormente provista de verdad en cuanto centro relativo, que por su parte es capaz de conocer la verdad y expresarla por sí mismo»4. Desde que nuestro Dios se hizo 2 Cabestrero, Teófilo, ¿Victoria de los vencidos? Latinoamérica en el siglo XXI, Ed. PPC, Madrid, 2002, p. 206 3 Cfr. Küng, Hans, Sinceridad y veracidad. En torno al futuro de la Iglesia, Ed. Herder, Barcelona, 1970 4 Balthasar, Hans Urs von, La esencia de la verdad, Ed. Sudamericana, Bs As, 1955, p. 259 190 · Diego PEREIRA · 191 hombre en Jesús, la participación como propiedad trascendente exige la relación con nuestros prójimos y por ello es que somos testigos que en la vida cotidiana normalmente no hacemos experiencias fuertes de participación. Según Paul Tilich, la participación la debemos pensar en términos de potencia, pero que a su vez se nos revela de tres maneras5: como ser parte, tomar parte y compartir. Ser parte implica la integración de la persona a un grupo que le da identidad, que le da sentido a su vida, le proporciona cierta paz de saberse acogido, valorado y promovido. Tomar parte es una decisión interior, como movimiento voluntario a incidir directamente en ese grupo del cual se forma parte, expresando libremente en acciones públicas los resultados del examen interior. El sujeto no solo se queda en ser parte, sino que busca transformar el propio grupo y, junto con el grupo, la realidad. Y por último, la participación implica compartir, o sea, partir con, dar una parte de lo que considero como propio, a otros. De este modo sería renunciar voluntariamente a algo que me pertenece y para beneficiar o ayudar a quienes necesitan eso que yo tengo y que puedo compartir. Con esto queremos decir que en Latinoamérica Dios se nos ha revelado, pero aún más, podemos experimentarlo desde el compartir con los que nos rodean, pues ellos son la realidad más profunda. Quizá no siempre como vida, pero también como muerte: son muchos los hermanos muertos en nuestra historia por tanta injusticia y son ellos los que nos revelan la necesidad de liberación que aún necesitamos. </w:t>
      </w:r>
      <w:r>
        <w:lastRenderedPageBreak/>
        <w:t xml:space="preserve">Pero este no es un camino que podamos hacer solos, pues necesitamos de otros: la comunidad. Es en ella que Jesús se hace presente de manera clara y cercana, en la Palabra viva proclamada o en la ayuda dada o recibida. La pobreza como despertar de la conciencia Lutero logró darle a la conciencia humana un estatus de independencia sin que con ello se separara de la Palabra de Dios. Pero ¿cómo vio Lutero el drama de la pobreza, frente al mensaje cristiano, en su época? Su pensamiento acerca de los pobres y la pobreza sufrió también un proceso de conversión: desde sus clases en la Universidad sobre la carta a los Romanos, donde se refería a los pobres como los cristianos verdaderos en sentido simbólicoreligioso, irá pasando poco a poco un interpretación históricoliteral de la pobreza. Son los pobres que va reconociendo, frente a la riqueza de la Iglesia, los que lo hacen comprender el papel que jue- 5 Tilich, Paul, A coragem de ser, Ed. Paz e Terra, Rio de Janeiro, 1976, pp. 6787 500 años de una Reforma liberadora · 191 192 · gan dentro de la historia de Salvación: «Durante estos años Lutero estaba estrechando sus contactos con el pueblo, con la inevitable toma de conciencia del sufrimiento de los abundantes pobres»6. Sin duda que también Lutero tiene claro a qué pobreza se refiere: a la sufrida por causa del egoísmo de otros que tienen mucho, y a la pobreza por opción, que es la del monje. La primera, la pobreza sufrida injustamente, tampoco será la causa de la mirada misericordiosa de Dios a las personas, sino la fe que experimentan en el medio de su calvario: «Debemos ser conscientes de que la pobreza y los sufrimientos no hacen a nadie persona grata ante Dios; antes bien, si uno ya es persona grata, entonces su pobreza y sus sufrimientos son cosa preciosa para Dios, como dice el Salmo 116...»7. Las riquezas y los bienes son causa del pecado de avaricia de las personas, y la pobreza puede ser un estado posible de mayor gratitud ante Dios. Los pueblos latinoamericanos han vivido desde sus comienzos la desgracia del sometimiento, no solo al poder político y económico, sino religioso. Aquí la voz de la conciencia humana logra revelarnos que hay algo que está mal y que debe cambiarse. Y el cristianismo en América Latina está históricamente signado por una imagen de Dios vinculada ideológicamente al sistema, aceptando algunos conceptos fundamentales que marcan el aprendizaje de la fe y que son asimilados como justificadores de la opresión: humildad, obediencia, paciencia, pobreza (¿evangé- lica?), renuncia, no venganza, no violencia, entre otros8. De todos modos, creemos que, con Lutero y muchos otros cristianos latinoamericanos, es posible tomar conciencia de esta injusticia y aprovecharla para lograr un mayor grado de comprensión del mensaje cristiano en el contexto actual. Por eso el mundo de los pobres sigue siendo el lugar social que influye en el pensar la fe, sobre todo desde Jesucristo, siendo una realidad que nos da qué pensar, que nos capacita el pensamiento y, sobre todo, nos enseña a pensar9. Tenemos el gran desafío de luchar contra el ocultamiento de la pobreza de la vida cotidiana, no solo la que se esconde en las polis centralizadoras de los poderes, sino que se la oculta de los mismos pobres a 6 Brummel, Lee., Lutero y los pobres: una muestra de su interpretación, en Varios, Lutero ayer y hoy, Ed. La Aurora, Bs As, 1984, pp. 145157 7 Lutero, Martín, La fe demuestra su vitalidad mediante obras de amor, en Materiales de apoyo del curso online «Martín Lutero y la Reforma de la Iglesia», Seminario Luterano de Ausburgo (SEMLA) 8 Cfr. Boff, Leonardo, La experiencia de Dios, Talleres Editorial Stella, Bogotá, 1975, p. 39 9 Sobrino, Jon, Jesucristo liberador. Lectura socioteológica de Jesús de Nazaret, Ed. Trotta, Madrid, 2010, pp.5157 192 · Diego PEREIRA · 193 quienes intentan distraerlos con un mundo feliz que les venden por internet. El consumismo nos genera deseos innecesarios gracias a la cultura mediática que nos regala imágenes de mundos perfectos que recibimos en nuestros móviles u ordenadores. En este sentido, el cristianismo en América Latina debe jugar un papel imprescindible promoviendo una «noción de revelación como </w:t>
      </w:r>
      <w:r>
        <w:lastRenderedPageBreak/>
        <w:t xml:space="preserve">un proceso de aprendizaje de aprender a ser humano. Y este aprendizaje comienza con la crítica de la imagen de modelo de ser humano y el proceso de humanización...»10. Experiencia de conversión y seguimiento de Jesús La búsqueda de Lutero de un Dios misericordioso y benevolente, y su noencuentro con él dentro de la fe aprendida, lo van llevando a una profunda crisis existencial. De la lectura de San Pablo y San Agustín, que parte de su deseo ferviente de servir y a amar a Dios, descubre que la vida cristiana está basada en la fe. Cuando no se encuentre con el Dios del amor bajo la obediencia y la sumisión en el cumplimiento de las obras que mandaba la iglesia, descubre algo que cimentará toda su fuerza espiritual: Dios no pide obras, lo único que quiere es que depositemos toda nuestra fe en él, ya que solo por la fe seremos salvos. No hay nada que hagamos de manera que Dios cambie su actitud sobre nosotros, sino que debemos tener plena confianza en él a través de su hijo Jesucristo. Escribirá Lutero: «...al cristiano le basta con la fe; no necesita obra alguna para ser justificado... ha de tener seguridad de que está desligado de todos los preceptos y leyes; y si está desligado, indudablemente es libre. Esa es la libertad cristiana: la fe sola»11. Esta experiencia de transformación interior, que pasa por una comprensión nueva de la fe, va llevando a Lutero a una liberación interior de tantos miedos y de sentimientos de culpa al reconocer una nueva verdad. Pero esta verdad tiene una segunda exigencia: la fe verdadera convierte en buenas las obras que se realicen. Las obras no serán más exigencias para la salvación, sino que serán fruto de la fe sincera y de un corazón convertido por el amor de Dios. La vida de fe trata entonces de amar y servir al prójimo. Sobre esto escribe: De esta fe surge en el hombre el conocimiento de Dios: llega a darse cuenta de lo bueno y misericordioso que es el Señor. Y tal conocimiento a su vez produce en él un corazón blando... Busca por lo tanto dar expresión a 10 Mo Sung, Jung, Sementes de esperança, Ed. Vozes, Petrópolis, 2005, p. 80 11 Lutero, Martín, La fe demuestra su vitalidad mediante obras de amor, en Materiales de apoyo del curso online «Martín Lutero y la Reforma de la Iglesia», Seminario Luterano de Ausburgo (SEMLA) 500 años de una Reforma liberadora · 193 194 · su amor, y sirve a su prójimo de todo corazón, con cuerpo y vida, bienes y honra, con alma y espíritu, y hace por él todo cuanto esté a su alcance, tal como Dios ha hecho con él.12 En América Latina la interiorización de la realidad viene marcada por un horizonte de sometimiento y opresión, y por ello hablar de transformación espiritual debería llevarnos a la liberación humana. Conocer a Jesús implica un encuentro personal con él a partir de la realidad social, pues es allí donde lo reconocemos bajo la dominación y la esclavitud (quizá hoy renovada en sus prácticas, pero sin dejar de ser esclavitud). La subjetividad que trajeron los conquistadores se enfrentó a una fuerza comunitaria asentada en nuestras tierras que aún es posible vivirse, pero más que nada en los contextos más vulnerables. El pueblo de los pobres se organiza en sindicatos, partidos, asociaciones, movimientos. Se reúnen en foros, encuentros internacionales, se contactan haciendo provecho de los medios de comunicación logrando perseverar en su caminar histórico, atravesando el tiempo y el espacio en la búsqueda del Reino, de la Tierra sin Mal de los pueblos originarios. Sus aspiraciones poseen en sí una fuerza histórica que supera la lógica del sistema dominador13. Por esto el seguimiento de Jesús en Latinoamérica implica una experiencia de fe marcada por el contexto de pobreza con una apertura al otro el pobre como exigencia primera de reconocerlo como marginado religioso, social, político, económico para, en un segundo momento, pasar a ser discípulo. «El Dios de Jesús es precisamente el Dios de los olvidados y marginados, de aquellos a los que se quiere hacer callar»14, por eso nosotros debemos unirnos a sus voces si queremos entrar en el grupo de los seguidores. El discipulado tiene una espiritualidad que implica ponerse en camino, disponiéndose a dejarse </w:t>
      </w:r>
      <w:r>
        <w:lastRenderedPageBreak/>
        <w:t xml:space="preserve">transformar por el amor de Dios, desde el contacto histórico, y desde ella realizar las obras agradables a Dios en los hermanos que sufren. Por la práctica de la liberación las situaciones de injusticia están en primer lugar en la vida del discípulo, viviendo cada día como oportunidad de honrar a su Señor en la solidaridad con los más débiles. Es una espiritualidad encarnada que supera lo simplemente espiritual: le da sentido de conexión entre la dimensión ética o la praxis, y la dimensión intelectual o teórica. 12 Ibidem 13 Cfr. Comblin, José, Antropología Cristiana, Colección «Teología y Liberación», Serie III: La liberación en la Historia, Tomo I, Ed. Paulinas, Bs As, 1985, pp. 189203 14 Gutiérrez, Gustavo, La densidad del presente, Ed. Sígueme, Salamanca, 2003, p. 191 194 · Diego PEREIRA · 195 La fe reflexionada: la teología como camino de liberación Entre los siglos XIV y XV se da en Europa una decadencia muy preocupante a nivel de la teología15. De todo ello Lutero recogerá por contraposición –y como carnada- la falta de eficacia de cuestiones de fe que preocupan a todos pero que quedaban sin definir. Su sólida formación y sus dones personales hicieron de él una mente brillante. Pero la clave de su formación está en su necesidad interior de conocer mejor las Escrituras, por lo que su producción teológica es bíblicamente religiosa: está mediada por la oración, la predicación desde una fe auténtica y un amor total por Jesús16. Esto irá llevando a Lutero a su convencimiento de la Sola Scriptura: solo la Palabra de Dios escrita, sin ninguna interferencia o interpretación de la autoridad de la Iglesia, es la que debe animar la vida del cristiano. Pero esto «no significó en Lutero un juego con versículos bíblicos o con textos combinados ni la mera recitación de textos de memoria. Sola Scriptura es un principio hermenéutico. No debe reinar ningún texto impreso, ningún libro, ninguna letra, sino el espíritu de toda la Sagrada Escritura»17. Será en el estudio de algunos pasajes del Antiguo Testamento y de los Salmos donde sufrirá su gran liberación teológica: él verá que deben ser interpretados a la luz del Evangelio. Sobre todo los Salmos deben ser interpretados a la luz de la síntesis cristológicosoteriológica. La fe reflexionada desde el contexto de opresión y pobreza latinoamericana exigió a los teólogos, preocupados por una completa liberación del ser humano, crear un nuevo método conocido como Teología de la Liberación (TL), que hasta nuestros días continúa incomodando por las denuncias que realiza. Desde el primer impulso que dio el Concilio Vaticano II, las Conferencias Episcopales de Medellín y de Puebla denunciaban la situación de injusticia humana que se vivía en el continente y proponía una clara postura de la Iglesia: la opción preferencial por los pobres. Pero de alguna manera, desde el ámbito institucional y jerárquico, esto no fue llevado a cabo, salvo algunas variadas excepciones que trascendieron la tentación del poder y se comprometieron con la realidad de los latinoamericanos. Superando la teología clásica que muchas veces dio sustento a la misma colonización, la TL intenta alcanzar la liberación del ser humano como totalidad a partir de la situación actual en la cual se encuentra, 15 García Villoslada, R., Raíces históricas del luteranismo, Ed. BAC, Madrid, 1969, pp. 95132 16 Busquets, Juan, op. cit., p. 70 17 Pietrantonio, Ricardo, Lutero como profesor y hermeneuta de la Biblia, en Varios, Lutero ayer y hoy, Ed. La Aurora, Bs As, 1984, pp. 1533 500 años de una Reforma liberadora · 195 196 · sometido históricamente a la esclavitud y al maltrato. Frente a esta realidad la TL plantea un nuevo método de trabajo, realizando una relectura de la Palabra de Dios y encontrando en ella muchos elementos similares a la situación que viven los que pueblan nuestras tierras y van encontrando una nueva clave de lectura e interpretación. Siguiendo a Leonardo Boff y su hermano Clodovis18 tendremos en primer lugar que la TL se servirá de las ciencias humanas para poder realizar un examen lo más acertado posible de la realidad, la cual muestra una situación de opresión. Analizará con detalle el porqué de la opresión, el porqué de la pobreza que sufren los </w:t>
      </w:r>
      <w:r>
        <w:lastRenderedPageBreak/>
        <w:t xml:space="preserve">pueblos. Esto arroja datos cuantificables que objetivizan y dan cuenta de las grandes masas oprimidas por los poderes económicos y políticos, incluso en países donde los gobiernos son de confesión cristiana. Un segundo paso tiene que ver con qué dice la Palabra en aquellas situaciones donde el pueblo elegido vivía situaciones similares. En el AT el Pueblo de Israel ha sido un pueblo sometido por los poderes imperantes (egipcios, romanos) pero desde siempre Yahvé se ha manifestado como el Dios Liberador, que lo saca de las situaciones de injusticia por mano de hombres elegidos para liderar esa misión. De la misma manera Jesús, el Hijo de Dios, con palabras y obras, se muestra como amigo y hermano de los que más sufren y de los más excluidos de la sociedad. Atacó con dureza el abuso de poder en toda su manifestación (sobre todo la religiosa) y denunció la injusticia que sufría su pueblo, al punto de morir como el peor de lo malhechores por causa de su mensaje. Este paso exige una nueva clave interpretativa: desde la liberación que Dios realiza en su pueblo, pero desde la experiencia y relato de los pobres. El tercer paso de la TL es el decisivo, ya que compromete al cristiano en un movimiento liberador que parte del Espíritu de Dios manifestado en la Palabra y se encarna en la realidad, buscando así transformar la injusticia, con una actitud militante en combate contra la pobreza. Es el momento práxico donde se pasa del discurso a la acción, de la oración al planeamiento de estrategias y planes de cambios sociales, generando una santa resistencia frente al sometimiento. Pero es también un cambio de lógica, de lugar: se trata de que junto a los pobres se conviertan los sentimientos de desgracia y abandono, en un sentimiento de lucha, generando espacios de empoderamiento que logren formar estructuras de respuesta inteligente a la mirada despreciativa de los que ignoran su situación. El gran avance de esta teología es que es una teología crítica 18 Boff, Leonardo y Clodovis, Cómo hacer Teología de la Liberación, Ed. Paulinas, São Paulo, 1985 196 · Diego PEREIRA · 197 sobre la misma praxis de la fe: es convertir la vida cotidiana del cristiano en una convivencia evangélica con los más desfavorecidos, entregando la misma vida como sacrificio agradable a Dios en búsqueda de la llegada del Reino en este presente. Como dice Gutiérrez: La reflexión teológica sería entonces, necesariamente una crítica de la sociedad y de la Iglesia, en tanto que convocadas e interpeladas por la Palabra de Dios; una teoría crítica, a la luz de la fe, animada por una intención de práctica e indisolublemente unida, por consiguiente, a la praxis histórica 19. La Reforma de Lutero en sus inicios Según algunos historiadores la Reforma no es comprendida sin Lutero, sino que la Reforma es Lutero (Lortz). Pero lo que Lutero buscaba no era la escisión de la cristiandad sino una reforma de las estructuras anquilosadas en las cuales se encontraban y la hacían lejana al mensaje de Jesús. En este sentido Lutero no logró el apoyo esperado de la clase eclesiástica para llevar adelante sus cambios, «muchas veces faltó el arquitecto, es decir, un Romano Pontífice que tomase con seriedad y energía la reconstrucción del edificio tambaleante de la cristiandad»20. Si bien su confesor fue quien primero lo impulsa a buscar el aprovechamiento de sus virtudes en pos de un cambio profundo, también será quien tema ante la radicalidad del pensamiento de su fraile. Tan grande fue su obra que según Hans Küng marca un “giro copernicano” en la historia de la teología y de la Iglesia: Con todo, puesto que Roma se negaba entonces a cualquier clase de reforma, tuvo que llegarse a la división de la Iglesia: junto a la división de la Iglesia entre Este y Oeste en el siglo XI, ahora, en el siglo XVI, una nueva división en Occidente entre Norte y Sur en Alemania, en Europa y, finalmente, en América: una división entre las Iglesias de paradigma medieval y las de paradigma reformador21. ¿Cómo puede entenderse que, sin el apoyo de la jerarquía eclesiástica y por lo contrario con toda la crueldad de su oposición, la Reforma se llevara a cabo tan eficazmente? Existía, junto con todo un contexto político y económico, una situación </w:t>
      </w:r>
      <w:r>
        <w:lastRenderedPageBreak/>
        <w:t xml:space="preserve">social y religiosa que propició la eficacia de la Reforma. En éste último aspecto destacamos la desconformidad institucional que se venía acentuando cada vez más en el pueblo 19 Gutiérrez, Gustavo, Teología de la Liberación. Perspectivas. Ed. Universitaria S.A., 1971, p. 28 20 Villoslada, Ricardo G., Raíces históricas del luteranismo, Ed. BAC, Madrid, 1969, p. 276 21 Küng, Hans, Cambios de modelo de Iglesia en la marcha del pueblo de Dios, en http:// servicioskoinonia.org/ 500 años de una Reforma liberadora · 197 198 · que reclamaba un protagonismo del laicado frente al desprestigio del sacerdocio que fue llevando a muchos de ellos, a monjes y predicadores a unirse a la Reforma. También la búsqueda de la salvación era cada vez más angustiosa frente a una continua predicación del pecado y el miedo al infierno en un clima de confusión doctrinal por las voces discordantes. Podemos decir con Villoslada que hasta el año 1500 los grandes movimientos reformadores -políticos, ideológicos, religiosos- se difundieron por medios orales y algunos pocos escritos22. Su fuerte fue la militancia o el proselitismo. La Reforma luterana contó con un medio de propaganda que facilitó en un alto grado su expansión: la imprenta. Martín Lutero lo supo aprovechar muy bien para dar a conocer su ruptura con la Iglesia y atraer seguidores a su movimiento religioso. La imprenta contribuyó a generar una revolución en el cristianismo. Sólo entre 1517 y 1520 se imprimieron más de 300.000 copias de treinta textos de Lutero, una cantidad envidiable incluso en nuestros días23. Así el acceso a la Palabra de Dios fue un gran influjo para un nuevo cristianismo que elevó la figura de cada mujer y cada hombre a ser responsables de su fe desde el encuentro con Jesús. Los hogares protestantes eran desde ese entonces la iglesia elegida por Dios donde se convive con el Señor de la historia, sin depender de los intermediarios y a la misma manera del Papa. De todas maneras la Reforma hizo necesario una cierta organización a través de una comisión que debía visitar las diferentes iglesias que se convertían al protestantismo, evaluando la predicación de los ministros, unificando los aspectos doctrinales y litúrgicos, como el sostén de las parroquias. Se establecieron escuelas reformadas a las cuales el mismo Lutero invitaba a los padres a enviar a sus hijos e hijas y también los laicos debían tener mayor formación, mientras se escribieron himnarios para favorecer la participación laica en las celebraciones. Desde estos inicios se va sucediendo la expansión protestante con el apoyo del aparato político alemán. La Reforma en Latinoamérica: las CEBs La reforma eclesial latinoamericana tiene su sustento -al igual que Lutero- en la Palabra de Dios contenida en la Biblia en manos del pueblo sencillo. Y esta reforma se fue dando en Latinoamérica a través de los pequeños grupos de cristianos que comenzaron una lectura orante de la 22 Villoslada, Ricardo G., op. cit., pp. 283- 290 23 Rifkin, Jeremy, La civilización empática, Ed. Paidós, Madrid, 2010, p. 256 198 · Diego PEREIRA · 199 Palabra confrontándola a su vida cotidiana. Las comunidades eclesiales de base pasaron a dar vida a una Iglesia institucional que caía en descrédito. Su aparición nos recordó el inicio de la Iglesia de Jesús en las primeras comunidades que eran pequeños grupos reunidos en sus propias casas. En América Latina «ellas desenvolvieron un modo propio de vivir la fe, de cantar a alabanza de Dios ligado a la experiencia cotidiana de la vida y la lucha, y de celebrar la Palabra y los signos de la fe»24. Frente a una iglesia institucional que se ha vuelto cada vez más autorreferencial -sobre todo al viejo estilo romano- las comunidades eclesiales de base le han dado la oportunidad a que la Iglesia de Jesús se abra paso a los cambios mundiales, incorporando los elementos propios de cada lugar, logrando no sólo una necesaria inculturación sino que también una apertura al ecumenismo y al convivir pacífico con otras religiones y espiritualidades. Dice Marcelo Barros: En América Latina, esto supone colocarnos en comunión con las culturas populares (negras, indígenas y del catolicismo popular de cada región) y principalmente dar signos </w:t>
      </w:r>
      <w:r>
        <w:lastRenderedPageBreak/>
        <w:t xml:space="preserve">concretos de un nuevo modo de ser Iglesia, tanto por la superación del clericalismo (toda comunidad celebra y es ministerial), superación del patriarcalismo y machismo (hombres y mujeres juntos en un discipulado de iguales)25. Se trata de una nueva Iglesia más cercana a lo que Jesús quería, integrada a las clases oprimidas, insertada en los lugares de exclusión social, al lado de los que más sufren y que esperan de ella una respuesta a sus angustias. No es la Iglesia poderosa que se adjudica un poder divino manifestado en figuras de poder terrenal, que amenaza con la condena, que mantiene un sistema monárquico que no acepta el cambio hacia un gobierno democrático, más popular e igualitario. Para Isabel Iñiguez las CEBs son el lugar el hermenéutico y teologal por excelencia ya que en ella se experimenta la cercanía de Jesús y del Proyecto del Padre. En la lectura de la Biblia, el AT muestra la elección de Dios por su pueblo, y esto se continúa en la interpretación hermenéutica de la comunidad-pueblo como Iglesia de los pobres experimentándose como los predilectos de Dios, los elegidos de Jesús para su liberación. Con todo ello: Con Como pueblo en su dignidad es sujeto y deberíamos provocarnos ese análisis de la praxis de manera consciente para dar salto cualitativos, porque va realizando su configuración histórica a partir de las experiencias y la reflexión desde su filosofía latinoamericana, sapiencial y la cultura y 24 Barros, Marcelo, Evangelho e instituição, Ed. Paulus, São Paulo, 2014, p.142 25 Ibidem, op. cit., p. 145 500 años de una Reforma liberadora · 199 200 · religiosidad popular que le van dando su identidad, en la construcción del Reino26. Y desde esta afirmación la autora propone tres ejes de trabajo como desafíos en el nuevo contexto eclesial: la participación y dignidad de todos los integrantes de la comunidad; por otro lado se ve la posibilidad de la comunidad como la forjadora de conciencias, que logre penetrar la realidad con una mirada crítica y sobre todo reconocerse a sí misma como valiosa. Por último habla de una nueva autoridad “otra” generando un nuevo modo de relaciones con las personas, con los bienes colectivos y con la construcción histórica, desde el lugar del servicio. No sólo se trata de volver a las fuentes sino de dejar constancia la lejanía de la actual Iglesia institución. En América Latina la experiencia de pobreza ha sido un signo de los tiempos que ha llevado a construir una nueva Iglesia como Pueblo de Dios, cimentada en la experiencia de sufrimiento y exclusión de los pueblos oprimidos. Esta experiencia se fortalece y acrecienta en las pequeñas comunidades y por eso es que creemos que esta experiencia de las CEBs es la que el mismo Papa Francisco ha vivido en su proceso de formación y de crecimiento como pastor y por ello es que propone una Iglesia pobre y para los pobres (EG 198). Su propuesta pastoral intenta recuperar esta experiencia y extenderla a la Iglesia universal, por medio del diálogo intercultural, respetando las diferencias, en la comunión de creencias y el respeto a la casa común, todo ello planteado en la Carta Encíclica Laudato si'. La reforma del cristianismo y la utopía de Jesús Con todos los aportes que hemos tomado de Lutero y la Reforma Protestante para buscar las comparaciones con las experiencias de fe en Latinoamérica, queremos destacar algunos elementos: a-mientras que Lutero contó con el apoyo del poder político para llevar adelante su propuesta, las reformas que se proponen en América Latina nace desde los sectores pobres, es promovido por ellos, pero tiene en su contra el poder político, y la falta de recursos para ser eficaces; b-mientras los pobres juegan un papel principal en el desarrollo del pensamiento teológico de Lutero, la experiencia de pobreza que marca la historia de Latinoamérica coloca al pobre en el centro de la predicación de Reino proclamado por Jesús, pero son los actores de la transformación; c-frente a un Lutero que 26 Iñíguez, Isabel, Eclesiogénesis, teología simbólica, en Varios, La Reforma de la Iglesia en tiempos de discernimiento, Marcelo Trejo y Rosario Hermano (orgs.), Ed. Amerindia, Montevideo, 2015, p. 175. 200 · Diego PEREIRA · 201 sufre la oposición y la </w:t>
      </w:r>
      <w:r>
        <w:lastRenderedPageBreak/>
        <w:t>condenación de la máxima autoridad de la Iglesia, los esfuerzos de las CEBs se vieron ignorados por las autoridades, que se encargaron de castigar a las voces que venía de los miembros de la estructura, hasta el punto de colaborar indirectamente con su muerte; d-por otro lado, si bien la Reforma de Lutero contó con el apoyo de muchos actores, sigue siendo asignada a su persona. En el caso de la reforma desde las CEBs las iglesias latinoamericanas se sienten mayormente veraces por pertenecer, no a una conciencia única, sino a una conciencia comunitaria, como un nosotros unido y completo. La reforma del cristianismo implica volver a Jesús, esto es encontrarnos con la gran utopía del cristianismo: la iglesia tal como Jesús la quiso, pero más que eso, la iglesia como Jesús la dejó planteada mientras estuvo con sus discípulos a través de sus enseñanzas. Pero es ya aceptado que Jesús no quiso fundar una Iglesia, sino que su proyecto pasó por reunir las ovejas del pueblo de Israel, con el mismo Dios manifestado en su Hijo, el Reino ya presente en la tierra. En este sentido seguimos la cuestión planteada por Xavier Alegre de que Jesús no quiso romper con la tradición judía que provenía del Antiguo testamento, ni crear un nuevo pueblo elegido. Si Dios había sido fiel a su pueblo, lo único que debía hacer Jesús, es seguir la misma fidelidad mostrada hasta entonces. En este sentido la reforma posible del cristianismo latinoamericano implica una exigente unidad de las diferentes iglesias, revalorizando los espacios de acuerdos comunes y proponiéndonos cambios eficaces en todos los niveles, pero partiendo de las experiencias que ya se llevan adelante hace tiempo y que se asemejan al proyecto de Jesús. Son las CEBs las que están diseminadas por el mundo como células vivas de un cuerpo que están formando parte del cuerpo espiritual de Cristo que proponía San Pablo, o de la iglesia invisible de Lutero. Esto implica una verdadera transformación de todo el aparato eclesial, un cambio de lugar de la autoridad, mal entendido como poder y no como servicio. La mayor transformación en la historia reciente de la Iglesia católica vino de manos de un latinoamericano en el lugar más alto de la jerarquía, pero que propone una transformación que toca la columna vertebral del cristianismo universal. Él nos invita ser una Iglesia que pida y experimente la misericordia de Dios, pero sobre todo que cambie la mirada sobre sí misma y el mundo. La Reforma que Dios quisiera pasa sus iglesias no podemos saberla con exactitud, pero sí podemos saber qué es lo que el Hijo de Dios quiso e hizo por lograrlo. Y lo que Jesús nos dejó fue su ejemplo concreto de amor, de servicio, de dejarlo todo por el pobre y el necesitado, pues ellos son los verdaderos destinatarios de Dios, y nosotros debemos imitarle. 500 años de una Reforma liberadora · 201 202 · Lutero descubrió en Jesús la grandeza en lo pequeño y fue Jesús que lo fortaleció para enfrentar a la institución que un día lo excomulgaría. Pero firme en Jesús comenzó un proceso de reforma que hoy lo vemos como fruto del Espíritu. Es ese mismo Espíritu que nos sigue alentando cada día a trabajar juntos, todos los cristianos, sin detenernos en las diferencias entre iglesias, en favor de hacer que nuestros hermanos que más sufren puedan llevar una vida más digna, y eso implica tomar decisiones radicales que transformen nuestro interior y nuestras comunidades para luego transformar el mundo.</w:t>
      </w:r>
    </w:p>
    <w:p w:rsidR="006341F7" w:rsidRPr="007C1EAC" w:rsidRDefault="006341F7" w:rsidP="006341F7">
      <w:pPr>
        <w:rPr>
          <w:b/>
          <w:sz w:val="40"/>
          <w:szCs w:val="40"/>
        </w:rPr>
      </w:pPr>
      <w:r>
        <w:rPr>
          <w:b/>
          <w:sz w:val="40"/>
          <w:szCs w:val="40"/>
        </w:rPr>
        <w:t xml:space="preserve">4. </w:t>
      </w:r>
      <w:r w:rsidRPr="007C1EAC">
        <w:rPr>
          <w:b/>
          <w:sz w:val="40"/>
          <w:szCs w:val="40"/>
        </w:rPr>
        <w:t xml:space="preserve">Otro Papado para el siglo XXI </w:t>
      </w:r>
    </w:p>
    <w:p w:rsidR="006341F7" w:rsidRPr="007C1EAC" w:rsidRDefault="006341F7" w:rsidP="006341F7">
      <w:pPr>
        <w:rPr>
          <w:b/>
          <w:sz w:val="40"/>
          <w:szCs w:val="40"/>
        </w:rPr>
      </w:pPr>
      <w:r w:rsidRPr="007C1EAC">
        <w:rPr>
          <w:b/>
          <w:sz w:val="40"/>
          <w:szCs w:val="40"/>
        </w:rPr>
        <w:t xml:space="preserve">Reflexiones a partir de la Encíclica Ut unum sint de Juan Pablo II </w:t>
      </w:r>
    </w:p>
    <w:p w:rsidR="006341F7" w:rsidRPr="00031D27" w:rsidRDefault="006341F7" w:rsidP="006341F7">
      <w:pPr>
        <w:rPr>
          <w:b/>
        </w:rPr>
      </w:pPr>
      <w:r w:rsidRPr="00031D27">
        <w:rPr>
          <w:b/>
        </w:rPr>
        <w:t xml:space="preserve">José ARREGI </w:t>
      </w:r>
    </w:p>
    <w:p w:rsidR="006341F7" w:rsidRDefault="006341F7" w:rsidP="006341F7">
      <w:r>
        <w:lastRenderedPageBreak/>
        <w:t xml:space="preserve">En 1995, Juan Pablo II en la Encíclica Ut unum sint expresó la voluntad de buscar una nueva manera de ejercer el primado del obispo de Roma como ministerio de comunión de todas las Iglesias. La propuesta suscitó interés en todas las Iglesias, pero muy pronto quedó relegada al olvido. En las páginas que siguen señalaré los elementos nucleares del documento y analizaré críticamente sus presupuestos teológicos. ¿No siguen estando demasiado anclados en el pasado? ¿En Ut unum sint no sigue todavía el obispo de Roma prisionero del papado? La tesis es sencilla: para avanzar –“tú, sígueme” (Jn 21,22)– hacia una comunión de las Iglesias propia del siglo XXI es imprescindible reformar enteramente el marco conceptual, imaginario e institucional de la Iglesia y de los ministerios. Y así reimaginar otro “ministerio de Pedro”, liberado del “orden sagrado”, de la “sucesión” y de Roma. 1. La novedad y la ambigüedad de la vida Ut unum sint (Para que sean uno) es una encíclica sobre “el empeño ecuménico”, y se presenta como un comentario del Decreto del Concilio Vaticano II Unitatis Redintegratio (1964), del que están tomadas casi la mitad de las 162 citas. Su interés, sin embargo, se centra en el papado, problema mayor del ecumenismo. El ministerio del obispo de Roma, reconoce la encíclica, “constituye una dificultad para la mayoría de los demás cristianos, cuya memoria está marcada por ciertos recuerdos dolorosos” (UUS 88). Habría que decir más bien “la dificultad”, como afirmó abiertamente Pablo VI en 1967: “El papa, lo sabemos, es sin duda el obstáculo más grave en el camino del ecumenismo” . 1 1 Discurso al Secretariado para la promoción de la unidad de los cristianos (27 de abril de 1967, AAS 59 (1967), p. 498. 256 · El pasado y el presente lo corroboran. En los años 90 del siglo XX, después de tres décadas posconciliares de empeño más o menos optimista, todos los esfuerzos ecuménicos habían encallado una y otra vez en la “roca de Pedro”, mejor dicho, en la roca del papado vaticano. Las comisiones teológicas intereclesiales llegaban sin mayores dificultades a acuerdos básicos en los grandes debates que nos habían dividido en el pasado: el Filioque, la justificación, los sacramentos, María... Bastaban la buena voluntad y la lectura crítica de los textos fundantes del cristianismo, sobre todo el Nuevo Testamento. Ni siquiera cierto primado simbólico del obispo de Roma era un obstáculo insalvable: las Iglesias ortodoxas nunca tuvieron inconveniente en aceptarlo, siempre y cuando no fuera un primado jurisdiccional; algo similar podría decirse incluso de la Iglesia luterana. Pero el diálogo fracasaba en el momento en que Roma reivindicaba un primado entendido como poder jurisdiccional sobre las demás Iglesias. Ahí ya no era posible avanzar. El problema es el papado. Inesperadamente, el propio Juan Pablo II, el papa conservador e inflexible, vino por fin a reconocerlo en la Encíclica. Tras haber recalcado insistentemente el papel vital e irreemplazable del obispo de Roma en la comunión verdadera de todas las Iglesias, afirma: "Estoy convencido de tener al respecto una responsabilidad particular, sobre todo al constatar la aspiración ecuménica de la mayor parte de las Comunidades cristianas y al escuchar la petición que se me dirige de encontrar una forma de ejercicio del primado que, sin renunciar de ningún modo a lo esencial de su misión, se abra a una situación nueva” (UUS 95). Por esa frase se cita y se seguirá citando la Encíclica. La sorpresa y el interés suscitados por estas palabras fueron considerables. Un papa de arraigadas posiciones tradicionalistas reclamaba la necesidad de repensar la figura del obispo de Roma, su función en la Iglesia. Esa frase constituye la principal o la única aportación novedosa de la encíclica, el único paso adelante en relación con la Constitución conciliar Lumen Gentium sobre la Iglesia y el Decreto conciliar Unitatis Redintegratio sobre el ecumenismo. Pero ¿en qué consiste, justamente, “lo esencial” del primado o de la misión del obispo de Roma? He ahí el nudo de la cuestión que la Encíclica deja prácticamente intacto. La sección consagrada a la función del papa en el camino ecuménico hacia la comunión se abre con </w:t>
      </w:r>
      <w:r>
        <w:lastRenderedPageBreak/>
        <w:t xml:space="preserve">esta frase: “La Iglesia católica es consciente de haber conservado el ministerio del Sucesor del apóstol Pedro, el Obispo de Roma, que Dios ha constituido como principio y fundamento perpetuo y visible de unidad” (UUS 88). Los términos que subrayo en cursiva son a cuál más equívocos y confusos tanto desde el punto de vista histórico como teológico, pero la encíclica 256 · José ARREGI · 257 ni los clarifica ni justifica; los da por supuesto como si supiéramos qué significan. Los establece como fundamento sin fundamentarlos. Se comprende que todos los intentos llevados a cabo desde entonces hasta hoy por proponer una nueva forma de ejercicio del “primado” romano hayan fracasado: así la reunión de especialistas convocada por la Congregación para la Doctrina de la fe al año siguiente de la Encíclica, en 1996, sobre el tema: “El primado del Sucesor de Pedro” ; así también la Asamblea Plenaria del Consejo Pontificio para la Unidad de los Cristianos en el 20012, que ofreció un balance sobre lo esencial de las diversas propuestas y estudios aparecidos a raíz de la publicación de Ut unum sint3 . Todo se limitaba a vagas propuestas en torno a la sinodalidad y a disquisiciones sin fin sobre lo que significan el primado y la infalibilidad. Y se comprende que, diez años después de Ut unum sint, el cardenal Kasper hiciera suya la expresión empleada por Pablo VI en 1967 y volviera a reconocer que el papado es el “mayor obstáculo para la plena comunión ecuménica”4 . Hoy, 21 años después de la Encíclica, constatamos que no se ha dado ningún paso para hacer efectiva la voluntad de “encontrar una forma de servicio del primado… que se abra a una situación nueva”5 . Es como si no se supiera hacia dónde avanzar. Pero la Encíclica apunta una dirección: el pasado. ¿Es la dirección correcta? 2. ¿Basta con volver al primer milenio Ut unum sint propone como modelo a seguir la relación entre las Iglesias de Oriente y Occidente durante el primer milenio, antes de la división de 1054. Da por supuesto que todas las Iglesias durante ese tiempo reconocían al obispo de Roma como garante último de la plena comunión: “El camino de la Iglesia se inició en Jerusalén el día de Pentecostés y todo su desarrollo original en la oikumene de entonces se concentraba alrededor de Pedro y de los Once (cf Act 2,14). Las estructuras de la Iglesia en Oriente y Occidente se formaban por tanto en relación con Otro Papado para el Siglo XXI · 257 2 Sus Actas están recogidas en Il Primato del successore di Pietro. Atti del Simposio Teologico (1996), Città del Vaticano 1998. 3 Publicado en el boletín oficial del Consejo: Service d’Information – Information Service, 2002/I-II, 29-42. 4 W. Kasper, Caminos de unidad. Perspectivas para el ecumenismo, Cristiandad, Madrid 2008, p. 198. 5 Juan María Laboa afirma al respecto: “Fuera de la frase de la encíclica, Roma no ha dado un paso en esa dirección ni el tema ha vuelto a plantearse” (“El papado entre el medioevo y la actualidad”, en Diego Tolsada [coord.], El papado en la Iglesia y en el mundo de hoy, PPC, Madrid 2014, p. 102). 258 · aquel patrimonio. Su unidad, en el primer milenio, se mantenía en esas mismas estructuras mediante los Obispos, sucesores de los Apóstoles, en comunión con el Obispo de Roma. Si hoy, al final del segundo milenio, tratamos de restablecer la plena comunión, debemos referirnos a esta unidad estructurada así" (UUS 55; cf. 56 y 61). Hay que reconocer la carga innovadora que contiene el hecho de proponer el primer milenio como modelo para el ejercicio actual del primado romano. ¡En el primer milenio no existían todavía los dogmas del primado de jurisdicción y de la infalibilidad definidos por el Vaticano I en 1970! ¿Estaba el papa pensando en derogarlos? Sería inimaginable en cualquier papa, y más si cabe en Juan Pablo II. Más razonable es pensar que se refería a la necesidad de ejercer el primado y la infalibilidad de acuerdo al modelo del primer milenio, pero “sin renunciar a lo esencial”. Y aquí volvemos a encontrarnos en el impasse de siempre: ¿en qué consiste lo esencial de esos dogmas? ¿Se encuentra en el primer milenio alguna “estructura” unánimemente aceptada por las Iglesias, asimilable al primado de jurisdicción y a la </w:t>
      </w:r>
      <w:r>
        <w:lastRenderedPageBreak/>
        <w:t xml:space="preserve">infalibilidad? Si apela a la historia como criterio, debiera atenerse a los datos de la historia. Dejemos, pues, hablar a la historia. ¿Qué nos enseña sobre la relación del obispo de Roma con las demás Iglesias y la función que desempeñó en la comunión de las mismas durante el primer milenio? He aquí una síntesis de los datos principales6: - hasta las últimas décadas del s. II, la Iglesia de Roma –formada de diversas iglesias o comunidades– no estuvo regida por ningún “obispo”, sino por un “colegio de presbíteros”; - gozó entre todas las Iglesias de especial prestigio y autoridad moral, debido sobre todo a que allí se guardaban la tumba y la memoria de Pedro y Pablo (muertos en Roma probablemente durante la persecución de Nerón del año 64), y a la generosidad de que dio prueba en el sostenimiento económico de otras iglesias más pobres –a ello se refiere Ignacio de Antioquía al decir que la comunidad de Roma es “la que pre- 258 · José ARREGI 6 Cf. S. Acerbi, El papado en la Antigüedad, Ediciones del Orto, Madrid 2000; J. Guyon, “Roma christiana, Roma aeterna. El lugar alcanzado por la Iglesia de Roma durante la Antigüedad tardía”, en A. Corbin (dir.), Historia del cristianismo, Ariel, Barcelona 2007, pp. 61-64; J. Gnilka, Pedro y Roma, Herder, Barcelona 2003; E. Hoornaert , “¿Cómo entender el Papado? Algunos apuntes de orden histórico”, en Relat 429 (servicioskoinonia.org/relat/429.htm); J.M. Tillard, El obispo de Roma. Estudio sobre el papado, Sal Terrae, Santander 1986; K. Schatz. El primado del papa. Su historia desde los orígenes hasta nuestros días, Sal Terrae, Santander 1996. Fernando Rivas nos ofrece una buena síntesis sobre el primado de Roma en los primeros siglos en “El primado de Roma en la Antigüedad”, en Diego Tolsada [coord.], El papado en la Iglesia y en el mundo de hoy, o.c., pp. 41-64. · 259 side en la caridad”–, y también sin duda a que era la capital del Imperio romano (“ciudad eterna” y “cabeza del mundo”); - hacia finales del s. II, Ireneo de Lyon elabora la “lista de sucesión apostólica” de los obispos de Roma, pero tales listas eran comunes en otras muchas iglesias que se consideraban fundadas por algún apóstol; - el mismo Ireneo reconoce a la iglesia de Roma la “primacía”, pero no la potestad para intervenir en otras iglesias; lo mismo enseñará San Cipriano, obispo de Cartago, a finales del s. III; - desde finales del s. II, los obispos de Roma empiezan a intervenir, pero consta que su intervención a menudo no era aceptada (por ejemplo, cuando la Iglesia de Asia Menor, con Ireneo al frente, se opuso al cambio de fecha de la Pascua que el “papa” Víctor quiso imponer, o como cuando Cipriano de Cartago se enfrentó al “papa” Esteban en la cuestión del bautismo administrado por los herejes); - a partir del s. III, se desencadenó una gran pugna por el poder entre las grandes metrópolis del imperio (Roma, Alejandría, Antioquía y luego sobre todo Constantinopla, fundada por Constantino en el año 330); - el prestigio y la autoridad de Roma aumentaron sensiblemente cuando la ciudad entera se cristianizó, y más una vez que el emperador abandona Roma y se establece en Rávena en el año 402, asumiendo así el obispo de alguna forma el papel y los atributos del emperador, como pontifex maximus; la cristianización de Roma trae consigo la romanización del cristianismo; las intervenciones de Roma se multiplican, su obispo se llama “vicario de Cristo”; pero obispos como San Basilio y San Ambrosio no admiten la voluntad de control de Roma sobre los obispos; - el Concilio de Calcedonia (451), el mismo que definió la doctrina cristológica de las “dos naturalezas y una persona”, reconoció al obispo de Constantinopla la igualdad de derechos con el obispo de Roma, pero ese canon no fue reconocido por León Magno, obispo de Roma entre 440-461, que puede ser llamado el “primer papa”7 : es el primero que se llamó “vicario de Pedro”, elaboró la doctrina de la “sucesión de Pedro” y reivindicó la “plenitud del poder” para intervenir en todas las iglesias y cuestiones, pero no sin rechazo. Baste con esos datos sueltos. ¿Dónde queda esa “unidad estructurada” de todas las Iglesias en torno al obispo de Roma de la que habla UUS 55? El </w:t>
      </w:r>
      <w:r>
        <w:lastRenderedPageBreak/>
        <w:t xml:space="preserve">problema es que UUS apela a la historia, pero ésta no avala Otro Papado para el Siglo XXI · 259 7 El término “papa” designaba primero a personas de especial estima o autoridad en general, y fue utilizado en particular para designar a algunos monjes; a partir del s. III se aplicó a los obispos en general; el primero que lo utiliza para designar al obispo de Roma fue Siricio (384-399), y el primero que lo reivindica en exclusiva es Gregorio VII (1073-1085). 260 · las afirmaciones genéricas sobre la existencia, desde el principio, de una estructura de comunión de todas las Iglesias en torno al obispo de Roma. “El primado de Roma no estuvo configurado desde sus principios de manera acabada, sino que fue más bien fruto de un largo y complejo proceso, en el que intervinieron múltiples factores de todo tipo (sociales, culturales, políticos, económicos, religiosos, teológicos, eclesiales…)” 8. Llama la atención, además, y nos alerta, el hecho de que UUS n. 55, que se refiere explícitamente a Unitatis Redintegratio n. 14, no cite la frase con la que se abre este número: “Las Iglesias de Oriente y Occidente, durante muchos siglos, siguieron su propio camino, unidas, sin embargo, por la comunión fraterna de la fe y de la vida sacramental, siendo la Sede Romana, por común consentimiento, la que resolvía cuando entre las Iglesias surgían discrepancias en materia de fe o de disciplina”. Esa frase menciona dos de los elementos históricos indiscutibles de la relación entre las diferentes Iglesias: su diversidad (“seguían su propio camino”) y el “común consentimiento” cuando recurrían al arbitraje de la Iglesia de Roma. Ut unum sint retrocede respecto de Unitatis Redintegratio. Pero es preciso añadir una reflexión sobre el valor de modelo vinculante que la Encíclica atribuye a las estructuras eclesiales del primer milenio. Aun en el hipotético caso de que el obispo de Roma hubiera ejercido desde el principio una real potestad sobre todas las otras iglesias y hubiera sido efectivamente reconocida por éstas, ¿estaríamos por ello obligados a reproducir hoy esas estructuras de un pasado remoto? No podemos ignorar ni relegar el pasado a la hora de reconstruir la comunión de las Iglesias en el presente, pero la fidelidad al pasado no consiste en reproducirlo servilmente, sino en dejarse inspirar para avanzar creativamente hacia otra Iglesia, otros ministerios, otro modelo de comunión. Solo así será posible el propósito que formula la Encíclica en su afirmación clave: “encontrar una forma de ejercicio del primado que… se abra a una situación nueva” (UUS 95). Reproducir las estructuras del primer milenio sería traicionarlo gravemente. Ser fieles al Espíritu que guió a las Iglesias de la antigüedad significa seguir caminando, abriendo caminos inéditos como ellas hicieron. 260 · José ARREGI 8 F. Rivas, “El primado de Roma en la Antigüedad”, l.c., p. 61. “Si alguien hubiera preguntado a un cristiano hacia el año 100, 200 o incluso 300 si el obispo de Roma era la cabeza suprema de todos los cristianos, si había un obispo que estaba por encima de los otros obispos y que tenía la última palabra en cuestiones que atañen a toda la Iglesia, su respuesta habría sido sin duda negativa" (K. Schatz, cit. por M. Kehl, La Iglesia. Eclesiología católica, Sígueme, Salamanca 1996, p. 318). · 261 3. ¿Y qué pensa de la «voluntad de Cristo»? Los cristianos volvemos a Jesús –a lo que lo dijo, hizo, quiso– para guiar nuestra vida, para construir el futuro justo y libre que él esperó, anunció, anticipó. La historia de Jesús, transformadora de la historia, es el criterio de nuestra praxis personal y eclesial. Nos remitimos a su historia para construir la nuestra. Al decir “historia de Jesús”, me refiero a su vida humana movida por el Espíritu transformador, creador de nueva historia, de nuevo mundo. La historia de Jesús nos inspira y nos guía con su aliento espiritual. Ut unum sint se remite a Jesús para sentar las bases de una nueva manera de ejercer el primado de Pedro. El número 95 (donde se contiene la famosa frase) se abre con la afirmación de que “la función del Obispo de Roma responde a la voluntad de Cristo”, y afirma: “por el deseo de obedecer verdaderamente a la voluntad de Cristo, me considero </w:t>
      </w:r>
      <w:r>
        <w:lastRenderedPageBreak/>
        <w:t xml:space="preserve">llamado, como Obispo de Roma, a ejercer ese ministerio”. Y en el número 96 el papa se pregunta: “La comunión real, aunque imperfecta, que existe entre todos nosotros, ¿no podría llevar a los responsables eclesiales y a sus teólogos a establecer conmigo y sobre esta cuestión un diálogo fraterno, paciente, en el que podríamos escucharnos más allá de estériles polémicas, teniendo presente sólo la voluntad de Cristo para su Iglesia, dejándonos impactar por su grito ‘que ellos también sean uno en nosotros, para que el mundo crea que tú me has enviado’ (Jn 17, 21)”? El n. 90 afirma: “En el Nuevo Testamento Pedro tiene un puesto peculiar (…). El lugar que tiene Pedro se fundamenta en las palabras mismas de Cristo, tal y como vienen recordadas por las tradiciones evangélicas”. Se refiere a Mt 16,17-19, citado enteramente por el n. 91. Además, se citan tres veces las palabras de Jesús a Pedro: “Confirma a tus hermanos” de Lc 22,31 (UUS. 4 y 91), y dos veces las palabras “Apacienta mis ovejas” de Jn 21,15-17 (UUS 91). Y se señala como “significativo” que, según 1 Cor 15,5, “Cristo resucitado se aparezca primero a Cefas y luego a los Doce” (UUS 91). En el número 97 se dice: “La primera parte de los Hechos de los Apóstoles presenta a Pedro como el que habla en nombre del grupo apostólico y sirve a la unidad de la comunidad, y esto respetando la autoridad de Santiago, cabeza de la Iglesia de Jerusalén. Esta función de Pedro debe permanecer en la Iglesia para que, bajo su única Cabeza, que es Cristo Jesús, sea visiblemente en el mundo la comunión de todos sus discípulos”. La Encíclica no dice “voluntad de Jesús”, sino “voluntad de Cristo”, como es habitual en los documentos del magisterio jerárquico. Nos remite no tanto al Jesús histórico, sino a la figura de “Cristo” reinterpretada y “reconstruida” por las comunidades cristianas y expresada en los textos Otro Papado para el Siglo XXI · 261 262 · evangélicos. Ahora bien, el Jesús de la historia es el primer criterio a la hora de reformar la Iglesia y sus ministerios o las relaciones ecuménicas en la “nueva situación” que vivimos, si no queremos correr el riesgo de apoyarnos, sin saberlo, sobre nuestros propios prejuicios proyectados sobre Jesús, o el riesgo de llamar “voluntad de Cristo” a lo que son meras creencias y de utilizar como argumento teológico lo que no pasan de ser meras convicciones. Esta confusión de planos se da a menudo en el magisterio jerárquico, y la Encíclica que nos ocupa es un ejemplo. Es necesario, pues, atender a los especialistas y tener en cuenta los datos que, en relación con la figura de Pedro, muchos y buenos exegetas consideran históricamente seguros9 . He aquí un breve resumen: - Aunque no todas las noticias que el Nuevo Testamento ofrece sobre Pedro sean históricas, nadie pone en duda que ocupara un puesto destacado entre los discípulos, que Jesús le hubiera conferido un papel especial en la tarea de anunciar el Reino y de reunir al Israel disperso, y que su figura siguiera siendo recordada después de su muerte y ligada en especial a algunas Iglesias, como la Iglesia de Mateo (¿Antioquía?) o Roma, donde murió; - Es muy probable que, después de la muerte de Jesús y de la dispersión (si la hubo) de los discípulos/as, Pedro haya liderado su reunificación en torno a la confesión de que ha sido resucitado o exaltado por Dios; así habría que entender el que sea “el primero” al que Jesús resucitado “se le aparece” (1 Cor 15,5; Lc 24,34), aunque bien pudo compartir ese papel con María de Magdala o incluso corresponderle a ésta el protagonismo de la confesión pascual 10; - Hay un amplísimo consenso en que el texto de Mt 16,17-19 es creación pospascual propia de Mateo o de la tradición que recoge; podría tener como finalidad reivindicar el lugar o la autoridad de la propia iglesia (tal vez Antioquía, donde probablemente escribe Mateo, o alguna otra cercana) en cuanto fundada por Pedro, frente a otras iglesias que apelaban a Pablo o al “Discípulo Amado”; el poder de “atar y desatar”, que ahí se atribuye a Pedro, se aplicó primero a los discípulos en general (Mt 18,18) o a los Doce (Jn 20,23); - El Discípulo Amado, personaje distinto del apóstol Juan y no perteneciente al grupo de los Doce, </w:t>
      </w:r>
      <w:r>
        <w:lastRenderedPageBreak/>
        <w:t xml:space="preserve">reconoce la primacía de Pedro (Jn 20,6; 21,3.11.15-19), pero exige autonomía frente a él y no acepta ser controlado por él (Jn 21,22-22); 262 · José ARREGI 9 Una buena síntesis en Severiano Blanco, “Fundamentos bíblicos del ministerio de Pedro”, en D. Tolsada (dir.), El papado en la Iglesia y en el mundo de hoy, o.c., pp. 9-40. 10 Así G. Theissen A. Merz, El Jesús histórico, Sígueme, Salamanca 1999, p. 548. · 263 - Merece destacarse el hecho de que también Pablo reconoció la preeminencia de Pedro (Gal 1,18; 2,1-10), pero ello no le impidió enfrentarse a él duramente en Antioquía (Gal 2,11-14), e incluso romper con él definitivamente, pues a partir de ese episodio (¿año 49?) no tenemos noticia de que hayan tenido más relación. Por cierto, una de las cosas llamativas y tal vez significativas de Ut unum sint es el olvido y la relegación de la figura de Pablo, siendo así que para muchas Iglesias fue más importante que Pedro; - Por lo demás, las Iglesias neotestamentarias se organizaron internamente de maneras muy diversas; no hay más que mirar a las comunidades de Jerusalén, Antioquía, Corinto y Roma11 . En conclusión: según los datos exegéticos de que disponemos, Jesús no pensaba en una Iglesia futura provista de unas estructuras organizativas (anunció más bien la llegada de una transformación profunda del mundo que llamaba “Reino de Dios”, que comportaba la eliminación de todas las enfermedades e injusticias, y cuya realización era algo inminente). No confió a Pedro ninguna misión heredable en el futuro por un “sucesor”, ni constituyó el grupo de Doce para presidir la Iglesia o las Iglesias, sino para simbolizar y promover la reunificación final de los judíos de la Diáspora. De hecho, parece seguro que la mayoría de los Doce no presidieron ninguna Iglesia y que, por el contrario, algunos que no eran de los Doce sí lo hicieron; es el caso de Santiago, el hermano de Jesús, en Jerusalén, y el caso del Discípulo Amado que fue la figura de referencia de importantes comunidades; es el caso, en particular, de Pablo, que fundó y “gobernó” numerosas Iglesias. Ni en la mente de Jesús ni en las comunidades del Nuevo Testamento encontramos nada que se parezca a un obispo de Roma como “sucesor de Pedro”, y cuánto menos a un “primado de jurisdicción” en el sentido en que la Encíclica Ut unum sint parece atribuirle. Pero esta conclusión quedaría incompleta sin añadir otra reflexión: aun cuando el Jesús histórico hubiera conferido expresamente a Pedro la potestad para presidir a la Iglesia en general, para ser el fundamento y la garantía de su comunión, para tomar la última decisión y pronunciar la última palabra en todas las cuestiones de doctrina y de moral, ¿estaríamos por ello hoy, dos mil años después, sujetos a esa práctica y obligados a mantenerla tal cual? ¿No sería eso tanto como negar la historicidad, la humanidad, la “encarnación” humana e histórica de Dios en él? ¿No nos condenaríamos así a bloquear la acción del Espíritu y la transformación de nuestra Iglesia y de la historia? Otro Papado para el Siglo XXI · 263 11 Cf., por ejemplo, S. Blanco, “Al principio era la diversidad. De las múltiples comunidades cristianas a la Gran Iglesia”, en Studium Legionense 45 (2004), pp. 225-259. 264 · 4. ¿Qué modelo de unidad, de comunión de ecumenismo? “Que todos sean uno”. El título de la Encíclica retoma la oración de Jesús, citada 6 veces en el texto (UUS 9, 23,26,96,98), y calificada incluso de “grito” (n. 96). Los términos “unidad” o “unión” se repiten unas 200 veces, más 130 veces el término “comunión”. La pregunta crucial es: ¿Qué modelo de unión? ¿Es necesaria una unidad institucional orgánica y centralizada? ¿Un solo rebaño bajo un solo pastor? Ut unum sint reconoce la necesidad de superar el modelo ecuménico que se impuso durante el segundo milenio, centrado en la figura de un papa plenipotenciario, pero sigue aferrada a un modelo demasiado romanocéntrico y demasiado papista. Un modelo demasiado romanocéntrico. La Iglesia romana sigue considerándose el centro y la base. Siguiendo a la Constitución sobre la Iglesia Lumen Gentium y al Decreto sobre el ecumenismo Unitatis Redintegratio del Concilio Vaticano II, afirma que la Iglesia </w:t>
      </w:r>
      <w:r>
        <w:lastRenderedPageBreak/>
        <w:t xml:space="preserve">católica romana es aquella en la que se ha guardado la plenitud de la verdad y, por lo tanto, la garantía de la plena comunión: “La Constitución Lumen Gentium, en una de sus afirmaciones fundamentales recogida por el Decreto Unitatis Redintegratio, declara que la única Iglesia de Cristo subsiste en la Iglesia católica [LG 8; UR 4]. El Decreto sobre el ecumenismo señala la presencia en la misma de la plenitud (plenitudo) de los medios de salvación [UR 3]. La plena unidad se realizará cuando todos participen de la plenitud de medios de salvación que Cristo ha confiado a su Iglesia” (UUS 86; la misma cita en el n. 10). Son conocidas las discusiones conciliares que desembocaron en la elección del término subsistit en lugar de est, queriendo evitar la mera identificación de la única Iglesia con la Iglesia católica romana. Tampoco Ut unum sint las identifica sin más, pero insiste en que solo en ella se halla ya presente la plenitud salvífica. El n. 14 lo reitera: “Los elementos de esta Iglesia ya dada existen, juntos en su plenitud, en la Iglesia católica y, sin esta plenitud, en las otras Comunidades” (cita UR 4, pero no textualmente; la segunda parte, “sin esta plenitud en las otras Comunidades”, no se encuentra en UR de manera tan rotunda y clara). Así pues, la plena comunión solo será posible a las demás Iglesias en la medida en que se incorporen a la plenitud – “plenitud de gracia y de verdad” (UUS 10)– existente solamente en la Iglesia católica romana. Más aun: “La Iglesia católica (…) sostiene que la comunión de las Iglesias particulares con la Iglesia de Roma, y de sus Obispos con el Obispo de Roma, es un requisito esencial —en el designio de Dios— para la comunión plena y visible” (UUS 97). El Decreto Unitatis Redintegratio no se expresaba en esos términos tan tajantes; lo hará pocos años después la Dominus Jesus (2000). 264 · José ARREGI · 265 Y un modelo demasiado papista. La Encíclica llama a revisar la forma de ejercer el ministerio papal, pero no contempla ningún cambio de modelo de dicho ministerio ni ninguna merma sustancial de los poderes que los dogmas católicos le han atribuido en el segundo milenio: el primado y la infalibilidad. Al obispo de Roma se le reconoce como “el signo visible y la garantía de la unidad” (UUS 88), pero advierte que no se limita a ser “signo”, sino que además posee el “poder” –en definitiva, el primado jurisdiccional y la infalibilidad– para ejercer su misión simbólica. En el n. 94 leemos: “El Obispo de Roma, con el poder y la autoridad sin los cuales esta función sería ilusoria, debe asegurar la comunión de todas las Iglesias. Por esta razón, es el primero entre los servidores de la unidad. Este primado se ejerce en varios niveles, que se refieren a la vigilancia sobre la trasmisión de la Palabra, la celebración sacramental y litúrgica, la misión, la disciplina y la vida cristiana. Corresponde al Sucesor de Pedro recordar las exigencias del bien común de la Iglesia, si alguien estuviera tentado de olvidarlo en función de sus propios intereses. Tiene el deber de advertir, poner en guardia, declarar a veces inconciliable con la unidad de fe esta o aquella opinión que se difunde. Cuando las circunstancias lo exigen, habla en nombre de todos los Pastores en comunión con él. Puede incluso —en condiciones bien precisas, señaladas por el Concilio Vaticano I— declarar ex cathedra que una doctrina pertenece al depósito de la fe [cita la fórmula de la definición de la infalibilidad en el Concilio Vaticano I: DS 3060]. Testimoniando así la verdad, sirve a la unidad”. La conclusión se impone: La comunión con el Sucesor de Pedro “es un requisito esencial —en el designio de Dios— para la comunión plena y visible” (UUS 97). Así pues, el obispo de Roma mantiene la última palabra: “La autoridad docente tiene la responsabilidad de expresar el juicio definitivo” (UUS 81). Y ha quedado bien claro que el “Sucesor de Pedro” es el único habilitado para, en última instancia, “declarar ex cathedra que una doctrina pertenece al depósito de la fe”, para enseñar la verdad. La verdad. El término “verdad” se encuentra 66 veces, más 16 veces expresiones como “verdadera unión”, verdadero ecumenismo”, “verdadera fe”… La unidad, insiste la Encíclica, es inseparable de </w:t>
      </w:r>
      <w:r>
        <w:lastRenderedPageBreak/>
        <w:t xml:space="preserve">la verdad. El disenso –como el de Pablo respecto de Pedro– no se tolera. La diversidad, con medida12 . La medida, en última instancia, la decide Roma. Otro Papado para el Siglo XXI · 265 12 “La legítima diversidad no se opone de ningún modo a la unidad de la Iglesia”, afirma (UUS 50), pero es significativo que en ningún momento se recoja el párrafo siguiente de Unitatis Redintegratio: “La tradición transmitida por los apóstoles fue recibida de diversa formas y maneras. Por esto, desde los mismos comienzos de la Iglesia, fue explicada diversamente en cada sitio por la distinta manera de ser y la diferente forma de vida” (UR 14). 266 · Es una Encíclica sobre la verdadera unidad, sobre la unión en la verdad. Pero las preguntas se multiplican aquí y las cuestiones se complican. ¿Qué es la verdad? ¿Quién la conoce? ¿Puede ser expresada adecuadamente de una vez por todas? Se afirma que “la expresión de la verdad puede ser multiforme”, pero añade enseguida que las nuevas formas de expresión han de presentar “el mensaje evangélico en su inmutable significado” (UUS 19). ¿Un significado inmutable? Es una grave contradicción, si, como es correcto, llamamos “significado” al sentido (siempre parcial, cultural, histórico) expresado en una palabra o en todas las palabras. Lo inmutable - ¿existe lo inmutable? ¿Es “Dios” mismo inmutable en el sentido que damos a este término?–, en cualquier caso, lo inmutable” sería más bien el “referente”, el “sentido desconocido e inexpresable” al que se “refieren” todas las palabras y que siempre las transciende. El significado es lo que dice la palabra; el referente es lo que la palabra quiere y nunca logra decir del todo. El referente es la “verdad”, el Misterio indecible que ninguna palabra humana es capaz de expresar. Aquí tocamos el punto débil decisivo de la Encíclica sobre la comunión. Da por supuesto que el significado inmutable puede identificarse con la verdad en sí, inmutable, y que el obispo de Roma, solo él, posee la facultad de expresarla de manera plena. La antigua fórmula, a la que las Iglesias se atuvieron durante todo el primer milenio, decía que “la Iglesia de Roma preside en la caridad”; Ut unum sint va mucho más allá, dice que el sucesor de Pedro “debe presidir en la verdad y en el amor” (UUS 97). Ahí se identifican la fórmula lingüística definida ex cathedra y el Misterio indecible. Santo Tomás de Aquino se habría sobresaltado al leerlo. Termino este apartado, como los anteriores, formulando la objeción o la cuestión de fondo para la que no se ofrece respuesta, y que no la podrá tener mientras no se opere una inversión profunda, un cambio radical de paradigma: ¿De dónde le viene al obispo de Roma el ministerio de ser “principio y fundamento perpetuo y visible de unidad” (UUS 88), “el signo visible y la garantía de la unidad” (UUS 88)? ¿Cómo adquiere el poder y la autoridad para desempeñar tal ministerio? “Por la ordenación”, se dirá. Al igual que “Dios confirió a Cristo” todo poder, así Cristo se lo confirió a sus apóstoles con Pedro a la cabeza y éste a su sucesor por la sagrada imposición de las manos, y así sucesivamente hasta el obispo de Roma de hoy. La Encíclica mantiene intacto el paradigma tradicional, piramidal, jerárquico. El poder sagrado proviene de lo alto y se transmite por sucesión jerárquica. Ese paradigma de fondo –propio tanto del primer como del segundo milenio – es lo que hace al papado –y, más allá, todo 266 · José ARREGI · 267 el sistema ministerial y todo el modelo institucional católico y cristiano en su conjunto– anacrónico e insostenible. No se trata de aplicar unos ciertos acomodos y actualizaciones al modo de ejercer el ministerio, sino de concebirlo según otro modelo radicalmente distinto. ¿Se vislumbra tal cambio de paradigma? 5. Imaginemos que el Papa Francisco... Hace cuatro años y medio fue elegido papa un obispo “venido de lejos”, argentino y jesuita, que quiso llamarse Francisco, camina con otro porte, habla con otra gracia y frescura, difunde al mundo de hoy un mensaje de acentos muy distintos a los que nos habían habituado los dos últimos papas. Ciertamente, apunta pasos en la buena dirección con su frescura </w:t>
      </w:r>
      <w:r>
        <w:lastRenderedPageBreak/>
        <w:t xml:space="preserve">y libertad franciscana, con su invitación a ser “Iglesia en salida”, en éxodo peregrino, en camino de liberación, “Iglesia que encuentra caminos nuevos”, “Iglesia pobre, para y desde los pobres”, “puesto de socorro” para cualquier herido que acuda y no aduana religiosa, doctrinal o moral para nadie (“¿quién soy yo para juzgar?”); con su denuncia de la “economía asesina” y su llamada a una “revolución de la ternura” y una “valiente revolución cultural” a la vez; con su nombre Francisco, su trato natural, su palabra cálida, su sonrisa inteligente y bondadosa; con su renuncia al palacio vaticano, al protocolo y al boato, y con su intencionada autodenominación como “obispo de Roma” y su afirmación de que “no debe esperarse del magisterio papal una palabra definitiva sobre todas las cuestiones que afectan a la Iglesia y al mundo” y de que “no es conveniente que el Papa reemplace a los episcopados locales en el discernimiento de todas las problemáticas que se plantean en sus territorios” (Evangelii Gaudium16). Pero aún no se ha concretado ninguna reforma del ministerio papal y de todos los ministerios, del viejo paradigma que los sustenta. No sabemos a dónde llegará. Tampoco sabemos si realmente querrá avanzar mucho más allá de una reforma de la Curia y de su funcionamiento, hasta la reforma efectiva y radical del “ministerio petrino”, hasta alumbrar otro papado acorde con la sociedad democrática de hoy y con la Iglesia que soñamos, profética y compañera. Y en el caso de que quisiera llegar hasta ese lugar necesario, no sabemos si se lo permitirán los poderes y los miedos, los intereses inconfesados, las conjuras ocultas, los frentes de resistencia. Sueño con que un buen día, durante su eucaristía diaria de la capilla de Santa Marta, después de haberse proclamado el Evangelio del Otro Papado para el Siglo XXI · 267 268 · envío de los doce apóstoles (Mt 10,5-13), se levantara el papa Francisco y hablara así: “¡Que la paz esté con vosotras, hermanas, hermanos de la Iglesia católica y de todas las Iglesias! Jesús nos envió a anunciar la paz y a curar, como peregrinos del mundo, sin alforjas ni bolsa ni bastón. Nos llamó a ser Iglesia de hermanas y hermanos, Iglesia hermana y compañera de todos los pobres y heridos de los caminos. Yo no soy más que el menor de vuestros hermanos, pero la gracia del azar quiso ponerme aquí, como obispo de Roma y como papa, cargado de ropajes y poderes excesivos. Ha llegado el momento de tomar una gran decisión, arriesgada y tranquila. El Espíritu de Jesús, de María de Magdala y de Simón Pedro, de Francisco y de Clara de Asís nos animan. Seamos sencillos y valientes, demos un paso que hace siglos debimos dar. Ha llegado el momento de soltar el lastre histórico que nos impide ser discípulas/os itinerantes de Jesús, profetas soñadores y subversivos como él. Ya no quiero hablaros como un personaje infalible investido de poderes sagrados, creaciones humanas espurias. Tomad mis palabras como mejor os parezca. Os propongo que juntos y en paz reinventemos o revirtamos todas las estructuras que hacen imposible que la Iglesia sea pobre, libre y hermana, sin olvidar el pasado ni atarnos a él, sin atarnos ni siquiera a nuestras Escrituras sagradas, sino dejándonos inspirar e impulsar por ellas. Es hora de que la Iglesia sea enteramente democrática, separe los poderes y se gobierne por un sistema más representativo de la voluntad de la gente que los sistemas democráticos vigentes, rehenes del sistema financiero. Y quiero que empecemos por el papado, como soñó Juan Pablo I, como pidió Juan Pablo II en una frase olvidada de una Encíclica, como reclamó Benedicto XVI cuando era simple teólogo. Opino que los dogmas del primado jurisdiccional y de la infalibilidad papal, definidos por el Concilio Vaticano I, ya no tienen sentido hoy, y que no debemos perdernos en sutiles disquisiciones para hacerles decir lo contrario de lo que dicen a oídos de cualquiera; opino que ni siquiera es necesario derogarlos solemnemente, sino reconocerlos simplemente como esquemas lingüísticos y producciones humanas de otros tiempos, hoy inservibles, y dejarlos de lado con toda sencillez como hacemos con imágenes e ideas que por lo que fuere han dejado </w:t>
      </w:r>
      <w:r>
        <w:lastRenderedPageBreak/>
        <w:t>de valernos. Y seguir adelante. Y para seguir adelante por un nuevo camino, quiero dimitir y dimito de todos los títulos y atributos que el sueño de grandeza ha ido imputando al obispo de Roma: Sumo Pontífice, Vicario de Cristo, Sucesor de Pedro, Santo Padre, Papa. Quiero despojarme de todos los fastos y 268 · José ARREGI · 269 oropeles vaticanos, pobres despojos humanos de la historia, nuestra historia institucional tan poco evangélica a menudo. Y de ningún modo quiero ser ya el presidente de un Estado con todo el aparato estatal de nuncios y embajadores y relaciones de poder. Quiero que nadie sea obispo por designación del obispo de Roma, y que todo obispo u obispa no sea más que el representante de su comunidad cristiana, y que ésta lo elija de una manera que deberemos concretar y articular entre todos, y que lo sea sólo por un tiempo prudencial. Quiero que el obispo u obispa de Roma sea, como el obispo de cualquier otra diócesis, elegido por los cristianos y cristianas de Roma, y que ya no vuelva a tener poder sobre los demás obispos de la Iglesia que llamamos Católica, cuánto menos sobre las demás Iglesias que llamamos “hermanas separadas” y que debemos llamar “hermanas” sin más. Quiero que demos un gran paso adelante en el camino hacia el ecumenismo en el que llevamos un siglo encallados. Es un pequeño paso sencillo. Basta con que todas las Iglesias, empezando por la “Iglesia católica”, nos reconozcamos las unas a las otras como verdaderas Iglesias de Jesús, sin exigirnos cambiar nuestras particularidades. Que nos reconozcamos en profunda comunión espiritual y evangélica aunque seamos muy distintas en nuestras doctrinas e instituciones. Y que oremos todos los días para pedir, fomentar, acoger entre nosotros la máxima unidad en la mayor diversidad. Y que, desde el mutuo reconocimiento fraterno y sororal, las Iglesias creen las nuevas estructuras de “comunión”, de representación y coordinación que les parezcan más convenientes. Y con eso basta, hermanas, hermanos. Volvamos a Jesús. Comencemos de nuevo. En el nombre de Jesús. Amén”.</w:t>
      </w:r>
    </w:p>
    <w:p w:rsidR="00743220" w:rsidRPr="00743220" w:rsidRDefault="00743220" w:rsidP="00743220">
      <w:pPr>
        <w:rPr>
          <w:rFonts w:ascii="Times New Roman" w:hAnsi="Times New Roman" w:cs="Times New Roman"/>
          <w:sz w:val="28"/>
          <w:szCs w:val="28"/>
        </w:rPr>
      </w:pPr>
      <w:bookmarkStart w:id="0" w:name="_GoBack"/>
      <w:bookmarkEnd w:id="0"/>
    </w:p>
    <w:sectPr w:rsidR="00743220" w:rsidRPr="007432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9570A"/>
    <w:multiLevelType w:val="hybridMultilevel"/>
    <w:tmpl w:val="ECA2B2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3AD66DF"/>
    <w:multiLevelType w:val="multilevel"/>
    <w:tmpl w:val="ABD6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F242E"/>
    <w:multiLevelType w:val="hybridMultilevel"/>
    <w:tmpl w:val="ED68340C"/>
    <w:lvl w:ilvl="0" w:tplc="240A000F">
      <w:start w:val="1"/>
      <w:numFmt w:val="decimal"/>
      <w:lvlText w:val="%1."/>
      <w:lvlJc w:val="left"/>
      <w:pPr>
        <w:ind w:left="1069"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B05375B"/>
    <w:multiLevelType w:val="multilevel"/>
    <w:tmpl w:val="A1A8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186"/>
    <w:rsid w:val="0005708D"/>
    <w:rsid w:val="00085FAE"/>
    <w:rsid w:val="00144CBB"/>
    <w:rsid w:val="00361186"/>
    <w:rsid w:val="005D0472"/>
    <w:rsid w:val="006341F7"/>
    <w:rsid w:val="006A04C0"/>
    <w:rsid w:val="0070071A"/>
    <w:rsid w:val="00743220"/>
    <w:rsid w:val="007546D0"/>
    <w:rsid w:val="00755962"/>
    <w:rsid w:val="007A74F3"/>
    <w:rsid w:val="00891605"/>
    <w:rsid w:val="008C5A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550DB-3EBB-4DAE-909E-F7326DE1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1186"/>
    <w:pPr>
      <w:ind w:left="720"/>
      <w:contextualSpacing/>
    </w:pPr>
  </w:style>
  <w:style w:type="paragraph" w:styleId="Ttulo">
    <w:name w:val="Title"/>
    <w:basedOn w:val="Normal"/>
    <w:next w:val="Normal"/>
    <w:link w:val="TtuloCar"/>
    <w:uiPriority w:val="10"/>
    <w:qFormat/>
    <w:rsid w:val="006341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41F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89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eriodistadigital.com/religion/mundo/2017/10/07/los-obispos-australianos-abordan-la-desconfianza-de-los-laicos-religion-iglesia-dios-jesus-papa-francisco-fe-pederastia-cardenal-pell-santa-sede-comision.shtml"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agina12.com.ar/autores/1845-dario-aranda" TargetMode="External"/><Relationship Id="rId12" Type="http://schemas.openxmlformats.org/officeDocument/2006/relationships/hyperlink" Target="http://www.periodistadigital.com/religion/mundo" TargetMode="External"/><Relationship Id="rId17" Type="http://schemas.openxmlformats.org/officeDocument/2006/relationships/hyperlink" Target="http://www.periodistadigital.com/religion/mundo/2017/02/06/religion-iglesia-australia-real-comision-4-500-casos-de-pederastia-en-la-iglesia-catolica-de-australia-policia-expediente-cardenal-pell-fiscalia.shtml" TargetMode="External"/><Relationship Id="rId2" Type="http://schemas.openxmlformats.org/officeDocument/2006/relationships/styles" Target="styles.xml"/><Relationship Id="rId16" Type="http://schemas.openxmlformats.org/officeDocument/2006/relationships/hyperlink" Target="http://www.thetablet.co.uk/news/7883/0/australian-church-facing-biggest-crisis-in-its-history-says-brisbane-archbisho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periodistadigital.com/religion" TargetMode="External"/><Relationship Id="rId5" Type="http://schemas.openxmlformats.org/officeDocument/2006/relationships/hyperlink" Target="https://www.elespectador.com/economia" TargetMode="External"/><Relationship Id="rId15" Type="http://schemas.openxmlformats.org/officeDocument/2006/relationships/hyperlink" Target="http://www.periodistadigital.com/religion/mundo/2017/09/13/religion-iglesia-australia-pell-informe-obstaculizo-normas-medidas-clave-atajar-abusos-sexuales.shtml" TargetMode="External"/><Relationship Id="rId10" Type="http://schemas.openxmlformats.org/officeDocument/2006/relationships/image" Target="media/image3.jpeg"/><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infocatolica.com/nuevo/?t=hemeroteca&amp;y=2017&amp;m=10&amp;d=16" TargetMode="External"/><Relationship Id="rId14" Type="http://schemas.openxmlformats.org/officeDocument/2006/relationships/hyperlink" Target="http://www.periodistadigital.com/religion/mundo/2017/09/17/religion-iglesia-mundo-australia-obispo-parramatta-vincent-long-el-voto-sobre-el-matrimonio-homosexual-en-australia-oportunidad-de-escuchar-al-espiritu.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25655</Words>
  <Characters>141106</Characters>
  <Application>Microsoft Office Word</Application>
  <DocSecurity>0</DocSecurity>
  <Lines>1175</Lines>
  <Paragraphs>332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2017-10-25T19:29:00Z</dcterms:created>
  <dcterms:modified xsi:type="dcterms:W3CDTF">2017-10-25T19:29:00Z</dcterms:modified>
</cp:coreProperties>
</file>