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CBFFD" w14:textId="77777777" w:rsidR="008766C1" w:rsidRPr="008766C1" w:rsidRDefault="008766C1" w:rsidP="008766C1">
      <w:pPr>
        <w:shd w:val="clear" w:color="auto" w:fill="FFFFFF"/>
        <w:spacing w:after="165" w:line="810" w:lineRule="atLeast"/>
        <w:outlineLvl w:val="0"/>
        <w:rPr>
          <w:rFonts w:ascii="Raleway" w:eastAsia="Times New Roman" w:hAnsi="Raleway" w:cs="Times New Roman"/>
          <w:color w:val="111111"/>
          <w:kern w:val="36"/>
          <w:sz w:val="66"/>
          <w:szCs w:val="66"/>
          <w:lang w:eastAsia="es-UY"/>
          <w14:ligatures w14:val="none"/>
        </w:rPr>
      </w:pPr>
      <w:r w:rsidRPr="008766C1">
        <w:rPr>
          <w:rFonts w:ascii="Raleway" w:eastAsia="Times New Roman" w:hAnsi="Raleway" w:cs="Times New Roman"/>
          <w:color w:val="111111"/>
          <w:kern w:val="36"/>
          <w:sz w:val="66"/>
          <w:szCs w:val="66"/>
          <w:lang w:eastAsia="es-UY"/>
          <w14:ligatures w14:val="none"/>
        </w:rPr>
        <w:t>Hermana muerte</w:t>
      </w:r>
    </w:p>
    <w:p w14:paraId="7B3E143D" w14:textId="77777777" w:rsidR="008766C1" w:rsidRPr="008766C1" w:rsidRDefault="008766C1" w:rsidP="008766C1">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8766C1">
        <w:rPr>
          <w:rFonts w:ascii="Merriweather" w:eastAsia="Times New Roman" w:hAnsi="Merriweather" w:cs="Times New Roman"/>
          <w:color w:val="444444"/>
          <w:kern w:val="0"/>
          <w:sz w:val="17"/>
          <w:szCs w:val="17"/>
          <w:lang w:eastAsia="es-UY"/>
          <w14:ligatures w14:val="none"/>
        </w:rPr>
        <w:t>escrito por</w:t>
      </w:r>
    </w:p>
    <w:p w14:paraId="0E4B7B24" w14:textId="5F18295B" w:rsidR="008766C1" w:rsidRPr="008766C1" w:rsidRDefault="008766C1" w:rsidP="008766C1">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8766C1">
        <w:rPr>
          <w:rFonts w:ascii="Merriweather" w:eastAsia="Times New Roman" w:hAnsi="Merriweather" w:cs="Times New Roman"/>
          <w:color w:val="444444"/>
          <w:kern w:val="0"/>
          <w:sz w:val="17"/>
          <w:szCs w:val="17"/>
          <w:lang w:eastAsia="es-UY"/>
          <w14:ligatures w14:val="none"/>
        </w:rPr>
        <w:t> </w:t>
      </w:r>
      <w:hyperlink r:id="rId4" w:history="1">
        <w:r w:rsidRPr="008766C1">
          <w:rPr>
            <w:rFonts w:ascii="Merriweather" w:eastAsia="Times New Roman" w:hAnsi="Merriweather" w:cs="Times New Roman"/>
            <w:b/>
            <w:bCs/>
            <w:color w:val="000000"/>
            <w:kern w:val="0"/>
            <w:sz w:val="17"/>
            <w:szCs w:val="17"/>
            <w:lang w:eastAsia="es-UY"/>
            <w14:ligatures w14:val="none"/>
          </w:rPr>
          <w:t>Jorge Picó</w:t>
        </w:r>
      </w:hyperlink>
      <w:r>
        <w:rPr>
          <w:rFonts w:ascii="Merriweather" w:eastAsia="Times New Roman" w:hAnsi="Merriweather" w:cs="Times New Roman"/>
          <w:color w:val="444444"/>
          <w:kern w:val="0"/>
          <w:sz w:val="17"/>
          <w:szCs w:val="17"/>
          <w:lang w:eastAsia="es-UY"/>
          <w14:ligatures w14:val="none"/>
        </w:rPr>
        <w:t xml:space="preserve"> </w:t>
      </w:r>
      <w:r w:rsidRPr="008766C1">
        <w:rPr>
          <w:rFonts w:ascii="Merriweather" w:eastAsia="Times New Roman" w:hAnsi="Merriweather" w:cs="Times New Roman"/>
          <w:color w:val="767676"/>
          <w:kern w:val="0"/>
          <w:sz w:val="17"/>
          <w:szCs w:val="17"/>
          <w:lang w:eastAsia="es-UY"/>
          <w14:ligatures w14:val="none"/>
        </w:rPr>
        <w:t>1 Junio 2026</w:t>
      </w:r>
    </w:p>
    <w:p w14:paraId="00BFCF33" w14:textId="65CD799D" w:rsidR="008766C1" w:rsidRPr="008766C1" w:rsidRDefault="008766C1" w:rsidP="008766C1">
      <w:pPr>
        <w:shd w:val="clear" w:color="auto" w:fill="FFFFFF"/>
        <w:spacing w:after="0" w:line="240" w:lineRule="auto"/>
        <w:textAlignment w:val="top"/>
        <w:rPr>
          <w:rFonts w:ascii="Merriweather" w:eastAsia="Times New Roman" w:hAnsi="Merriweather" w:cs="Times New Roman"/>
          <w:color w:val="000000"/>
          <w:kern w:val="0"/>
          <w:sz w:val="17"/>
          <w:szCs w:val="17"/>
          <w:lang w:eastAsia="es-UY"/>
          <w14:ligatures w14:val="none"/>
        </w:rPr>
      </w:pPr>
    </w:p>
    <w:p w14:paraId="597C9711" w14:textId="6BAEBA85" w:rsidR="008766C1" w:rsidRPr="008766C1" w:rsidRDefault="008766C1" w:rsidP="008766C1">
      <w:pPr>
        <w:shd w:val="clear" w:color="auto" w:fill="F7F9F8"/>
        <w:spacing w:after="0" w:line="240" w:lineRule="auto"/>
        <w:rPr>
          <w:rFonts w:ascii="Merriweather" w:eastAsia="Times New Roman" w:hAnsi="Merriweather" w:cs="Times New Roman"/>
          <w:color w:val="000000"/>
          <w:kern w:val="0"/>
          <w:sz w:val="21"/>
          <w:szCs w:val="21"/>
          <w:lang w:eastAsia="es-UY"/>
          <w14:ligatures w14:val="none"/>
        </w:rPr>
      </w:pPr>
      <w:r w:rsidRPr="008766C1">
        <w:rPr>
          <w:rFonts w:ascii="Merriweather" w:eastAsia="Times New Roman" w:hAnsi="Merriweather" w:cs="Times New Roman"/>
          <w:noProof/>
          <w:color w:val="000000"/>
          <w:kern w:val="0"/>
          <w:sz w:val="21"/>
          <w:szCs w:val="21"/>
          <w:lang w:eastAsia="es-UY"/>
          <w14:ligatures w14:val="none"/>
        </w:rPr>
        <w:drawing>
          <wp:anchor distT="0" distB="0" distL="114300" distR="114300" simplePos="0" relativeHeight="251658240" behindDoc="1" locked="0" layoutInCell="1" allowOverlap="1" wp14:anchorId="539CD346" wp14:editId="2FFE644C">
            <wp:simplePos x="0" y="0"/>
            <wp:positionH relativeFrom="margin">
              <wp:posOffset>-217170</wp:posOffset>
            </wp:positionH>
            <wp:positionV relativeFrom="paragraph">
              <wp:posOffset>83820</wp:posOffset>
            </wp:positionV>
            <wp:extent cx="2012950" cy="2857500"/>
            <wp:effectExtent l="0" t="0" r="6350" b="0"/>
            <wp:wrapTight wrapText="bothSides">
              <wp:wrapPolygon edited="0">
                <wp:start x="0" y="0"/>
                <wp:lineTo x="0" y="21456"/>
                <wp:lineTo x="21464" y="21456"/>
                <wp:lineTo x="21464"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295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BC4238" w14:textId="0903A3C7" w:rsidR="008766C1" w:rsidRPr="008766C1" w:rsidRDefault="008766C1" w:rsidP="008766C1">
      <w:pPr>
        <w:shd w:val="clear" w:color="auto" w:fill="F7F9F8"/>
        <w:spacing w:before="120" w:after="255" w:line="450" w:lineRule="atLeast"/>
        <w:outlineLvl w:val="2"/>
        <w:rPr>
          <w:rFonts w:ascii="Raleway" w:eastAsia="Times New Roman" w:hAnsi="Raleway" w:cs="Times New Roman"/>
          <w:b/>
          <w:bCs/>
          <w:color w:val="111111"/>
          <w:kern w:val="0"/>
          <w:sz w:val="33"/>
          <w:szCs w:val="33"/>
          <w:lang w:eastAsia="es-UY"/>
          <w14:ligatures w14:val="none"/>
        </w:rPr>
      </w:pPr>
      <w:r w:rsidRPr="008766C1">
        <w:rPr>
          <w:rFonts w:ascii="Raleway" w:eastAsia="Times New Roman" w:hAnsi="Raleway" w:cs="Times New Roman"/>
          <w:b/>
          <w:bCs/>
          <w:color w:val="111111"/>
          <w:kern w:val="0"/>
          <w:sz w:val="33"/>
          <w:szCs w:val="33"/>
          <w:lang w:eastAsia="es-UY"/>
          <w14:ligatures w14:val="none"/>
        </w:rPr>
        <w:t>«Cántico de las criaturas». Las palabras de un pobre que celebra</w:t>
      </w:r>
    </w:p>
    <w:p w14:paraId="20451186" w14:textId="77777777" w:rsidR="008766C1" w:rsidRPr="008766C1" w:rsidRDefault="008766C1" w:rsidP="008766C1">
      <w:pPr>
        <w:shd w:val="clear" w:color="auto" w:fill="F7F9F8"/>
        <w:spacing w:after="240" w:line="240" w:lineRule="auto"/>
        <w:jc w:val="both"/>
        <w:rPr>
          <w:rFonts w:ascii="Merriweather" w:eastAsia="Times New Roman" w:hAnsi="Merriweather" w:cs="Times New Roman"/>
          <w:b/>
          <w:bCs/>
          <w:i/>
          <w:iCs/>
          <w:color w:val="000000"/>
          <w:kern w:val="0"/>
          <w:sz w:val="21"/>
          <w:szCs w:val="21"/>
          <w:lang w:eastAsia="es-UY"/>
          <w14:ligatures w14:val="none"/>
        </w:rPr>
      </w:pPr>
      <w:r w:rsidRPr="008766C1">
        <w:rPr>
          <w:rFonts w:ascii="Merriweather" w:eastAsia="Times New Roman" w:hAnsi="Merriweather" w:cs="Times New Roman"/>
          <w:b/>
          <w:bCs/>
          <w:i/>
          <w:iCs/>
          <w:color w:val="000000"/>
          <w:kern w:val="0"/>
          <w:sz w:val="21"/>
          <w:szCs w:val="21"/>
          <w:lang w:eastAsia="es-UY"/>
          <w14:ligatures w14:val="none"/>
        </w:rPr>
        <w:t>ISBN: 978-84-9730-577-8</w:t>
      </w:r>
    </w:p>
    <w:p w14:paraId="14BDF77B" w14:textId="77777777" w:rsidR="008766C1" w:rsidRPr="008766C1" w:rsidRDefault="008766C1" w:rsidP="008766C1">
      <w:pPr>
        <w:shd w:val="clear" w:color="auto" w:fill="F7F9F8"/>
        <w:spacing w:after="240" w:line="240" w:lineRule="auto"/>
        <w:jc w:val="both"/>
        <w:rPr>
          <w:rFonts w:ascii="Merriweather" w:eastAsia="Times New Roman" w:hAnsi="Merriweather" w:cs="Times New Roman"/>
          <w:color w:val="000000"/>
          <w:kern w:val="0"/>
          <w:sz w:val="21"/>
          <w:szCs w:val="21"/>
          <w:lang w:eastAsia="es-UY"/>
          <w14:ligatures w14:val="none"/>
        </w:rPr>
      </w:pPr>
      <w:r w:rsidRPr="008766C1">
        <w:rPr>
          <w:rFonts w:ascii="Merriweather" w:eastAsia="Times New Roman" w:hAnsi="Merriweather" w:cs="Times New Roman"/>
          <w:color w:val="000000"/>
          <w:kern w:val="0"/>
          <w:sz w:val="21"/>
          <w:szCs w:val="21"/>
          <w:lang w:eastAsia="es-UY"/>
          <w14:ligatures w14:val="none"/>
        </w:rPr>
        <w:t>Este cuaderno presenta el Cántico de las criaturas como una respuesta profética a la crisis socioambiental contemporánea. Ahondando en el Cántico franciscano, Víctor Herrero invita al lector a asumir su condición de criatura y a transformar la mirada técnica sobre el mundo en una mirada que hermana, sabiéndonos parte de un tejido interdependiente y conectado. Nacido hace 800 años de la vulnerabilidad y la ceguera de san Francisco, este himno puede fundamentar una conversión ecológica para sanar las fracturas sociales y naturales y promover una fraternidad universal que reconozca la vida como un don sagrado.</w:t>
      </w:r>
    </w:p>
    <w:p w14:paraId="56CBED31" w14:textId="77777777" w:rsidR="008766C1" w:rsidRPr="008766C1" w:rsidRDefault="008766C1" w:rsidP="008766C1">
      <w:pPr>
        <w:shd w:val="clear" w:color="auto" w:fill="F7F9F8"/>
        <w:spacing w:after="0" w:line="240" w:lineRule="auto"/>
        <w:jc w:val="both"/>
        <w:rPr>
          <w:rFonts w:ascii="Merriweather" w:eastAsia="Times New Roman" w:hAnsi="Merriweather" w:cs="Times New Roman"/>
          <w:color w:val="000000"/>
          <w:kern w:val="0"/>
          <w:sz w:val="21"/>
          <w:szCs w:val="21"/>
          <w:lang w:eastAsia="es-UY"/>
          <w14:ligatures w14:val="none"/>
        </w:rPr>
      </w:pPr>
      <w:r w:rsidRPr="008766C1">
        <w:rPr>
          <w:rFonts w:ascii="Merriweather" w:eastAsia="Times New Roman" w:hAnsi="Merriweather" w:cs="Times New Roman"/>
          <w:b/>
          <w:bCs/>
          <w:i/>
          <w:iCs/>
          <w:color w:val="000000"/>
          <w:kern w:val="0"/>
          <w:sz w:val="21"/>
          <w:szCs w:val="21"/>
          <w:lang w:eastAsia="es-UY"/>
          <w14:ligatures w14:val="none"/>
        </w:rPr>
        <w:t>Autor: </w:t>
      </w:r>
      <w:r w:rsidRPr="008766C1">
        <w:rPr>
          <w:rFonts w:ascii="Merriweather" w:eastAsia="Times New Roman" w:hAnsi="Merriweather" w:cs="Times New Roman"/>
          <w:color w:val="000000"/>
          <w:kern w:val="0"/>
          <w:sz w:val="21"/>
          <w:szCs w:val="21"/>
          <w:lang w:eastAsia="es-UY"/>
          <w14:ligatures w14:val="none"/>
        </w:rPr>
        <w:t>Víctor Herrero de Miguel</w:t>
      </w:r>
    </w:p>
    <w:p w14:paraId="685763E3" w14:textId="77777777" w:rsidR="008766C1" w:rsidRPr="008766C1" w:rsidRDefault="008766C1" w:rsidP="008766C1">
      <w:pPr>
        <w:shd w:val="clear" w:color="auto" w:fill="F7F9F8"/>
        <w:spacing w:after="0" w:line="240" w:lineRule="auto"/>
        <w:jc w:val="both"/>
        <w:rPr>
          <w:rFonts w:ascii="Merriweather" w:eastAsia="Times New Roman" w:hAnsi="Merriweather" w:cs="Times New Roman"/>
          <w:color w:val="000000"/>
          <w:kern w:val="0"/>
          <w:sz w:val="21"/>
          <w:szCs w:val="21"/>
          <w:lang w:eastAsia="es-UY"/>
          <w14:ligatures w14:val="none"/>
        </w:rPr>
      </w:pPr>
      <w:r w:rsidRPr="008766C1">
        <w:rPr>
          <w:rFonts w:ascii="Merriweather" w:eastAsia="Times New Roman" w:hAnsi="Merriweather" w:cs="Times New Roman"/>
          <w:b/>
          <w:bCs/>
          <w:i/>
          <w:iCs/>
          <w:color w:val="000000"/>
          <w:kern w:val="0"/>
          <w:sz w:val="21"/>
          <w:szCs w:val="21"/>
          <w:lang w:eastAsia="es-UY"/>
          <w14:ligatures w14:val="none"/>
        </w:rPr>
        <w:t>Fecha: </w:t>
      </w:r>
      <w:r w:rsidRPr="008766C1">
        <w:rPr>
          <w:rFonts w:ascii="Merriweather" w:eastAsia="Times New Roman" w:hAnsi="Merriweather" w:cs="Times New Roman"/>
          <w:color w:val="000000"/>
          <w:kern w:val="0"/>
          <w:sz w:val="21"/>
          <w:szCs w:val="21"/>
          <w:lang w:eastAsia="es-UY"/>
          <w14:ligatures w14:val="none"/>
        </w:rPr>
        <w:t>2026</w:t>
      </w:r>
    </w:p>
    <w:p w14:paraId="7B9FFBAA" w14:textId="77777777" w:rsidR="008766C1" w:rsidRPr="008766C1" w:rsidRDefault="00000000" w:rsidP="008766C1">
      <w:pPr>
        <w:shd w:val="clear" w:color="auto" w:fill="F7F9F8"/>
        <w:spacing w:after="240" w:line="240" w:lineRule="auto"/>
        <w:jc w:val="both"/>
        <w:rPr>
          <w:rFonts w:ascii="Merriweather" w:eastAsia="Times New Roman" w:hAnsi="Merriweather" w:cs="Times New Roman"/>
          <w:color w:val="000000"/>
          <w:kern w:val="0"/>
          <w:sz w:val="21"/>
          <w:szCs w:val="21"/>
          <w:lang w:eastAsia="es-UY"/>
          <w14:ligatures w14:val="none"/>
        </w:rPr>
      </w:pPr>
      <w:hyperlink r:id="rId6" w:history="1">
        <w:r w:rsidR="008766C1" w:rsidRPr="008766C1">
          <w:rPr>
            <w:rFonts w:ascii="Merriweather" w:eastAsia="Times New Roman" w:hAnsi="Merriweather" w:cs="Times New Roman"/>
            <w:color w:val="D52027"/>
            <w:kern w:val="0"/>
            <w:sz w:val="21"/>
            <w:szCs w:val="21"/>
            <w:lang w:eastAsia="es-UY"/>
            <w14:ligatures w14:val="none"/>
          </w:rPr>
          <w:t>Más información</w:t>
        </w:r>
      </w:hyperlink>
    </w:p>
    <w:p w14:paraId="4386A0CB"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t>«Alabado seas, mi Señor, por nuestra hermana muerte corporal». ¿Hermana muerte? Pero… ¿De qué boca puede salir semejante afirmación? Es un dueto de palabras sin retórica, sencillo y directo. No es el binomio de un sabio, porque para el santo italiano el saber era una fuente de orgullo y dominación; tampoco son las de un poeta al que acuden los pajarillos a comer de su mano… </w:t>
      </w:r>
      <w:r w:rsidRPr="008766C1">
        <w:rPr>
          <w:rFonts w:ascii="Merriweather" w:eastAsia="Times New Roman" w:hAnsi="Merriweather" w:cs="Times New Roman"/>
          <w:b/>
          <w:bCs/>
          <w:color w:val="222222"/>
          <w:kern w:val="0"/>
          <w:sz w:val="23"/>
          <w:szCs w:val="23"/>
          <w:lang w:eastAsia="es-UY"/>
          <w14:ligatures w14:val="none"/>
        </w:rPr>
        <w:t>Son las de un seguidor de Cristo, ciego y herido, que habitaba en una humilde celda hecha de esteras pero que rebosaba de alegría en medio de tanta tribulación</w:t>
      </w:r>
      <w:r w:rsidRPr="008766C1">
        <w:rPr>
          <w:rFonts w:ascii="Merriweather" w:eastAsia="Times New Roman" w:hAnsi="Merriweather" w:cs="Times New Roman"/>
          <w:color w:val="222222"/>
          <w:kern w:val="0"/>
          <w:sz w:val="23"/>
          <w:szCs w:val="23"/>
          <w:lang w:eastAsia="es-UY"/>
          <w14:ligatures w14:val="none"/>
        </w:rPr>
        <w:t>. </w:t>
      </w:r>
    </w:p>
    <w:p w14:paraId="1ED3654A"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t>Imaginémonos que, en nuestras ocasiones de dolor —ese rasero que nos iguala a todos y que contiene dinámicas proféticas si sabemos acogerlo—, compusiéramos una alabanza que pudiera ser compartida y cantada en una plaza, o en TikTok</w:t>
      </w:r>
      <w:r w:rsidRPr="008766C1">
        <w:rPr>
          <w:rFonts w:ascii="Merriweather" w:eastAsia="Times New Roman" w:hAnsi="Merriweather" w:cs="Times New Roman"/>
          <w:i/>
          <w:iCs/>
          <w:color w:val="222222"/>
          <w:kern w:val="0"/>
          <w:sz w:val="23"/>
          <w:szCs w:val="23"/>
          <w:lang w:eastAsia="es-UY"/>
          <w14:ligatures w14:val="none"/>
        </w:rPr>
        <w:t>,</w:t>
      </w:r>
      <w:r w:rsidRPr="008766C1">
        <w:rPr>
          <w:rFonts w:ascii="Merriweather" w:eastAsia="Times New Roman" w:hAnsi="Merriweather" w:cs="Times New Roman"/>
          <w:color w:val="222222"/>
          <w:kern w:val="0"/>
          <w:sz w:val="23"/>
          <w:szCs w:val="23"/>
          <w:lang w:eastAsia="es-UY"/>
          <w14:ligatures w14:val="none"/>
        </w:rPr>
        <w:t> o en alguna de esas redes sociales con ánimo de divulgación, como hizo Francisco al emplear el italiano, el habla vulgar frente al latín. El </w:t>
      </w:r>
      <w:r w:rsidRPr="008766C1">
        <w:rPr>
          <w:rFonts w:ascii="Merriweather" w:eastAsia="Times New Roman" w:hAnsi="Merriweather" w:cs="Times New Roman"/>
          <w:i/>
          <w:iCs/>
          <w:color w:val="222222"/>
          <w:kern w:val="0"/>
          <w:sz w:val="23"/>
          <w:szCs w:val="23"/>
          <w:lang w:eastAsia="es-UY"/>
          <w14:ligatures w14:val="none"/>
        </w:rPr>
        <w:t>poverello</w:t>
      </w:r>
      <w:r w:rsidRPr="008766C1">
        <w:rPr>
          <w:rFonts w:ascii="Merriweather" w:eastAsia="Times New Roman" w:hAnsi="Merriweather" w:cs="Times New Roman"/>
          <w:color w:val="222222"/>
          <w:kern w:val="0"/>
          <w:sz w:val="23"/>
          <w:szCs w:val="23"/>
          <w:lang w:eastAsia="es-UY"/>
          <w14:ligatures w14:val="none"/>
        </w:rPr>
        <w:t>, en su ceguera, vio que el sol era un regalo de Dios, y que por tanto la vida es don, gratuidad y agradecimiento. Mientras tanto, todos nosotros andamos bien adentrados en otra ceguera de </w:t>
      </w:r>
      <w:r w:rsidRPr="008766C1">
        <w:rPr>
          <w:rFonts w:ascii="Merriweather" w:eastAsia="Times New Roman" w:hAnsi="Merriweather" w:cs="Times New Roman"/>
          <w:i/>
          <w:iCs/>
          <w:color w:val="222222"/>
          <w:kern w:val="0"/>
          <w:sz w:val="23"/>
          <w:szCs w:val="23"/>
          <w:lang w:eastAsia="es-UY"/>
          <w14:ligatures w14:val="none"/>
        </w:rPr>
        <w:t>scroll</w:t>
      </w:r>
      <w:r w:rsidRPr="008766C1">
        <w:rPr>
          <w:rFonts w:ascii="Merriweather" w:eastAsia="Times New Roman" w:hAnsi="Merriweather" w:cs="Times New Roman"/>
          <w:color w:val="222222"/>
          <w:kern w:val="0"/>
          <w:sz w:val="23"/>
          <w:szCs w:val="23"/>
          <w:lang w:eastAsia="es-UY"/>
          <w14:ligatures w14:val="none"/>
        </w:rPr>
        <w:t> infinito, vídeo tras vídeo, intoxicados de noticias que son más escándalo de infrahumanidad que simples noticias; estando la humanidad operando fuera de los márgenes seguros para la vida en la Tierra, ya </w:t>
      </w:r>
      <w:r w:rsidRPr="008766C1">
        <w:rPr>
          <w:rFonts w:ascii="Merriweather" w:eastAsia="Times New Roman" w:hAnsi="Merriweather" w:cs="Times New Roman"/>
          <w:b/>
          <w:bCs/>
          <w:color w:val="222222"/>
          <w:kern w:val="0"/>
          <w:sz w:val="23"/>
          <w:szCs w:val="23"/>
          <w:lang w:eastAsia="es-UY"/>
          <w14:ligatures w14:val="none"/>
        </w:rPr>
        <w:t xml:space="preserve">somos incapaces </w:t>
      </w:r>
      <w:r w:rsidRPr="008766C1">
        <w:rPr>
          <w:rFonts w:ascii="Merriweather" w:eastAsia="Times New Roman" w:hAnsi="Merriweather" w:cs="Times New Roman"/>
          <w:b/>
          <w:bCs/>
          <w:color w:val="222222"/>
          <w:kern w:val="0"/>
          <w:sz w:val="23"/>
          <w:szCs w:val="23"/>
          <w:lang w:eastAsia="es-UY"/>
          <w14:ligatures w14:val="none"/>
        </w:rPr>
        <w:lastRenderedPageBreak/>
        <w:t>de nombrar los árboles que nos encontramos a nuestro paso mientras caminamos sobre un planeta que gime y llora nuestro maltrato</w:t>
      </w:r>
      <w:r w:rsidRPr="008766C1">
        <w:rPr>
          <w:rFonts w:ascii="Merriweather" w:eastAsia="Times New Roman" w:hAnsi="Merriweather" w:cs="Times New Roman"/>
          <w:color w:val="222222"/>
          <w:kern w:val="0"/>
          <w:sz w:val="23"/>
          <w:szCs w:val="23"/>
          <w:lang w:eastAsia="es-UY"/>
          <w14:ligatures w14:val="none"/>
        </w:rPr>
        <w:t>. </w:t>
      </w:r>
    </w:p>
    <w:p w14:paraId="2EE17DAF"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t>¿Qué vale la pena ser alabado hoy en día? ¿Y desde qué fragilidad escribir esa nueva alabanza? San Francisco nos invita a seguir convocando presencias, nos invita al canto, a que vivir sea vivir dentro de un poema en polifonía con el otro, a cuidar y vincularse en un mundo que se angustia por su propio colapso ecológico. Podemos abrir los oídos al </w:t>
      </w:r>
      <w:r w:rsidRPr="008766C1">
        <w:rPr>
          <w:rFonts w:ascii="Merriweather" w:eastAsia="Times New Roman" w:hAnsi="Merriweather" w:cs="Times New Roman"/>
          <w:i/>
          <w:iCs/>
          <w:color w:val="222222"/>
          <w:kern w:val="0"/>
          <w:sz w:val="23"/>
          <w:szCs w:val="23"/>
          <w:lang w:eastAsia="es-UY"/>
          <w14:ligatures w14:val="none"/>
        </w:rPr>
        <w:t>Canto de las criaturas</w:t>
      </w:r>
      <w:r w:rsidRPr="008766C1">
        <w:rPr>
          <w:rFonts w:ascii="Merriweather" w:eastAsia="Times New Roman" w:hAnsi="Merriweather" w:cs="Times New Roman"/>
          <w:color w:val="222222"/>
          <w:kern w:val="0"/>
          <w:sz w:val="23"/>
          <w:szCs w:val="23"/>
          <w:lang w:eastAsia="es-UY"/>
          <w14:ligatures w14:val="none"/>
        </w:rPr>
        <w:t>; </w:t>
      </w:r>
      <w:hyperlink r:id="rId7" w:tgtFrame="_blank" w:history="1">
        <w:r w:rsidRPr="008766C1">
          <w:rPr>
            <w:rFonts w:ascii="Merriweather" w:eastAsia="Times New Roman" w:hAnsi="Merriweather" w:cs="Times New Roman"/>
            <w:color w:val="D52027"/>
            <w:kern w:val="0"/>
            <w:sz w:val="23"/>
            <w:szCs w:val="23"/>
            <w:lang w:eastAsia="es-UY"/>
            <w14:ligatures w14:val="none"/>
          </w:rPr>
          <w:t>el último cuaderno de CJ</w:t>
        </w:r>
      </w:hyperlink>
      <w:r w:rsidRPr="008766C1">
        <w:rPr>
          <w:rFonts w:ascii="Merriweather" w:eastAsia="Times New Roman" w:hAnsi="Merriweather" w:cs="Times New Roman"/>
          <w:color w:val="222222"/>
          <w:kern w:val="0"/>
          <w:sz w:val="23"/>
          <w:szCs w:val="23"/>
          <w:lang w:eastAsia="es-UY"/>
          <w14:ligatures w14:val="none"/>
        </w:rPr>
        <w:t> está lleno de invitaciones, y vale la pena escucharlo como un aria que invita a la conversión ecológica en medio de las melodías depredadoras que matan la tierra y a los pobres que en ella habitan.   </w:t>
      </w:r>
    </w:p>
    <w:p w14:paraId="1B9F6616"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t>¿Quedan lectores capaces de suscribir tamaña fraternidad? ¿Quedan oídos sensibles a este canto ahora que vivimos en un mundo en que cada uno parece ser responsable de su propio sufrimiento? ¿Y cómo de preparadas tenemos nuestras gargantas para entonar la nota justa? Una sociedad que nos aboca más a terapias personales y menos a repuestas colectivas —la famosa frase de Rendueles: «usted no necesita un psicólogo sino un sindicato»—; una sociedad que puja por nuestra atención porque de ella se extrae beneficio. ¿Qué espacio queda para esta filigrana de vínculos que nos regala el </w:t>
      </w:r>
      <w:r w:rsidRPr="008766C1">
        <w:rPr>
          <w:rFonts w:ascii="Merriweather" w:eastAsia="Times New Roman" w:hAnsi="Merriweather" w:cs="Times New Roman"/>
          <w:i/>
          <w:iCs/>
          <w:color w:val="222222"/>
          <w:kern w:val="0"/>
          <w:sz w:val="23"/>
          <w:szCs w:val="23"/>
          <w:lang w:eastAsia="es-UY"/>
          <w14:ligatures w14:val="none"/>
        </w:rPr>
        <w:t>Cántico</w:t>
      </w:r>
      <w:r w:rsidRPr="008766C1">
        <w:rPr>
          <w:rFonts w:ascii="Merriweather" w:eastAsia="Times New Roman" w:hAnsi="Merriweather" w:cs="Times New Roman"/>
          <w:color w:val="222222"/>
          <w:kern w:val="0"/>
          <w:sz w:val="23"/>
          <w:szCs w:val="23"/>
          <w:lang w:eastAsia="es-UY"/>
          <w14:ligatures w14:val="none"/>
        </w:rPr>
        <w:t> y que tan bien señala el cuaderno? </w:t>
      </w:r>
    </w:p>
    <w:p w14:paraId="4D1C26B8"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t>Víctor Herrero, el autor del cuaderno, elogia la levedad como una de las cualidades del poema. ¿A qué le quita peso san Francisco para invitarnos a su danza profética? Italo Calvino se la quitaba a «las figuras humanas, los cuerpos celestes, las ciudades»; trataba de quitarle peso «a la estructura del relato y al lenguaje». Francisco, leemos en el cuaderno, se hace permeable a lo que le rodea con sobriedad y atención. Allí donde Calvino ve «cuerpos celestes» (el sol y la luna, siempre suspensa, leve y en calmo hechizo), el de Asís ve hermanos, pues para Francisco vivir es leer e interpretar y el mundo es un mensaje tocado por la gracia de Dios. Lo real es una señal, y su canto asciende como un camino que nos conduce hasta una meta sacramental. </w:t>
      </w:r>
      <w:r w:rsidRPr="008766C1">
        <w:rPr>
          <w:rFonts w:ascii="Merriweather" w:eastAsia="Times New Roman" w:hAnsi="Merriweather" w:cs="Times New Roman"/>
          <w:b/>
          <w:bCs/>
          <w:color w:val="222222"/>
          <w:kern w:val="0"/>
          <w:sz w:val="23"/>
          <w:szCs w:val="23"/>
          <w:lang w:eastAsia="es-UY"/>
          <w14:ligatures w14:val="none"/>
        </w:rPr>
        <w:t>Humildad, pobreza y levedad para construir otra narrativa, fraterna y llena de vida.  </w:t>
      </w:r>
    </w:p>
    <w:p w14:paraId="4C063AAF"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t>El autor escribe que «el mundo no se posee, se contempla; no se explota, se cuida; no se domina, se bendice», y nos señala que este canto es, paradójicamente, brújula y meta al mismo tiempo. Consideren este cuaderno como una invitación a guardar en el corazón, a resguardar esa brújula y esa meta. Y, como en un coro, podemos ir tejiendo frases juntos, respondiendo al otro, en relación con el otro, huyendo del soniquete, de las expresiones hechas («las cosas son así, pobres ha habido siempre, el ser humano no tiene remedio…»), acercándonos a la forma del poema que construimos juntos, timbrando la voz, respirando con conciencia, bajando egos e intensidades innecesarias pero sin perder vigor en nuestra alabanza, conectándonos… </w:t>
      </w:r>
    </w:p>
    <w:p w14:paraId="26061D3F" w14:textId="77777777" w:rsidR="008766C1" w:rsidRPr="008766C1" w:rsidRDefault="008766C1" w:rsidP="008766C1">
      <w:pPr>
        <w:spacing w:after="390" w:line="240" w:lineRule="auto"/>
        <w:jc w:val="both"/>
        <w:rPr>
          <w:rFonts w:ascii="Merriweather" w:eastAsia="Times New Roman" w:hAnsi="Merriweather" w:cs="Times New Roman"/>
          <w:color w:val="222222"/>
          <w:kern w:val="0"/>
          <w:sz w:val="23"/>
          <w:szCs w:val="23"/>
          <w:lang w:eastAsia="es-UY"/>
          <w14:ligatures w14:val="none"/>
        </w:rPr>
      </w:pPr>
      <w:r w:rsidRPr="008766C1">
        <w:rPr>
          <w:rFonts w:ascii="Merriweather" w:eastAsia="Times New Roman" w:hAnsi="Merriweather" w:cs="Times New Roman"/>
          <w:color w:val="222222"/>
          <w:kern w:val="0"/>
          <w:sz w:val="23"/>
          <w:szCs w:val="23"/>
          <w:lang w:eastAsia="es-UY"/>
          <w14:ligatures w14:val="none"/>
        </w:rPr>
        <w:lastRenderedPageBreak/>
        <w:t>Quizás podríamos empezar así: «Alabado el compasivo, el que no juzga, el que no condena y sí perdona y da…». Y no sé bien cómo seguir, ni puedo, porque la polifonía requiere espacios comunitarios, afinarse juntos, corporal y mentalmente. Si nos juntamos después de haber leído el cuaderno, seguro que nos sale algo hermoso.</w:t>
      </w:r>
    </w:p>
    <w:p w14:paraId="4C2CDDC2" w14:textId="663D0876" w:rsidR="00926044" w:rsidRDefault="00000000">
      <w:pPr>
        <w:rPr>
          <w:rStyle w:val="Hipervnculo"/>
        </w:rPr>
      </w:pPr>
      <w:hyperlink r:id="rId8" w:history="1">
        <w:r w:rsidR="003157EA" w:rsidRPr="00791484">
          <w:rPr>
            <w:rStyle w:val="Hipervnculo"/>
          </w:rPr>
          <w:t>https://blog.cristianismeijusticia.net/critique/hermana-muerte</w:t>
        </w:r>
      </w:hyperlink>
    </w:p>
    <w:p w14:paraId="6CC1F5F2" w14:textId="77777777" w:rsidR="000D7C42" w:rsidRDefault="000D7C42">
      <w:pPr>
        <w:rPr>
          <w:rStyle w:val="Hipervnculo"/>
        </w:rPr>
      </w:pPr>
    </w:p>
    <w:p w14:paraId="2A902039" w14:textId="77777777" w:rsidR="000D7C42" w:rsidRDefault="000D7C42">
      <w:pPr>
        <w:rPr>
          <w:rStyle w:val="Hipervnculo"/>
        </w:rPr>
      </w:pPr>
    </w:p>
    <w:p w14:paraId="4E5AC521" w14:textId="77777777" w:rsidR="000D7C42" w:rsidRDefault="000D7C42">
      <w:pPr>
        <w:rPr>
          <w:rStyle w:val="Hipervnculo"/>
        </w:rPr>
      </w:pPr>
    </w:p>
    <w:p w14:paraId="1AB9E8D3" w14:textId="77777777" w:rsidR="000D7C42" w:rsidRDefault="000D7C42">
      <w:pPr>
        <w:rPr>
          <w:rStyle w:val="Hipervnculo"/>
        </w:rPr>
      </w:pPr>
    </w:p>
    <w:p w14:paraId="657C544B" w14:textId="77777777" w:rsidR="000D7C42" w:rsidRDefault="000D7C42" w:rsidP="000D7C42">
      <w:pPr>
        <w:jc w:val="center"/>
        <w:rPr>
          <w:rStyle w:val="Hipervnculo"/>
        </w:rPr>
      </w:pPr>
    </w:p>
    <w:p w14:paraId="2C6EDA8F" w14:textId="2C41C5D7" w:rsidR="000D7C42" w:rsidRDefault="000D7C42" w:rsidP="000D7C42">
      <w:pPr>
        <w:jc w:val="center"/>
      </w:pPr>
    </w:p>
    <w:p w14:paraId="0C012875" w14:textId="724F8AF7" w:rsidR="003157EA" w:rsidRDefault="000D7C42" w:rsidP="000D7C42">
      <w:pPr>
        <w:jc w:val="center"/>
      </w:pPr>
      <w:r w:rsidRPr="008766C1">
        <w:rPr>
          <w:rFonts w:ascii="Merriweather" w:eastAsia="Times New Roman" w:hAnsi="Merriweather" w:cs="Times New Roman"/>
          <w:noProof/>
          <w:color w:val="000000"/>
          <w:kern w:val="0"/>
          <w:sz w:val="21"/>
          <w:szCs w:val="21"/>
          <w:lang w:eastAsia="es-UY"/>
          <w14:ligatures w14:val="none"/>
        </w:rPr>
        <w:drawing>
          <wp:anchor distT="0" distB="0" distL="114300" distR="114300" simplePos="0" relativeHeight="251660288" behindDoc="1" locked="0" layoutInCell="1" allowOverlap="1" wp14:anchorId="6CD94F6A" wp14:editId="4CAA25E9">
            <wp:simplePos x="0" y="0"/>
            <wp:positionH relativeFrom="margin">
              <wp:posOffset>1490647</wp:posOffset>
            </wp:positionH>
            <wp:positionV relativeFrom="paragraph">
              <wp:posOffset>407406</wp:posOffset>
            </wp:positionV>
            <wp:extent cx="2012950" cy="2857500"/>
            <wp:effectExtent l="0" t="0" r="6350" b="0"/>
            <wp:wrapThrough wrapText="bothSides">
              <wp:wrapPolygon edited="0">
                <wp:start x="0" y="0"/>
                <wp:lineTo x="0" y="21504"/>
                <wp:lineTo x="21532" y="21504"/>
                <wp:lineTo x="21532" y="0"/>
                <wp:lineTo x="0" y="0"/>
              </wp:wrapPolygon>
            </wp:wrapThrough>
            <wp:docPr id="703524928" name="Imagen 70352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2950" cy="2857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3157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leway">
    <w:panose1 w:val="020B0604020202020204"/>
    <w:charset w:val="4D"/>
    <w:family w:val="auto"/>
    <w:pitch w:val="variable"/>
    <w:sig w:usb0="A00002FF" w:usb1="5000205B" w:usb2="00000000" w:usb3="00000000" w:csb0="00000197" w:csb1="00000000"/>
  </w:font>
  <w:font w:name="Merriweather">
    <w:panose1 w:val="020B0604020202020204"/>
    <w:charset w:val="4D"/>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6C1"/>
    <w:rsid w:val="000D7C42"/>
    <w:rsid w:val="003157EA"/>
    <w:rsid w:val="00405D86"/>
    <w:rsid w:val="008766C1"/>
    <w:rsid w:val="00926044"/>
    <w:rsid w:val="00B44AF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DDDA2"/>
  <w15:chartTrackingRefBased/>
  <w15:docId w15:val="{AC96BA17-4ECF-46CC-A6BD-1DFBC7903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766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766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766C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766C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766C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766C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766C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766C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766C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766C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766C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766C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766C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766C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766C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766C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766C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766C1"/>
    <w:rPr>
      <w:rFonts w:eastAsiaTheme="majorEastAsia" w:cstheme="majorBidi"/>
      <w:color w:val="272727" w:themeColor="text1" w:themeTint="D8"/>
    </w:rPr>
  </w:style>
  <w:style w:type="paragraph" w:styleId="Ttulo">
    <w:name w:val="Title"/>
    <w:basedOn w:val="Normal"/>
    <w:next w:val="Normal"/>
    <w:link w:val="TtuloCar"/>
    <w:uiPriority w:val="10"/>
    <w:qFormat/>
    <w:rsid w:val="008766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766C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766C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766C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766C1"/>
    <w:pPr>
      <w:spacing w:before="160"/>
      <w:jc w:val="center"/>
    </w:pPr>
    <w:rPr>
      <w:i/>
      <w:iCs/>
      <w:color w:val="404040" w:themeColor="text1" w:themeTint="BF"/>
    </w:rPr>
  </w:style>
  <w:style w:type="character" w:customStyle="1" w:styleId="CitaCar">
    <w:name w:val="Cita Car"/>
    <w:basedOn w:val="Fuentedeprrafopredeter"/>
    <w:link w:val="Cita"/>
    <w:uiPriority w:val="29"/>
    <w:rsid w:val="008766C1"/>
    <w:rPr>
      <w:i/>
      <w:iCs/>
      <w:color w:val="404040" w:themeColor="text1" w:themeTint="BF"/>
    </w:rPr>
  </w:style>
  <w:style w:type="paragraph" w:styleId="Prrafodelista">
    <w:name w:val="List Paragraph"/>
    <w:basedOn w:val="Normal"/>
    <w:uiPriority w:val="34"/>
    <w:qFormat/>
    <w:rsid w:val="008766C1"/>
    <w:pPr>
      <w:ind w:left="720"/>
      <w:contextualSpacing/>
    </w:pPr>
  </w:style>
  <w:style w:type="character" w:styleId="nfasisintenso">
    <w:name w:val="Intense Emphasis"/>
    <w:basedOn w:val="Fuentedeprrafopredeter"/>
    <w:uiPriority w:val="21"/>
    <w:qFormat/>
    <w:rsid w:val="008766C1"/>
    <w:rPr>
      <w:i/>
      <w:iCs/>
      <w:color w:val="0F4761" w:themeColor="accent1" w:themeShade="BF"/>
    </w:rPr>
  </w:style>
  <w:style w:type="paragraph" w:styleId="Citadestacada">
    <w:name w:val="Intense Quote"/>
    <w:basedOn w:val="Normal"/>
    <w:next w:val="Normal"/>
    <w:link w:val="CitadestacadaCar"/>
    <w:uiPriority w:val="30"/>
    <w:qFormat/>
    <w:rsid w:val="00876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766C1"/>
    <w:rPr>
      <w:i/>
      <w:iCs/>
      <w:color w:val="0F4761" w:themeColor="accent1" w:themeShade="BF"/>
    </w:rPr>
  </w:style>
  <w:style w:type="character" w:styleId="Referenciaintensa">
    <w:name w:val="Intense Reference"/>
    <w:basedOn w:val="Fuentedeprrafopredeter"/>
    <w:uiPriority w:val="32"/>
    <w:qFormat/>
    <w:rsid w:val="008766C1"/>
    <w:rPr>
      <w:b/>
      <w:bCs/>
      <w:smallCaps/>
      <w:color w:val="0F4761" w:themeColor="accent1" w:themeShade="BF"/>
      <w:spacing w:val="5"/>
    </w:rPr>
  </w:style>
  <w:style w:type="character" w:styleId="Hipervnculo">
    <w:name w:val="Hyperlink"/>
    <w:basedOn w:val="Fuentedeprrafopredeter"/>
    <w:uiPriority w:val="99"/>
    <w:unhideWhenUsed/>
    <w:rsid w:val="003157EA"/>
    <w:rPr>
      <w:color w:val="467886" w:themeColor="hyperlink"/>
      <w:u w:val="single"/>
    </w:rPr>
  </w:style>
  <w:style w:type="character" w:styleId="Mencinsinresolver">
    <w:name w:val="Unresolved Mention"/>
    <w:basedOn w:val="Fuentedeprrafopredeter"/>
    <w:uiPriority w:val="99"/>
    <w:semiHidden/>
    <w:unhideWhenUsed/>
    <w:rsid w:val="00315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ritique/hermana-muerte" TargetMode="External"/><Relationship Id="rId3" Type="http://schemas.openxmlformats.org/officeDocument/2006/relationships/webSettings" Target="webSettings.xml"/><Relationship Id="rId7" Type="http://schemas.openxmlformats.org/officeDocument/2006/relationships/hyperlink" Target="https://www.cristianismeijusticia.net/es/cantico-de-las-criaturas-las-palabras-de-un-pobre-que-celeb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istianismeijusticia.net/es/cantico-de-las-criaturas-las-palabras-de-un-pobre-que-celebr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blog.cristianismeijusticia.net/author/jorge-pico"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904</Words>
  <Characters>4978</Characters>
  <Application>Microsoft Office Word</Application>
  <DocSecurity>0</DocSecurity>
  <Lines>41</Lines>
  <Paragraphs>11</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2026-06-02T13:41:00Z</dcterms:created>
  <dcterms:modified xsi:type="dcterms:W3CDTF">2026-06-14T17:19:00Z</dcterms:modified>
</cp:coreProperties>
</file>