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A8D01B" w14:textId="7D4DDA30" w:rsidR="00D639D7" w:rsidRDefault="00D639D7" w:rsidP="00D639D7">
      <w:pPr>
        <w:spacing w:after="0" w:line="240" w:lineRule="auto"/>
        <w:jc w:val="both"/>
        <w:rPr>
          <w:rFonts w:ascii="Arial" w:eastAsia="Times New Roman" w:hAnsi="Arial" w:cs="Arial"/>
          <w:b/>
          <w:bCs/>
          <w:color w:val="333333"/>
          <w:kern w:val="0"/>
          <w:sz w:val="26"/>
          <w:szCs w:val="26"/>
          <w:lang w:eastAsia="es-UY"/>
          <w14:ligatures w14:val="none"/>
        </w:rPr>
      </w:pPr>
      <w:r w:rsidRPr="00D639D7">
        <w:rPr>
          <w:rFonts w:ascii="Arial" w:eastAsia="Times New Roman" w:hAnsi="Arial" w:cs="Arial"/>
          <w:b/>
          <w:bCs/>
          <w:color w:val="333333"/>
          <w:kern w:val="0"/>
          <w:sz w:val="26"/>
          <w:szCs w:val="26"/>
          <w:lang w:eastAsia="es-UY"/>
          <w14:ligatures w14:val="none"/>
        </w:rPr>
        <w:drawing>
          <wp:inline distT="0" distB="0" distL="0" distR="0" wp14:anchorId="2EB84E70" wp14:editId="3835813E">
            <wp:extent cx="5400040" cy="1347470"/>
            <wp:effectExtent l="0" t="0" r="0" b="5080"/>
            <wp:docPr id="134828950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289501" name=""/>
                    <pic:cNvPicPr/>
                  </pic:nvPicPr>
                  <pic:blipFill>
                    <a:blip r:embed="rId4"/>
                    <a:stretch>
                      <a:fillRect/>
                    </a:stretch>
                  </pic:blipFill>
                  <pic:spPr>
                    <a:xfrm>
                      <a:off x="0" y="0"/>
                      <a:ext cx="5400040" cy="1347470"/>
                    </a:xfrm>
                    <a:prstGeom prst="rect">
                      <a:avLst/>
                    </a:prstGeom>
                  </pic:spPr>
                </pic:pic>
              </a:graphicData>
            </a:graphic>
          </wp:inline>
        </w:drawing>
      </w:r>
    </w:p>
    <w:p w14:paraId="1AD6075B" w14:textId="77777777" w:rsidR="00D639D7" w:rsidRDefault="00D639D7" w:rsidP="00D639D7">
      <w:pPr>
        <w:spacing w:after="0" w:line="240" w:lineRule="auto"/>
        <w:jc w:val="both"/>
        <w:rPr>
          <w:rFonts w:ascii="Arial" w:eastAsia="Times New Roman" w:hAnsi="Arial" w:cs="Arial"/>
          <w:b/>
          <w:bCs/>
          <w:color w:val="333333"/>
          <w:kern w:val="0"/>
          <w:sz w:val="26"/>
          <w:szCs w:val="26"/>
          <w:lang w:eastAsia="es-UY"/>
          <w14:ligatures w14:val="none"/>
        </w:rPr>
      </w:pPr>
    </w:p>
    <w:p w14:paraId="29862B66" w14:textId="2A44574E" w:rsidR="00D639D7" w:rsidRPr="00D639D7" w:rsidRDefault="00D639D7" w:rsidP="00D639D7">
      <w:pPr>
        <w:spacing w:after="0" w:line="240" w:lineRule="auto"/>
        <w:jc w:val="both"/>
        <w:rPr>
          <w:rFonts w:ascii="Arial" w:eastAsia="Times New Roman" w:hAnsi="Arial" w:cs="Arial"/>
          <w:color w:val="333333"/>
          <w:kern w:val="0"/>
          <w:sz w:val="26"/>
          <w:szCs w:val="26"/>
          <w:lang w:eastAsia="es-UY"/>
          <w14:ligatures w14:val="none"/>
        </w:rPr>
      </w:pPr>
      <w:r w:rsidRPr="00D639D7">
        <w:rPr>
          <w:rFonts w:ascii="Arial" w:eastAsia="Times New Roman" w:hAnsi="Arial" w:cs="Arial"/>
          <w:b/>
          <w:bCs/>
          <w:color w:val="333333"/>
          <w:kern w:val="0"/>
          <w:sz w:val="26"/>
          <w:szCs w:val="26"/>
          <w:lang w:eastAsia="es-UY"/>
          <w14:ligatures w14:val="none"/>
        </w:rPr>
        <w:t>Si el Tribunal Supremo</w:t>
      </w:r>
      <w:r w:rsidRPr="00D639D7">
        <w:rPr>
          <w:rFonts w:ascii="Arial" w:eastAsia="Times New Roman" w:hAnsi="Arial" w:cs="Arial"/>
          <w:color w:val="333333"/>
          <w:kern w:val="0"/>
          <w:sz w:val="26"/>
          <w:szCs w:val="26"/>
          <w:lang w:eastAsia="es-UY"/>
          <w14:ligatures w14:val="none"/>
        </w:rPr>
        <w:t> aprueba la ley de </w:t>
      </w:r>
      <w:r w:rsidRPr="00D639D7">
        <w:rPr>
          <w:rFonts w:ascii="Arial" w:eastAsia="Times New Roman" w:hAnsi="Arial" w:cs="Arial"/>
          <w:b/>
          <w:bCs/>
          <w:color w:val="333333"/>
          <w:kern w:val="0"/>
          <w:sz w:val="26"/>
          <w:szCs w:val="26"/>
          <w:lang w:eastAsia="es-UY"/>
          <w14:ligatures w14:val="none"/>
        </w:rPr>
        <w:t>Temer</w:t>
      </w:r>
      <w:r w:rsidRPr="00D639D7">
        <w:rPr>
          <w:rFonts w:ascii="Arial" w:eastAsia="Times New Roman" w:hAnsi="Arial" w:cs="Arial"/>
          <w:color w:val="333333"/>
          <w:kern w:val="0"/>
          <w:sz w:val="26"/>
          <w:szCs w:val="26"/>
          <w:lang w:eastAsia="es-UY"/>
          <w14:ligatures w14:val="none"/>
        </w:rPr>
        <w:t> , allanará el camino para los ferrocarriles </w:t>
      </w:r>
      <w:proofErr w:type="spellStart"/>
      <w:r w:rsidRPr="00D639D7">
        <w:rPr>
          <w:rFonts w:ascii="Arial" w:eastAsia="Times New Roman" w:hAnsi="Arial" w:cs="Arial"/>
          <w:color w:val="333333"/>
          <w:kern w:val="0"/>
          <w:sz w:val="26"/>
          <w:szCs w:val="26"/>
          <w:lang w:eastAsia="es-UY"/>
          <w14:ligatures w14:val="none"/>
        </w:rPr>
        <w:fldChar w:fldCharType="begin"/>
      </w:r>
      <w:r w:rsidRPr="00D639D7">
        <w:rPr>
          <w:rFonts w:ascii="Arial" w:eastAsia="Times New Roman" w:hAnsi="Arial" w:cs="Arial"/>
          <w:color w:val="333333"/>
          <w:kern w:val="0"/>
          <w:sz w:val="26"/>
          <w:szCs w:val="26"/>
          <w:lang w:eastAsia="es-UY"/>
          <w14:ligatures w14:val="none"/>
        </w:rPr>
        <w:instrText>HYPERLINK "https://www.ihu.unisinos.br/categorias/664580-pressao-indigena-cancela-audiencia-sobre-hidrovias-na-camara-e-tensiona-debate-sobre-ferrograo" \t "_blank"</w:instrText>
      </w:r>
      <w:r w:rsidRPr="00D639D7">
        <w:rPr>
          <w:rFonts w:ascii="Arial" w:eastAsia="Times New Roman" w:hAnsi="Arial" w:cs="Arial"/>
          <w:color w:val="333333"/>
          <w:kern w:val="0"/>
          <w:sz w:val="26"/>
          <w:szCs w:val="26"/>
          <w:lang w:eastAsia="es-UY"/>
          <w14:ligatures w14:val="none"/>
        </w:rPr>
      </w:r>
      <w:r w:rsidRPr="00D639D7">
        <w:rPr>
          <w:rFonts w:ascii="Arial" w:eastAsia="Times New Roman" w:hAnsi="Arial" w:cs="Arial"/>
          <w:color w:val="333333"/>
          <w:kern w:val="0"/>
          <w:sz w:val="26"/>
          <w:szCs w:val="26"/>
          <w:lang w:eastAsia="es-UY"/>
          <w14:ligatures w14:val="none"/>
        </w:rPr>
        <w:fldChar w:fldCharType="separate"/>
      </w:r>
      <w:r w:rsidRPr="00D639D7">
        <w:rPr>
          <w:rFonts w:ascii="Arial" w:eastAsia="Times New Roman" w:hAnsi="Arial" w:cs="Arial"/>
          <w:color w:val="FC6B01"/>
          <w:kern w:val="0"/>
          <w:sz w:val="26"/>
          <w:szCs w:val="26"/>
          <w:u w:val="single"/>
          <w:lang w:eastAsia="es-UY"/>
          <w14:ligatures w14:val="none"/>
        </w:rPr>
        <w:t>Ferrogrão</w:t>
      </w:r>
      <w:proofErr w:type="spellEnd"/>
      <w:r w:rsidRPr="00D639D7">
        <w:rPr>
          <w:rFonts w:ascii="Arial" w:eastAsia="Times New Roman" w:hAnsi="Arial" w:cs="Arial"/>
          <w:color w:val="333333"/>
          <w:kern w:val="0"/>
          <w:sz w:val="26"/>
          <w:szCs w:val="26"/>
          <w:lang w:eastAsia="es-UY"/>
          <w14:ligatures w14:val="none"/>
        </w:rPr>
        <w:fldChar w:fldCharType="end"/>
      </w:r>
      <w:r w:rsidRPr="00D639D7">
        <w:rPr>
          <w:rFonts w:ascii="Arial" w:eastAsia="Times New Roman" w:hAnsi="Arial" w:cs="Arial"/>
          <w:color w:val="333333"/>
          <w:kern w:val="0"/>
          <w:sz w:val="26"/>
          <w:szCs w:val="26"/>
          <w:lang w:eastAsia="es-UY"/>
          <w14:ligatures w14:val="none"/>
        </w:rPr>
        <w:t> y </w:t>
      </w:r>
      <w:r w:rsidRPr="00D639D7">
        <w:rPr>
          <w:rFonts w:ascii="Arial" w:eastAsia="Times New Roman" w:hAnsi="Arial" w:cs="Arial"/>
          <w:b/>
          <w:bCs/>
          <w:color w:val="333333"/>
          <w:kern w:val="0"/>
          <w:sz w:val="26"/>
          <w:szCs w:val="26"/>
          <w:lang w:eastAsia="es-UY"/>
          <w14:ligatures w14:val="none"/>
        </w:rPr>
        <w:t>Arco Norte</w:t>
      </w:r>
      <w:r w:rsidRPr="00D639D7">
        <w:rPr>
          <w:rFonts w:ascii="Arial" w:eastAsia="Times New Roman" w:hAnsi="Arial" w:cs="Arial"/>
          <w:color w:val="333333"/>
          <w:kern w:val="0"/>
          <w:sz w:val="26"/>
          <w:szCs w:val="26"/>
          <w:lang w:eastAsia="es-UY"/>
          <w14:ligatures w14:val="none"/>
        </w:rPr>
        <w:t> , que amenazan con convertir el bosque en un mar de soja. Siete mil mujeres y hombres iniciaron una marcha. Están convencidos de que la región merece un proyecto y un futuro diferentes.</w:t>
      </w:r>
    </w:p>
    <w:p w14:paraId="1B3BACD8" w14:textId="77777777" w:rsidR="00D639D7" w:rsidRPr="00D639D7" w:rsidRDefault="00D639D7" w:rsidP="00D639D7">
      <w:pPr>
        <w:spacing w:after="0" w:line="240" w:lineRule="auto"/>
        <w:jc w:val="both"/>
        <w:rPr>
          <w:rFonts w:ascii="Arial" w:eastAsia="Times New Roman" w:hAnsi="Arial" w:cs="Arial"/>
          <w:color w:val="333333"/>
          <w:kern w:val="0"/>
          <w:sz w:val="26"/>
          <w:szCs w:val="26"/>
          <w:lang w:eastAsia="es-UY"/>
          <w14:ligatures w14:val="none"/>
        </w:rPr>
      </w:pPr>
      <w:r w:rsidRPr="00D639D7">
        <w:rPr>
          <w:rFonts w:ascii="Arial" w:eastAsia="Times New Roman" w:hAnsi="Arial" w:cs="Arial"/>
          <w:color w:val="333333"/>
          <w:kern w:val="0"/>
          <w:sz w:val="26"/>
          <w:szCs w:val="26"/>
          <w:lang w:eastAsia="es-UY"/>
          <w14:ligatures w14:val="none"/>
        </w:rPr>
        <w:t>El artículo es de </w:t>
      </w:r>
      <w:hyperlink r:id="rId5" w:tgtFrame="_blank" w:history="1">
        <w:r w:rsidRPr="00D639D7">
          <w:rPr>
            <w:rFonts w:ascii="Arial" w:eastAsia="Times New Roman" w:hAnsi="Arial" w:cs="Arial"/>
            <w:color w:val="FC6B01"/>
            <w:kern w:val="0"/>
            <w:sz w:val="26"/>
            <w:szCs w:val="26"/>
            <w:u w:val="single"/>
            <w:lang w:eastAsia="es-UY"/>
            <w14:ligatures w14:val="none"/>
          </w:rPr>
          <w:t>Fábio Caetano</w:t>
        </w:r>
      </w:hyperlink>
      <w:r w:rsidRPr="00D639D7">
        <w:rPr>
          <w:rFonts w:ascii="Arial" w:eastAsia="Times New Roman" w:hAnsi="Arial" w:cs="Arial"/>
          <w:color w:val="333333"/>
          <w:kern w:val="0"/>
          <w:sz w:val="26"/>
          <w:szCs w:val="26"/>
          <w:lang w:eastAsia="es-UY"/>
          <w14:ligatures w14:val="none"/>
        </w:rPr>
        <w:t> , publicado por </w:t>
      </w:r>
      <w:proofErr w:type="spellStart"/>
      <w:r w:rsidRPr="00D639D7">
        <w:rPr>
          <w:rFonts w:ascii="Arial" w:eastAsia="Times New Roman" w:hAnsi="Arial" w:cs="Arial"/>
          <w:color w:val="333333"/>
          <w:kern w:val="0"/>
          <w:sz w:val="26"/>
          <w:szCs w:val="26"/>
          <w:lang w:eastAsia="es-UY"/>
          <w14:ligatures w14:val="none"/>
        </w:rPr>
        <w:fldChar w:fldCharType="begin"/>
      </w:r>
      <w:r w:rsidRPr="00D639D7">
        <w:rPr>
          <w:rFonts w:ascii="Arial" w:eastAsia="Times New Roman" w:hAnsi="Arial" w:cs="Arial"/>
          <w:color w:val="333333"/>
          <w:kern w:val="0"/>
          <w:sz w:val="26"/>
          <w:szCs w:val="26"/>
          <w:lang w:eastAsia="es-UY"/>
          <w14:ligatures w14:val="none"/>
        </w:rPr>
        <w:instrText>HYPERLINK "https://outraspalavras.net/" \t "_blank"</w:instrText>
      </w:r>
      <w:r w:rsidRPr="00D639D7">
        <w:rPr>
          <w:rFonts w:ascii="Arial" w:eastAsia="Times New Roman" w:hAnsi="Arial" w:cs="Arial"/>
          <w:color w:val="333333"/>
          <w:kern w:val="0"/>
          <w:sz w:val="26"/>
          <w:szCs w:val="26"/>
          <w:lang w:eastAsia="es-UY"/>
          <w14:ligatures w14:val="none"/>
        </w:rPr>
      </w:r>
      <w:r w:rsidRPr="00D639D7">
        <w:rPr>
          <w:rFonts w:ascii="Arial" w:eastAsia="Times New Roman" w:hAnsi="Arial" w:cs="Arial"/>
          <w:color w:val="333333"/>
          <w:kern w:val="0"/>
          <w:sz w:val="26"/>
          <w:szCs w:val="26"/>
          <w:lang w:eastAsia="es-UY"/>
          <w14:ligatures w14:val="none"/>
        </w:rPr>
        <w:fldChar w:fldCharType="separate"/>
      </w:r>
      <w:r w:rsidRPr="00D639D7">
        <w:rPr>
          <w:rFonts w:ascii="Arial" w:eastAsia="Times New Roman" w:hAnsi="Arial" w:cs="Arial"/>
          <w:color w:val="FC6B01"/>
          <w:kern w:val="0"/>
          <w:sz w:val="26"/>
          <w:szCs w:val="26"/>
          <w:u w:val="single"/>
          <w:lang w:eastAsia="es-UY"/>
          <w14:ligatures w14:val="none"/>
        </w:rPr>
        <w:t>Outras</w:t>
      </w:r>
      <w:proofErr w:type="spellEnd"/>
      <w:r w:rsidRPr="00D639D7">
        <w:rPr>
          <w:rFonts w:ascii="Arial" w:eastAsia="Times New Roman" w:hAnsi="Arial" w:cs="Arial"/>
          <w:color w:val="FC6B01"/>
          <w:kern w:val="0"/>
          <w:sz w:val="26"/>
          <w:szCs w:val="26"/>
          <w:u w:val="single"/>
          <w:lang w:eastAsia="es-UY"/>
          <w14:ligatures w14:val="none"/>
        </w:rPr>
        <w:t xml:space="preserve"> </w:t>
      </w:r>
      <w:proofErr w:type="spellStart"/>
      <w:r w:rsidRPr="00D639D7">
        <w:rPr>
          <w:rFonts w:ascii="Arial" w:eastAsia="Times New Roman" w:hAnsi="Arial" w:cs="Arial"/>
          <w:color w:val="FC6B01"/>
          <w:kern w:val="0"/>
          <w:sz w:val="26"/>
          <w:szCs w:val="26"/>
          <w:u w:val="single"/>
          <w:lang w:eastAsia="es-UY"/>
          <w14:ligatures w14:val="none"/>
        </w:rPr>
        <w:t>Palavras</w:t>
      </w:r>
      <w:proofErr w:type="spellEnd"/>
      <w:r w:rsidRPr="00D639D7">
        <w:rPr>
          <w:rFonts w:ascii="Arial" w:eastAsia="Times New Roman" w:hAnsi="Arial" w:cs="Arial"/>
          <w:color w:val="333333"/>
          <w:kern w:val="0"/>
          <w:sz w:val="26"/>
          <w:szCs w:val="26"/>
          <w:lang w:eastAsia="es-UY"/>
          <w14:ligatures w14:val="none"/>
        </w:rPr>
        <w:fldChar w:fldCharType="end"/>
      </w:r>
      <w:r w:rsidRPr="00D639D7">
        <w:rPr>
          <w:rFonts w:ascii="Arial" w:eastAsia="Times New Roman" w:hAnsi="Arial" w:cs="Arial"/>
          <w:color w:val="333333"/>
          <w:kern w:val="0"/>
          <w:sz w:val="26"/>
          <w:szCs w:val="26"/>
          <w:lang w:eastAsia="es-UY"/>
          <w14:ligatures w14:val="none"/>
        </w:rPr>
        <w:t> , 9 de abril de 2026.</w:t>
      </w:r>
    </w:p>
    <w:p w14:paraId="5B628FB4" w14:textId="77777777" w:rsidR="00D639D7" w:rsidRPr="00D639D7" w:rsidRDefault="00D639D7" w:rsidP="00D639D7">
      <w:pPr>
        <w:spacing w:after="0" w:line="240" w:lineRule="auto"/>
        <w:jc w:val="both"/>
        <w:rPr>
          <w:rFonts w:ascii="Arial" w:eastAsia="Times New Roman" w:hAnsi="Arial" w:cs="Arial"/>
          <w:color w:val="333333"/>
          <w:kern w:val="0"/>
          <w:sz w:val="26"/>
          <w:szCs w:val="26"/>
          <w:lang w:eastAsia="es-UY"/>
          <w14:ligatures w14:val="none"/>
        </w:rPr>
      </w:pPr>
      <w:r w:rsidRPr="00D639D7">
        <w:rPr>
          <w:rFonts w:ascii="Arial" w:eastAsia="Times New Roman" w:hAnsi="Arial" w:cs="Arial"/>
          <w:b/>
          <w:bCs/>
          <w:color w:val="333333"/>
          <w:kern w:val="0"/>
          <w:sz w:val="26"/>
          <w:szCs w:val="26"/>
          <w:lang w:eastAsia="es-UY"/>
          <w14:ligatures w14:val="none"/>
        </w:rPr>
        <w:t>Fábio Caetano</w:t>
      </w:r>
      <w:r w:rsidRPr="00D639D7">
        <w:rPr>
          <w:rFonts w:ascii="Arial" w:eastAsia="Times New Roman" w:hAnsi="Arial" w:cs="Arial"/>
          <w:color w:val="333333"/>
          <w:kern w:val="0"/>
          <w:sz w:val="26"/>
          <w:szCs w:val="26"/>
          <w:lang w:eastAsia="es-UY"/>
          <w14:ligatures w14:val="none"/>
        </w:rPr>
        <w:t>  es especialista en gestión socioambiental aplicada a la concesión de licencias ambientales. Fue observador de la sociedad civil en la COP30 y creador de la COP para Líderes Estudiantiles en el estado de Pará. Actualmente realiza trabajo de campo en Pará, monitoreando movilizaciones socioambientales y territoriales.</w:t>
      </w:r>
    </w:p>
    <w:p w14:paraId="6F2FDB8B" w14:textId="77777777" w:rsidR="00D639D7" w:rsidRPr="00D639D7" w:rsidRDefault="00D639D7" w:rsidP="00D639D7">
      <w:pPr>
        <w:spacing w:after="0" w:line="240" w:lineRule="auto"/>
        <w:jc w:val="both"/>
        <w:outlineLvl w:val="1"/>
        <w:rPr>
          <w:rFonts w:ascii="Arial" w:eastAsia="Times New Roman" w:hAnsi="Arial" w:cs="Arial"/>
          <w:b/>
          <w:bCs/>
          <w:color w:val="333333"/>
          <w:kern w:val="0"/>
          <w:sz w:val="36"/>
          <w:szCs w:val="36"/>
          <w:lang w:eastAsia="es-UY"/>
          <w14:ligatures w14:val="none"/>
        </w:rPr>
      </w:pPr>
      <w:r w:rsidRPr="00D639D7">
        <w:rPr>
          <w:rFonts w:ascii="Arial" w:eastAsia="Times New Roman" w:hAnsi="Arial" w:cs="Arial"/>
          <w:b/>
          <w:bCs/>
          <w:color w:val="333333"/>
          <w:kern w:val="0"/>
          <w:sz w:val="36"/>
          <w:szCs w:val="36"/>
          <w:lang w:eastAsia="es-UY"/>
          <w14:ligatures w14:val="none"/>
        </w:rPr>
        <w:t>Aquí está el artículo.</w:t>
      </w:r>
    </w:p>
    <w:p w14:paraId="1A066247" w14:textId="77777777" w:rsidR="00D639D7" w:rsidRPr="00D639D7" w:rsidRDefault="00D639D7" w:rsidP="00D639D7">
      <w:pPr>
        <w:spacing w:after="0" w:line="240" w:lineRule="auto"/>
        <w:jc w:val="both"/>
        <w:rPr>
          <w:rFonts w:ascii="Arial" w:eastAsia="Times New Roman" w:hAnsi="Arial" w:cs="Arial"/>
          <w:color w:val="333333"/>
          <w:kern w:val="0"/>
          <w:sz w:val="26"/>
          <w:szCs w:val="26"/>
          <w:lang w:eastAsia="es-UY"/>
          <w14:ligatures w14:val="none"/>
        </w:rPr>
      </w:pPr>
      <w:r w:rsidRPr="00D639D7">
        <w:rPr>
          <w:rFonts w:ascii="Arial" w:eastAsia="Times New Roman" w:hAnsi="Arial" w:cs="Arial"/>
          <w:color w:val="333333"/>
          <w:kern w:val="0"/>
          <w:sz w:val="26"/>
          <w:szCs w:val="26"/>
          <w:lang w:eastAsia="es-UY"/>
          <w14:ligatures w14:val="none"/>
        </w:rPr>
        <w:t>El 8 de abril, la </w:t>
      </w:r>
      <w:r w:rsidRPr="00D639D7">
        <w:rPr>
          <w:rFonts w:ascii="Arial" w:eastAsia="Times New Roman" w:hAnsi="Arial" w:cs="Arial"/>
          <w:b/>
          <w:bCs/>
          <w:color w:val="333333"/>
          <w:kern w:val="0"/>
          <w:sz w:val="26"/>
          <w:szCs w:val="26"/>
          <w:lang w:eastAsia="es-UY"/>
          <w14:ligatures w14:val="none"/>
        </w:rPr>
        <w:t>Corte Suprema</w:t>
      </w:r>
      <w:r w:rsidRPr="00D639D7">
        <w:rPr>
          <w:rFonts w:ascii="Arial" w:eastAsia="Times New Roman" w:hAnsi="Arial" w:cs="Arial"/>
          <w:color w:val="333333"/>
          <w:kern w:val="0"/>
          <w:sz w:val="26"/>
          <w:szCs w:val="26"/>
          <w:lang w:eastAsia="es-UY"/>
          <w14:ligatures w14:val="none"/>
        </w:rPr>
        <w:t> reanudó el juicio que podría resultar en la reducción de los límites del </w:t>
      </w:r>
      <w:r w:rsidRPr="00D639D7">
        <w:rPr>
          <w:rFonts w:ascii="Arial" w:eastAsia="Times New Roman" w:hAnsi="Arial" w:cs="Arial"/>
          <w:b/>
          <w:bCs/>
          <w:color w:val="333333"/>
          <w:kern w:val="0"/>
          <w:sz w:val="26"/>
          <w:szCs w:val="26"/>
          <w:lang w:eastAsia="es-UY"/>
          <w14:ligatures w14:val="none"/>
        </w:rPr>
        <w:t xml:space="preserve">Parque Nacional </w:t>
      </w:r>
      <w:proofErr w:type="spellStart"/>
      <w:r w:rsidRPr="00D639D7">
        <w:rPr>
          <w:rFonts w:ascii="Arial" w:eastAsia="Times New Roman" w:hAnsi="Arial" w:cs="Arial"/>
          <w:b/>
          <w:bCs/>
          <w:color w:val="333333"/>
          <w:kern w:val="0"/>
          <w:sz w:val="26"/>
          <w:szCs w:val="26"/>
          <w:lang w:eastAsia="es-UY"/>
          <w14:ligatures w14:val="none"/>
        </w:rPr>
        <w:t>Jamanxim</w:t>
      </w:r>
      <w:proofErr w:type="spellEnd"/>
      <w:r w:rsidRPr="00D639D7">
        <w:rPr>
          <w:rFonts w:ascii="Arial" w:eastAsia="Times New Roman" w:hAnsi="Arial" w:cs="Arial"/>
          <w:color w:val="333333"/>
          <w:kern w:val="0"/>
          <w:sz w:val="26"/>
          <w:szCs w:val="26"/>
          <w:lang w:eastAsia="es-UY"/>
          <w14:ligatures w14:val="none"/>
        </w:rPr>
        <w:t> , en el suroeste </w:t>
      </w:r>
      <w:r w:rsidRPr="00D639D7">
        <w:rPr>
          <w:rFonts w:ascii="Arial" w:eastAsia="Times New Roman" w:hAnsi="Arial" w:cs="Arial"/>
          <w:b/>
          <w:bCs/>
          <w:color w:val="333333"/>
          <w:kern w:val="0"/>
          <w:sz w:val="26"/>
          <w:szCs w:val="26"/>
          <w:lang w:eastAsia="es-UY"/>
          <w14:ligatures w14:val="none"/>
        </w:rPr>
        <w:t>de Pará</w:t>
      </w:r>
      <w:r w:rsidRPr="00D639D7">
        <w:rPr>
          <w:rFonts w:ascii="Arial" w:eastAsia="Times New Roman" w:hAnsi="Arial" w:cs="Arial"/>
          <w:color w:val="333333"/>
          <w:kern w:val="0"/>
          <w:sz w:val="26"/>
          <w:szCs w:val="26"/>
          <w:lang w:eastAsia="es-UY"/>
          <w14:ligatures w14:val="none"/>
        </w:rPr>
        <w:t> . Si la amenaza se materializa, sentará las bases legales para la construcción del </w:t>
      </w:r>
      <w:r w:rsidRPr="00D639D7">
        <w:rPr>
          <w:rFonts w:ascii="Arial" w:eastAsia="Times New Roman" w:hAnsi="Arial" w:cs="Arial"/>
          <w:b/>
          <w:bCs/>
          <w:color w:val="333333"/>
          <w:kern w:val="0"/>
          <w:sz w:val="26"/>
          <w:szCs w:val="26"/>
          <w:lang w:eastAsia="es-UY"/>
          <w14:ligatures w14:val="none"/>
        </w:rPr>
        <w:t xml:space="preserve">ferrocarril </w:t>
      </w:r>
      <w:proofErr w:type="spellStart"/>
      <w:r w:rsidRPr="00D639D7">
        <w:rPr>
          <w:rFonts w:ascii="Arial" w:eastAsia="Times New Roman" w:hAnsi="Arial" w:cs="Arial"/>
          <w:b/>
          <w:bCs/>
          <w:color w:val="333333"/>
          <w:kern w:val="0"/>
          <w:sz w:val="26"/>
          <w:szCs w:val="26"/>
          <w:lang w:eastAsia="es-UY"/>
          <w14:ligatures w14:val="none"/>
        </w:rPr>
        <w:t>Ferrogrão</w:t>
      </w:r>
      <w:proofErr w:type="spellEnd"/>
      <w:r w:rsidRPr="00D639D7">
        <w:rPr>
          <w:rFonts w:ascii="Arial" w:eastAsia="Times New Roman" w:hAnsi="Arial" w:cs="Arial"/>
          <w:color w:val="333333"/>
          <w:kern w:val="0"/>
          <w:sz w:val="26"/>
          <w:szCs w:val="26"/>
          <w:lang w:eastAsia="es-UY"/>
          <w14:ligatures w14:val="none"/>
        </w:rPr>
        <w:t> , un proyecto que amenaza la naturaleza y los derechos de los pueblos indígenas. Ese mismo día, 14 grupos étnicos indígenas de la </w:t>
      </w:r>
      <w:r w:rsidRPr="00D639D7">
        <w:rPr>
          <w:rFonts w:ascii="Arial" w:eastAsia="Times New Roman" w:hAnsi="Arial" w:cs="Arial"/>
          <w:b/>
          <w:bCs/>
          <w:color w:val="333333"/>
          <w:kern w:val="0"/>
          <w:sz w:val="26"/>
          <w:szCs w:val="26"/>
          <w:lang w:eastAsia="es-UY"/>
          <w14:ligatures w14:val="none"/>
        </w:rPr>
        <w:t>región del Bajo Tapajós</w:t>
      </w:r>
      <w:r w:rsidRPr="00D639D7">
        <w:rPr>
          <w:rFonts w:ascii="Arial" w:eastAsia="Times New Roman" w:hAnsi="Arial" w:cs="Arial"/>
          <w:color w:val="333333"/>
          <w:kern w:val="0"/>
          <w:sz w:val="26"/>
          <w:szCs w:val="26"/>
          <w:lang w:eastAsia="es-UY"/>
          <w14:ligatures w14:val="none"/>
        </w:rPr>
        <w:t> marcharon hacia la corte. Esto no es meramente un gesto simbólico, sino un intento de intervenir en el corazón de una decisión que, una vez más, podría tomarse sin la presencia efectiva de quienes se verán más afectados por ella. El contraste es revelador.</w:t>
      </w:r>
    </w:p>
    <w:p w14:paraId="01F4FE29" w14:textId="77777777" w:rsidR="00D639D7" w:rsidRPr="00D639D7" w:rsidRDefault="00D639D7" w:rsidP="00D639D7">
      <w:pPr>
        <w:spacing w:after="0" w:line="240" w:lineRule="auto"/>
        <w:jc w:val="both"/>
        <w:rPr>
          <w:rFonts w:ascii="Arial" w:eastAsia="Times New Roman" w:hAnsi="Arial" w:cs="Arial"/>
          <w:color w:val="333333"/>
          <w:kern w:val="0"/>
          <w:sz w:val="26"/>
          <w:szCs w:val="26"/>
          <w:lang w:eastAsia="es-UY"/>
          <w14:ligatures w14:val="none"/>
        </w:rPr>
      </w:pPr>
      <w:r w:rsidRPr="00D639D7">
        <w:rPr>
          <w:rFonts w:ascii="Arial" w:eastAsia="Times New Roman" w:hAnsi="Arial" w:cs="Arial"/>
          <w:color w:val="333333"/>
          <w:kern w:val="0"/>
          <w:sz w:val="26"/>
          <w:szCs w:val="26"/>
          <w:lang w:eastAsia="es-UY"/>
          <w14:ligatures w14:val="none"/>
        </w:rPr>
        <w:t>Por un lado, </w:t>
      </w:r>
      <w:r w:rsidRPr="00D639D7">
        <w:rPr>
          <w:rFonts w:ascii="Arial" w:eastAsia="Times New Roman" w:hAnsi="Arial" w:cs="Arial"/>
          <w:b/>
          <w:bCs/>
          <w:color w:val="333333"/>
          <w:kern w:val="0"/>
          <w:sz w:val="26"/>
          <w:szCs w:val="26"/>
          <w:lang w:eastAsia="es-UY"/>
          <w14:ligatures w14:val="none"/>
        </w:rPr>
        <w:t>el Tribunal Supremo Federal (TSF)</w:t>
      </w:r>
      <w:r w:rsidRPr="00D639D7">
        <w:rPr>
          <w:rFonts w:ascii="Arial" w:eastAsia="Times New Roman" w:hAnsi="Arial" w:cs="Arial"/>
          <w:color w:val="333333"/>
          <w:kern w:val="0"/>
          <w:sz w:val="26"/>
          <w:szCs w:val="26"/>
          <w:lang w:eastAsia="es-UY"/>
          <w14:ligatures w14:val="none"/>
        </w:rPr>
        <w:t> analiza la constitucionalidad de la modificación de los límites de una unidad de conservación mediante una medida provisional firmada por el entonces </w:t>
      </w:r>
      <w:hyperlink r:id="rId6" w:tgtFrame="_blank" w:history="1">
        <w:r w:rsidRPr="00D639D7">
          <w:rPr>
            <w:rFonts w:ascii="Arial" w:eastAsia="Times New Roman" w:hAnsi="Arial" w:cs="Arial"/>
            <w:color w:val="FC6B01"/>
            <w:kern w:val="0"/>
            <w:sz w:val="26"/>
            <w:szCs w:val="26"/>
            <w:u w:val="single"/>
            <w:lang w:eastAsia="es-UY"/>
            <w14:ligatures w14:val="none"/>
          </w:rPr>
          <w:t>presidente Michel Temer</w:t>
        </w:r>
      </w:hyperlink>
      <w:r w:rsidRPr="00D639D7">
        <w:rPr>
          <w:rFonts w:ascii="Arial" w:eastAsia="Times New Roman" w:hAnsi="Arial" w:cs="Arial"/>
          <w:color w:val="333333"/>
          <w:kern w:val="0"/>
          <w:sz w:val="26"/>
          <w:szCs w:val="26"/>
          <w:lang w:eastAsia="es-UY"/>
          <w14:ligatures w14:val="none"/>
        </w:rPr>
        <w:t> . Por otro lado, los pueblos indígenas afirman, en persona, que no existe legitimidad alguna cuando se decide sobre territorios en contra de la voluntad de quienes los habitan. Una delegación indígena asistió al juicio dentro del Tribunal Supremo, mientras que cientos de líderes de diferentes pueblos siguieron la sesión desde el exterior, frente a una gran pantalla instalada para tal fin. El dispositivo de seguridad alrededor del tribunal se reforzó, demostrando que no se trata simplemente de un fallo técnico, sino de una decisión que moviliza a los territorios en defensa de sus derechos.</w:t>
      </w:r>
    </w:p>
    <w:p w14:paraId="2EC71F7F" w14:textId="77777777" w:rsidR="00D639D7" w:rsidRPr="00D639D7" w:rsidRDefault="00D639D7" w:rsidP="00D639D7">
      <w:pPr>
        <w:spacing w:after="0" w:line="240" w:lineRule="auto"/>
        <w:jc w:val="both"/>
        <w:rPr>
          <w:rFonts w:ascii="Arial" w:eastAsia="Times New Roman" w:hAnsi="Arial" w:cs="Arial"/>
          <w:color w:val="333333"/>
          <w:kern w:val="0"/>
          <w:sz w:val="26"/>
          <w:szCs w:val="26"/>
          <w:lang w:eastAsia="es-UY"/>
          <w14:ligatures w14:val="none"/>
        </w:rPr>
      </w:pPr>
      <w:r w:rsidRPr="00D639D7">
        <w:rPr>
          <w:rFonts w:ascii="Arial" w:eastAsia="Times New Roman" w:hAnsi="Arial" w:cs="Arial"/>
          <w:color w:val="333333"/>
          <w:kern w:val="0"/>
          <w:sz w:val="26"/>
          <w:szCs w:val="26"/>
          <w:lang w:eastAsia="es-UY"/>
          <w14:ligatures w14:val="none"/>
        </w:rPr>
        <w:t>Sin embargo, durante la sesión, los jueces aplazaron el juicio, que se retomaría en la siguiente sesión, el 9 de abril. Según una declaración pública de </w:t>
      </w:r>
      <w:proofErr w:type="spellStart"/>
      <w:r w:rsidRPr="00D639D7">
        <w:rPr>
          <w:rFonts w:ascii="Arial" w:eastAsia="Times New Roman" w:hAnsi="Arial" w:cs="Arial"/>
          <w:color w:val="333333"/>
          <w:kern w:val="0"/>
          <w:sz w:val="26"/>
          <w:szCs w:val="26"/>
          <w:lang w:eastAsia="es-UY"/>
          <w14:ligatures w14:val="none"/>
        </w:rPr>
        <w:fldChar w:fldCharType="begin"/>
      </w:r>
      <w:r w:rsidRPr="00D639D7">
        <w:rPr>
          <w:rFonts w:ascii="Arial" w:eastAsia="Times New Roman" w:hAnsi="Arial" w:cs="Arial"/>
          <w:color w:val="333333"/>
          <w:kern w:val="0"/>
          <w:sz w:val="26"/>
          <w:szCs w:val="26"/>
          <w:lang w:eastAsia="es-UY"/>
          <w14:ligatures w14:val="none"/>
        </w:rPr>
        <w:instrText>HYPERLINK "https://www.ihu.unisinos.br/categorias/662750-licao-para-a-sociedade-diz-lider-indigena-apos-derrubada-de-decreto-sobre-rio-tapajos-entrevista-com-auricelia-arapiun" \t "_blank"</w:instrText>
      </w:r>
      <w:r w:rsidRPr="00D639D7">
        <w:rPr>
          <w:rFonts w:ascii="Arial" w:eastAsia="Times New Roman" w:hAnsi="Arial" w:cs="Arial"/>
          <w:color w:val="333333"/>
          <w:kern w:val="0"/>
          <w:sz w:val="26"/>
          <w:szCs w:val="26"/>
          <w:lang w:eastAsia="es-UY"/>
          <w14:ligatures w14:val="none"/>
        </w:rPr>
      </w:r>
      <w:r w:rsidRPr="00D639D7">
        <w:rPr>
          <w:rFonts w:ascii="Arial" w:eastAsia="Times New Roman" w:hAnsi="Arial" w:cs="Arial"/>
          <w:color w:val="333333"/>
          <w:kern w:val="0"/>
          <w:sz w:val="26"/>
          <w:szCs w:val="26"/>
          <w:lang w:eastAsia="es-UY"/>
          <w14:ligatures w14:val="none"/>
        </w:rPr>
        <w:fldChar w:fldCharType="separate"/>
      </w:r>
      <w:r w:rsidRPr="00D639D7">
        <w:rPr>
          <w:rFonts w:ascii="Arial" w:eastAsia="Times New Roman" w:hAnsi="Arial" w:cs="Arial"/>
          <w:color w:val="FC6B01"/>
          <w:kern w:val="0"/>
          <w:sz w:val="26"/>
          <w:szCs w:val="26"/>
          <w:u w:val="single"/>
          <w:lang w:eastAsia="es-UY"/>
          <w14:ligatures w14:val="none"/>
        </w:rPr>
        <w:t>Auricélia</w:t>
      </w:r>
      <w:proofErr w:type="spellEnd"/>
      <w:r w:rsidRPr="00D639D7">
        <w:rPr>
          <w:rFonts w:ascii="Arial" w:eastAsia="Times New Roman" w:hAnsi="Arial" w:cs="Arial"/>
          <w:color w:val="FC6B01"/>
          <w:kern w:val="0"/>
          <w:sz w:val="26"/>
          <w:szCs w:val="26"/>
          <w:u w:val="single"/>
          <w:lang w:eastAsia="es-UY"/>
          <w14:ligatures w14:val="none"/>
        </w:rPr>
        <w:t xml:space="preserve"> Arapiun , los líderes indígenas de la </w:t>
      </w:r>
      <w:r w:rsidRPr="00D639D7">
        <w:rPr>
          <w:rFonts w:ascii="Arial" w:eastAsia="Times New Roman" w:hAnsi="Arial" w:cs="Arial"/>
          <w:color w:val="333333"/>
          <w:kern w:val="0"/>
          <w:sz w:val="26"/>
          <w:szCs w:val="26"/>
          <w:lang w:eastAsia="es-UY"/>
          <w14:ligatures w14:val="none"/>
        </w:rPr>
        <w:fldChar w:fldCharType="end"/>
      </w:r>
      <w:r w:rsidRPr="00D639D7">
        <w:rPr>
          <w:rFonts w:ascii="Arial" w:eastAsia="Times New Roman" w:hAnsi="Arial" w:cs="Arial"/>
          <w:b/>
          <w:bCs/>
          <w:color w:val="333333"/>
          <w:kern w:val="0"/>
          <w:sz w:val="26"/>
          <w:szCs w:val="26"/>
          <w:lang w:eastAsia="es-UY"/>
          <w14:ligatures w14:val="none"/>
        </w:rPr>
        <w:t xml:space="preserve">región del Bajo </w:t>
      </w:r>
      <w:r w:rsidRPr="00D639D7">
        <w:rPr>
          <w:rFonts w:ascii="Arial" w:eastAsia="Times New Roman" w:hAnsi="Arial" w:cs="Arial"/>
          <w:b/>
          <w:bCs/>
          <w:color w:val="333333"/>
          <w:kern w:val="0"/>
          <w:sz w:val="26"/>
          <w:szCs w:val="26"/>
          <w:lang w:eastAsia="es-UY"/>
          <w14:ligatures w14:val="none"/>
        </w:rPr>
        <w:lastRenderedPageBreak/>
        <w:t>Tapajós</w:t>
      </w:r>
      <w:r w:rsidRPr="00D639D7">
        <w:rPr>
          <w:rFonts w:ascii="Arial" w:eastAsia="Times New Roman" w:hAnsi="Arial" w:cs="Arial"/>
          <w:color w:val="333333"/>
          <w:kern w:val="0"/>
          <w:sz w:val="26"/>
          <w:szCs w:val="26"/>
          <w:lang w:eastAsia="es-UY"/>
          <w14:ligatures w14:val="none"/>
        </w:rPr>
        <w:t> permanecerán movilizados y vigilantes, siguiendo de cerca cada detalle de la decisión.</w:t>
      </w:r>
    </w:p>
    <w:p w14:paraId="2810123F" w14:textId="77777777" w:rsidR="00D639D7" w:rsidRPr="00D639D7" w:rsidRDefault="00D639D7" w:rsidP="00D639D7">
      <w:pPr>
        <w:spacing w:after="0" w:line="240" w:lineRule="auto"/>
        <w:jc w:val="both"/>
        <w:rPr>
          <w:rFonts w:ascii="Arial" w:eastAsia="Times New Roman" w:hAnsi="Arial" w:cs="Arial"/>
          <w:color w:val="333333"/>
          <w:kern w:val="0"/>
          <w:sz w:val="26"/>
          <w:szCs w:val="26"/>
          <w:lang w:eastAsia="es-UY"/>
          <w14:ligatures w14:val="none"/>
        </w:rPr>
      </w:pPr>
      <w:r w:rsidRPr="00D639D7">
        <w:rPr>
          <w:rFonts w:ascii="Arial" w:eastAsia="Times New Roman" w:hAnsi="Arial" w:cs="Arial"/>
          <w:color w:val="333333"/>
          <w:kern w:val="0"/>
          <w:sz w:val="26"/>
          <w:szCs w:val="26"/>
          <w:lang w:eastAsia="es-UY"/>
          <w14:ligatures w14:val="none"/>
        </w:rPr>
        <w:t>Formalmente, el juicio versa sobre la constitucionalidad de una medida provisional que redujo los límites de una unidad de conservación.</w:t>
      </w:r>
    </w:p>
    <w:p w14:paraId="0B98D3D5" w14:textId="77777777" w:rsidR="00D639D7" w:rsidRPr="00D639D7" w:rsidRDefault="00D639D7" w:rsidP="00D639D7">
      <w:pPr>
        <w:spacing w:after="0" w:line="240" w:lineRule="auto"/>
        <w:jc w:val="both"/>
        <w:rPr>
          <w:rFonts w:ascii="Arial" w:eastAsia="Times New Roman" w:hAnsi="Arial" w:cs="Arial"/>
          <w:color w:val="333333"/>
          <w:kern w:val="0"/>
          <w:sz w:val="26"/>
          <w:szCs w:val="26"/>
          <w:lang w:eastAsia="es-UY"/>
          <w14:ligatures w14:val="none"/>
        </w:rPr>
      </w:pPr>
      <w:r w:rsidRPr="00D639D7">
        <w:rPr>
          <w:rFonts w:ascii="Arial" w:eastAsia="Times New Roman" w:hAnsi="Arial" w:cs="Arial"/>
          <w:color w:val="333333"/>
          <w:kern w:val="0"/>
          <w:sz w:val="26"/>
          <w:szCs w:val="26"/>
          <w:lang w:eastAsia="es-UY"/>
          <w14:ligatures w14:val="none"/>
        </w:rPr>
        <w:t>En términos prácticos, determina la viabilidad de un proyecto mucho mayor: la consolidación del </w:t>
      </w:r>
      <w:hyperlink r:id="rId7" w:tgtFrame="_blank" w:history="1">
        <w:r w:rsidRPr="00D639D7">
          <w:rPr>
            <w:rFonts w:ascii="Arial" w:eastAsia="Times New Roman" w:hAnsi="Arial" w:cs="Arial"/>
            <w:color w:val="FC6B01"/>
            <w:kern w:val="0"/>
            <w:sz w:val="26"/>
            <w:szCs w:val="26"/>
            <w:u w:val="single"/>
            <w:lang w:eastAsia="es-UY"/>
            <w14:ligatures w14:val="none"/>
          </w:rPr>
          <w:t xml:space="preserve">ferrocarril de </w:t>
        </w:r>
        <w:proofErr w:type="spellStart"/>
        <w:r w:rsidRPr="00D639D7">
          <w:rPr>
            <w:rFonts w:ascii="Arial" w:eastAsia="Times New Roman" w:hAnsi="Arial" w:cs="Arial"/>
            <w:color w:val="FC6B01"/>
            <w:kern w:val="0"/>
            <w:sz w:val="26"/>
            <w:szCs w:val="26"/>
            <w:u w:val="single"/>
            <w:lang w:eastAsia="es-UY"/>
            <w14:ligatures w14:val="none"/>
          </w:rPr>
          <w:t>Ferrogrão</w:t>
        </w:r>
        <w:proofErr w:type="spellEnd"/>
      </w:hyperlink>
      <w:r w:rsidRPr="00D639D7">
        <w:rPr>
          <w:rFonts w:ascii="Arial" w:eastAsia="Times New Roman" w:hAnsi="Arial" w:cs="Arial"/>
          <w:color w:val="333333"/>
          <w:kern w:val="0"/>
          <w:sz w:val="26"/>
          <w:szCs w:val="26"/>
          <w:lang w:eastAsia="es-UY"/>
          <w14:ligatures w14:val="none"/>
        </w:rPr>
        <w:t> como eje estructurador del </w:t>
      </w:r>
      <w:r w:rsidRPr="00D639D7">
        <w:rPr>
          <w:rFonts w:ascii="Arial" w:eastAsia="Times New Roman" w:hAnsi="Arial" w:cs="Arial"/>
          <w:b/>
          <w:bCs/>
          <w:color w:val="333333"/>
          <w:kern w:val="0"/>
          <w:sz w:val="26"/>
          <w:szCs w:val="26"/>
          <w:lang w:eastAsia="es-UY"/>
          <w14:ligatures w14:val="none"/>
        </w:rPr>
        <w:t>Arco Norte</w:t>
      </w:r>
      <w:r w:rsidRPr="00D639D7">
        <w:rPr>
          <w:rFonts w:ascii="Arial" w:eastAsia="Times New Roman" w:hAnsi="Arial" w:cs="Arial"/>
          <w:color w:val="333333"/>
          <w:kern w:val="0"/>
          <w:sz w:val="26"/>
          <w:szCs w:val="26"/>
          <w:lang w:eastAsia="es-UY"/>
          <w14:ligatures w14:val="none"/>
        </w:rPr>
        <w:t> y, con ello, la reorganización funcional de la </w:t>
      </w:r>
      <w:hyperlink r:id="rId8" w:tgtFrame="_blank" w:history="1">
        <w:r w:rsidRPr="00D639D7">
          <w:rPr>
            <w:rFonts w:ascii="Arial" w:eastAsia="Times New Roman" w:hAnsi="Arial" w:cs="Arial"/>
            <w:color w:val="FC6B01"/>
            <w:kern w:val="0"/>
            <w:sz w:val="26"/>
            <w:szCs w:val="26"/>
            <w:u w:val="single"/>
            <w:lang w:eastAsia="es-UY"/>
            <w14:ligatures w14:val="none"/>
          </w:rPr>
          <w:t>Amazonía</w:t>
        </w:r>
      </w:hyperlink>
      <w:r w:rsidRPr="00D639D7">
        <w:rPr>
          <w:rFonts w:ascii="Arial" w:eastAsia="Times New Roman" w:hAnsi="Arial" w:cs="Arial"/>
          <w:color w:val="333333"/>
          <w:kern w:val="0"/>
          <w:sz w:val="26"/>
          <w:szCs w:val="26"/>
          <w:lang w:eastAsia="es-UY"/>
          <w14:ligatures w14:val="none"/>
        </w:rPr>
        <w:t> como corredor global para la exportación de materias primas.</w:t>
      </w:r>
    </w:p>
    <w:p w14:paraId="010336CC" w14:textId="77777777" w:rsidR="00D639D7" w:rsidRPr="00D639D7" w:rsidRDefault="00D639D7" w:rsidP="00D639D7">
      <w:pPr>
        <w:spacing w:after="0" w:line="240" w:lineRule="auto"/>
        <w:jc w:val="both"/>
        <w:rPr>
          <w:rFonts w:ascii="Arial" w:eastAsia="Times New Roman" w:hAnsi="Arial" w:cs="Arial"/>
          <w:color w:val="333333"/>
          <w:kern w:val="0"/>
          <w:sz w:val="26"/>
          <w:szCs w:val="26"/>
          <w:lang w:eastAsia="es-UY"/>
          <w14:ligatures w14:val="none"/>
        </w:rPr>
      </w:pPr>
      <w:r w:rsidRPr="00D639D7">
        <w:rPr>
          <w:rFonts w:ascii="Arial" w:eastAsia="Times New Roman" w:hAnsi="Arial" w:cs="Arial"/>
          <w:color w:val="333333"/>
          <w:kern w:val="0"/>
          <w:sz w:val="26"/>
          <w:szCs w:val="26"/>
          <w:lang w:eastAsia="es-UY"/>
          <w14:ligatures w14:val="none"/>
        </w:rPr>
        <w:t>Los defensores del </w:t>
      </w:r>
      <w:r w:rsidRPr="00D639D7">
        <w:rPr>
          <w:rFonts w:ascii="Arial" w:eastAsia="Times New Roman" w:hAnsi="Arial" w:cs="Arial"/>
          <w:b/>
          <w:bCs/>
          <w:color w:val="333333"/>
          <w:kern w:val="0"/>
          <w:sz w:val="26"/>
          <w:szCs w:val="26"/>
          <w:lang w:eastAsia="es-UY"/>
          <w14:ligatures w14:val="none"/>
        </w:rPr>
        <w:t xml:space="preserve">ferrocarril de </w:t>
      </w:r>
      <w:proofErr w:type="spellStart"/>
      <w:r w:rsidRPr="00D639D7">
        <w:rPr>
          <w:rFonts w:ascii="Arial" w:eastAsia="Times New Roman" w:hAnsi="Arial" w:cs="Arial"/>
          <w:b/>
          <w:bCs/>
          <w:color w:val="333333"/>
          <w:kern w:val="0"/>
          <w:sz w:val="26"/>
          <w:szCs w:val="26"/>
          <w:lang w:eastAsia="es-UY"/>
          <w14:ligatures w14:val="none"/>
        </w:rPr>
        <w:t>Ferrogrão</w:t>
      </w:r>
      <w:proofErr w:type="spellEnd"/>
      <w:r w:rsidRPr="00D639D7">
        <w:rPr>
          <w:rFonts w:ascii="Arial" w:eastAsia="Times New Roman" w:hAnsi="Arial" w:cs="Arial"/>
          <w:color w:val="333333"/>
          <w:kern w:val="0"/>
          <w:sz w:val="26"/>
          <w:szCs w:val="26"/>
          <w:lang w:eastAsia="es-UY"/>
          <w14:ligatures w14:val="none"/>
        </w:rPr>
        <w:t> insisten en considerarlo un proyecto de infraestructura. Un ferrocarril de 933 kilómetros, que conecta </w:t>
      </w:r>
      <w:r w:rsidRPr="00D639D7">
        <w:rPr>
          <w:rFonts w:ascii="Arial" w:eastAsia="Times New Roman" w:hAnsi="Arial" w:cs="Arial"/>
          <w:b/>
          <w:bCs/>
          <w:color w:val="333333"/>
          <w:kern w:val="0"/>
          <w:sz w:val="26"/>
          <w:szCs w:val="26"/>
          <w:lang w:eastAsia="es-UY"/>
          <w14:ligatures w14:val="none"/>
        </w:rPr>
        <w:t>Mato Grosso</w:t>
      </w:r>
      <w:r w:rsidRPr="00D639D7">
        <w:rPr>
          <w:rFonts w:ascii="Arial" w:eastAsia="Times New Roman" w:hAnsi="Arial" w:cs="Arial"/>
          <w:color w:val="333333"/>
          <w:kern w:val="0"/>
          <w:sz w:val="26"/>
          <w:szCs w:val="26"/>
          <w:lang w:eastAsia="es-UY"/>
          <w14:ligatures w14:val="none"/>
        </w:rPr>
        <w:t> con </w:t>
      </w:r>
      <w:r w:rsidRPr="00D639D7">
        <w:rPr>
          <w:rFonts w:ascii="Arial" w:eastAsia="Times New Roman" w:hAnsi="Arial" w:cs="Arial"/>
          <w:b/>
          <w:bCs/>
          <w:color w:val="333333"/>
          <w:kern w:val="0"/>
          <w:sz w:val="26"/>
          <w:szCs w:val="26"/>
          <w:lang w:eastAsia="es-UY"/>
          <w14:ligatures w14:val="none"/>
        </w:rPr>
        <w:t>Pará</w:t>
      </w:r>
      <w:r w:rsidRPr="00D639D7">
        <w:rPr>
          <w:rFonts w:ascii="Arial" w:eastAsia="Times New Roman" w:hAnsi="Arial" w:cs="Arial"/>
          <w:color w:val="333333"/>
          <w:kern w:val="0"/>
          <w:sz w:val="26"/>
          <w:szCs w:val="26"/>
          <w:lang w:eastAsia="es-UY"/>
          <w14:ligatures w14:val="none"/>
        </w:rPr>
        <w:t> , tiene como objetivo reducir los costos logísticos y aumentar la competitividad del agronegocio brasileño. A esto se suma el argumento recurrente de descarbonizar el transporte de granos, que aboga por reemplazar el transporte por carretera con el transporte ferroviario y fluvial como una forma de reducir las emisiones de gases de efecto invernadero que exacerban la crisis climática.</w:t>
      </w:r>
    </w:p>
    <w:p w14:paraId="7359EE39" w14:textId="77777777" w:rsidR="00D639D7" w:rsidRPr="00D639D7" w:rsidRDefault="00D639D7" w:rsidP="00D639D7">
      <w:pPr>
        <w:spacing w:after="0" w:line="240" w:lineRule="auto"/>
        <w:jc w:val="both"/>
        <w:rPr>
          <w:rFonts w:ascii="Arial" w:eastAsia="Times New Roman" w:hAnsi="Arial" w:cs="Arial"/>
          <w:color w:val="333333"/>
          <w:kern w:val="0"/>
          <w:sz w:val="26"/>
          <w:szCs w:val="26"/>
          <w:lang w:eastAsia="es-UY"/>
          <w14:ligatures w14:val="none"/>
        </w:rPr>
      </w:pPr>
      <w:r w:rsidRPr="00D639D7">
        <w:rPr>
          <w:rFonts w:ascii="Arial" w:eastAsia="Times New Roman" w:hAnsi="Arial" w:cs="Arial"/>
          <w:color w:val="333333"/>
          <w:kern w:val="0"/>
          <w:sz w:val="26"/>
          <w:szCs w:val="26"/>
          <w:lang w:eastAsia="es-UY"/>
          <w14:ligatures w14:val="none"/>
        </w:rPr>
        <w:t>Pero esta narrativa es cuestionada por los pueblos afectados. Como afirmó el jefe </w:t>
      </w:r>
      <w:r w:rsidRPr="00D639D7">
        <w:rPr>
          <w:rFonts w:ascii="Arial" w:eastAsia="Times New Roman" w:hAnsi="Arial" w:cs="Arial"/>
          <w:b/>
          <w:bCs/>
          <w:color w:val="333333"/>
          <w:kern w:val="0"/>
          <w:sz w:val="26"/>
          <w:szCs w:val="26"/>
          <w:lang w:eastAsia="es-UY"/>
          <w14:ligatures w14:val="none"/>
        </w:rPr>
        <w:t>Gilson Tupinambá</w:t>
      </w:r>
      <w:r w:rsidRPr="00D639D7">
        <w:rPr>
          <w:rFonts w:ascii="Arial" w:eastAsia="Times New Roman" w:hAnsi="Arial" w:cs="Arial"/>
          <w:color w:val="333333"/>
          <w:kern w:val="0"/>
          <w:sz w:val="26"/>
          <w:szCs w:val="26"/>
          <w:lang w:eastAsia="es-UY"/>
          <w14:ligatures w14:val="none"/>
        </w:rPr>
        <w:t> en una conversación en el </w:t>
      </w:r>
      <w:r w:rsidRPr="00D639D7">
        <w:rPr>
          <w:rFonts w:ascii="Arial" w:eastAsia="Times New Roman" w:hAnsi="Arial" w:cs="Arial"/>
          <w:b/>
          <w:bCs/>
          <w:color w:val="333333"/>
          <w:kern w:val="0"/>
          <w:sz w:val="26"/>
          <w:szCs w:val="26"/>
          <w:lang w:eastAsia="es-UY"/>
          <w14:ligatures w14:val="none"/>
        </w:rPr>
        <w:t>territorio indígena Tupinambá</w:t>
      </w:r>
      <w:r w:rsidRPr="00D639D7">
        <w:rPr>
          <w:rFonts w:ascii="Arial" w:eastAsia="Times New Roman" w:hAnsi="Arial" w:cs="Arial"/>
          <w:color w:val="333333"/>
          <w:kern w:val="0"/>
          <w:sz w:val="26"/>
          <w:szCs w:val="26"/>
          <w:lang w:eastAsia="es-UY"/>
          <w14:ligatures w14:val="none"/>
        </w:rPr>
        <w:t> : «Si quieren reducir las emisiones, deberían dejar de destruir los bosques para plantar soja». Esta retórica desarrollista resulta insuficiente y está sesgada políticamente.</w:t>
      </w:r>
    </w:p>
    <w:p w14:paraId="5C14F0CD" w14:textId="77777777" w:rsidR="00D639D7" w:rsidRPr="00D639D7" w:rsidRDefault="00D639D7" w:rsidP="00D639D7">
      <w:pPr>
        <w:spacing w:after="0" w:line="240" w:lineRule="auto"/>
        <w:jc w:val="both"/>
        <w:rPr>
          <w:rFonts w:ascii="Arial" w:eastAsia="Times New Roman" w:hAnsi="Arial" w:cs="Arial"/>
          <w:color w:val="333333"/>
          <w:kern w:val="0"/>
          <w:sz w:val="26"/>
          <w:szCs w:val="26"/>
          <w:lang w:eastAsia="es-UY"/>
          <w14:ligatures w14:val="none"/>
        </w:rPr>
      </w:pPr>
      <w:proofErr w:type="spellStart"/>
      <w:r w:rsidRPr="00D639D7">
        <w:rPr>
          <w:rFonts w:ascii="Arial" w:eastAsia="Times New Roman" w:hAnsi="Arial" w:cs="Arial"/>
          <w:color w:val="333333"/>
          <w:kern w:val="0"/>
          <w:sz w:val="26"/>
          <w:szCs w:val="26"/>
          <w:lang w:eastAsia="es-UY"/>
          <w14:ligatures w14:val="none"/>
        </w:rPr>
        <w:t>Ferrogrão</w:t>
      </w:r>
      <w:proofErr w:type="spellEnd"/>
      <w:r w:rsidRPr="00D639D7">
        <w:rPr>
          <w:rFonts w:ascii="Arial" w:eastAsia="Times New Roman" w:hAnsi="Arial" w:cs="Arial"/>
          <w:color w:val="333333"/>
          <w:kern w:val="0"/>
          <w:sz w:val="26"/>
          <w:szCs w:val="26"/>
          <w:lang w:eastAsia="es-UY"/>
          <w14:ligatures w14:val="none"/>
        </w:rPr>
        <w:t> no es un proyecto de construcción; es un sistema. Conecta con la </w:t>
      </w:r>
      <w:r w:rsidRPr="00D639D7">
        <w:rPr>
          <w:rFonts w:ascii="Arial" w:eastAsia="Times New Roman" w:hAnsi="Arial" w:cs="Arial"/>
          <w:b/>
          <w:bCs/>
          <w:color w:val="333333"/>
          <w:kern w:val="0"/>
          <w:sz w:val="26"/>
          <w:szCs w:val="26"/>
          <w:lang w:eastAsia="es-UY"/>
          <w14:ligatures w14:val="none"/>
        </w:rPr>
        <w:t>carretera BR</w:t>
      </w:r>
      <w:r w:rsidRPr="00D639D7">
        <w:rPr>
          <w:rFonts w:ascii="Arial" w:eastAsia="Times New Roman" w:hAnsi="Arial" w:cs="Arial"/>
          <w:color w:val="333333"/>
          <w:kern w:val="0"/>
          <w:sz w:val="26"/>
          <w:szCs w:val="26"/>
          <w:lang w:eastAsia="es-UY"/>
          <w14:ligatures w14:val="none"/>
        </w:rPr>
        <w:t> - </w:t>
      </w:r>
      <w:r w:rsidRPr="00D639D7">
        <w:rPr>
          <w:rFonts w:ascii="Arial" w:eastAsia="Times New Roman" w:hAnsi="Arial" w:cs="Arial"/>
          <w:b/>
          <w:bCs/>
          <w:color w:val="333333"/>
          <w:kern w:val="0"/>
          <w:sz w:val="26"/>
          <w:szCs w:val="26"/>
          <w:lang w:eastAsia="es-UY"/>
          <w14:ligatures w14:val="none"/>
        </w:rPr>
        <w:t>163</w:t>
      </w:r>
      <w:r w:rsidRPr="00D639D7">
        <w:rPr>
          <w:rFonts w:ascii="Arial" w:eastAsia="Times New Roman" w:hAnsi="Arial" w:cs="Arial"/>
          <w:color w:val="333333"/>
          <w:kern w:val="0"/>
          <w:sz w:val="26"/>
          <w:szCs w:val="26"/>
          <w:lang w:eastAsia="es-UY"/>
          <w14:ligatures w14:val="none"/>
        </w:rPr>
        <w:t> , con puertos públicos y privados, con estaciones de transbordo y, sobre todo, con las vías fluviales </w:t>
      </w:r>
      <w:r w:rsidRPr="00D639D7">
        <w:rPr>
          <w:rFonts w:ascii="Arial" w:eastAsia="Times New Roman" w:hAnsi="Arial" w:cs="Arial"/>
          <w:b/>
          <w:bCs/>
          <w:color w:val="333333"/>
          <w:kern w:val="0"/>
          <w:sz w:val="26"/>
          <w:szCs w:val="26"/>
          <w:lang w:eastAsia="es-UY"/>
          <w14:ligatures w14:val="none"/>
        </w:rPr>
        <w:t>del Tapajós</w:t>
      </w:r>
      <w:r w:rsidRPr="00D639D7">
        <w:rPr>
          <w:rFonts w:ascii="Arial" w:eastAsia="Times New Roman" w:hAnsi="Arial" w:cs="Arial"/>
          <w:color w:val="333333"/>
          <w:kern w:val="0"/>
          <w:sz w:val="26"/>
          <w:szCs w:val="26"/>
          <w:lang w:eastAsia="es-UY"/>
          <w14:ligatures w14:val="none"/>
        </w:rPr>
        <w:t> . Según datos presentados por el </w:t>
      </w:r>
      <w:r w:rsidRPr="00D639D7">
        <w:rPr>
          <w:rFonts w:ascii="Arial" w:eastAsia="Times New Roman" w:hAnsi="Arial" w:cs="Arial"/>
          <w:b/>
          <w:bCs/>
          <w:color w:val="333333"/>
          <w:kern w:val="0"/>
          <w:sz w:val="26"/>
          <w:szCs w:val="26"/>
          <w:lang w:eastAsia="es-UY"/>
          <w14:ligatures w14:val="none"/>
        </w:rPr>
        <w:t>Grupo de Trabajo sobre Infraestructura y Justicia Socioambiental en la Amazonía</w:t>
      </w:r>
      <w:r w:rsidRPr="00D639D7">
        <w:rPr>
          <w:rFonts w:ascii="Arial" w:eastAsia="Times New Roman" w:hAnsi="Arial" w:cs="Arial"/>
          <w:color w:val="333333"/>
          <w:kern w:val="0"/>
          <w:sz w:val="26"/>
          <w:szCs w:val="26"/>
          <w:lang w:eastAsia="es-UY"/>
          <w14:ligatures w14:val="none"/>
        </w:rPr>
        <w:t> , en los tramos medio e inferior del </w:t>
      </w:r>
      <w:hyperlink r:id="rId9" w:tgtFrame="_blank" w:history="1">
        <w:r w:rsidRPr="00D639D7">
          <w:rPr>
            <w:rFonts w:ascii="Arial" w:eastAsia="Times New Roman" w:hAnsi="Arial" w:cs="Arial"/>
            <w:color w:val="FC6B01"/>
            <w:kern w:val="0"/>
            <w:sz w:val="26"/>
            <w:szCs w:val="26"/>
            <w:u w:val="single"/>
            <w:lang w:eastAsia="es-UY"/>
            <w14:ligatures w14:val="none"/>
          </w:rPr>
          <w:t>río Tapajós</w:t>
        </w:r>
      </w:hyperlink>
      <w:r w:rsidRPr="00D639D7">
        <w:rPr>
          <w:rFonts w:ascii="Arial" w:eastAsia="Times New Roman" w:hAnsi="Arial" w:cs="Arial"/>
          <w:color w:val="333333"/>
          <w:kern w:val="0"/>
          <w:sz w:val="26"/>
          <w:szCs w:val="26"/>
          <w:lang w:eastAsia="es-UY"/>
          <w14:ligatures w14:val="none"/>
        </w:rPr>
        <w:t xml:space="preserve"> existen más de cuarenta puertos construidos, en operación o planificados. Lo que está en marcha no es solo la instalación de un ferrocarril, sino el ensamblaje de un mecanismo territorial que reorganiza </w:t>
      </w:r>
      <w:proofErr w:type="gramStart"/>
      <w:r w:rsidRPr="00D639D7">
        <w:rPr>
          <w:rFonts w:ascii="Arial" w:eastAsia="Times New Roman" w:hAnsi="Arial" w:cs="Arial"/>
          <w:color w:val="333333"/>
          <w:kern w:val="0"/>
          <w:sz w:val="26"/>
          <w:szCs w:val="26"/>
          <w:lang w:eastAsia="es-UY"/>
          <w14:ligatures w14:val="none"/>
        </w:rPr>
        <w:t>flujos,</w:t>
      </w:r>
      <w:proofErr w:type="gramEnd"/>
      <w:r w:rsidRPr="00D639D7">
        <w:rPr>
          <w:rFonts w:ascii="Arial" w:eastAsia="Times New Roman" w:hAnsi="Arial" w:cs="Arial"/>
          <w:color w:val="333333"/>
          <w:kern w:val="0"/>
          <w:sz w:val="26"/>
          <w:szCs w:val="26"/>
          <w:lang w:eastAsia="es-UY"/>
          <w14:ligatures w14:val="none"/>
        </w:rPr>
        <w:t xml:space="preserve"> redefine usos y altera profundamente el significado de la ocupación de la </w:t>
      </w:r>
      <w:r w:rsidRPr="00D639D7">
        <w:rPr>
          <w:rFonts w:ascii="Arial" w:eastAsia="Times New Roman" w:hAnsi="Arial" w:cs="Arial"/>
          <w:b/>
          <w:bCs/>
          <w:color w:val="333333"/>
          <w:kern w:val="0"/>
          <w:sz w:val="26"/>
          <w:szCs w:val="26"/>
          <w:lang w:eastAsia="es-UY"/>
          <w14:ligatures w14:val="none"/>
        </w:rPr>
        <w:t>Amazonía</w:t>
      </w:r>
      <w:r w:rsidRPr="00D639D7">
        <w:rPr>
          <w:rFonts w:ascii="Arial" w:eastAsia="Times New Roman" w:hAnsi="Arial" w:cs="Arial"/>
          <w:color w:val="333333"/>
          <w:kern w:val="0"/>
          <w:sz w:val="26"/>
          <w:szCs w:val="26"/>
          <w:lang w:eastAsia="es-UY"/>
          <w14:ligatures w14:val="none"/>
        </w:rPr>
        <w:t> .</w:t>
      </w:r>
    </w:p>
    <w:p w14:paraId="2A66C3A9" w14:textId="77777777" w:rsidR="00D639D7" w:rsidRPr="00D639D7" w:rsidRDefault="00D639D7" w:rsidP="00D639D7">
      <w:pPr>
        <w:spacing w:after="0" w:line="240" w:lineRule="auto"/>
        <w:jc w:val="both"/>
        <w:rPr>
          <w:rFonts w:ascii="Arial" w:eastAsia="Times New Roman" w:hAnsi="Arial" w:cs="Arial"/>
          <w:color w:val="333333"/>
          <w:kern w:val="0"/>
          <w:sz w:val="26"/>
          <w:szCs w:val="26"/>
          <w:lang w:eastAsia="es-UY"/>
          <w14:ligatures w14:val="none"/>
        </w:rPr>
      </w:pPr>
      <w:r w:rsidRPr="00D639D7">
        <w:rPr>
          <w:rFonts w:ascii="Arial" w:eastAsia="Times New Roman" w:hAnsi="Arial" w:cs="Arial"/>
          <w:color w:val="333333"/>
          <w:kern w:val="0"/>
          <w:sz w:val="26"/>
          <w:szCs w:val="26"/>
          <w:lang w:eastAsia="es-UY"/>
          <w14:ligatures w14:val="none"/>
        </w:rPr>
        <w:t>En este modelo, los ríos dejan de ser territorios vivos y se convierten en canales de drenaje. Los territorios dejan de ser espacios de existencia, morada de lo encantado, y se convierten en plataformas logísticas destinadas al mercado internacional.</w:t>
      </w:r>
    </w:p>
    <w:p w14:paraId="436D0668" w14:textId="77777777" w:rsidR="00D639D7" w:rsidRPr="00D639D7" w:rsidRDefault="00D639D7" w:rsidP="00D639D7">
      <w:pPr>
        <w:spacing w:after="0" w:line="240" w:lineRule="auto"/>
        <w:jc w:val="both"/>
        <w:rPr>
          <w:rFonts w:ascii="Arial" w:eastAsia="Times New Roman" w:hAnsi="Arial" w:cs="Arial"/>
          <w:color w:val="333333"/>
          <w:kern w:val="0"/>
          <w:sz w:val="26"/>
          <w:szCs w:val="26"/>
          <w:lang w:eastAsia="es-UY"/>
          <w14:ligatures w14:val="none"/>
        </w:rPr>
      </w:pPr>
      <w:r w:rsidRPr="00D639D7">
        <w:rPr>
          <w:rFonts w:ascii="Arial" w:eastAsia="Times New Roman" w:hAnsi="Arial" w:cs="Arial"/>
          <w:color w:val="333333"/>
          <w:kern w:val="0"/>
          <w:sz w:val="26"/>
          <w:szCs w:val="26"/>
          <w:lang w:eastAsia="es-UY"/>
          <w14:ligatures w14:val="none"/>
        </w:rPr>
        <w:t>Tapajós , hoy en día, es el nombre de una disputa </w:t>
      </w:r>
      <w:r w:rsidRPr="00D639D7">
        <w:rPr>
          <w:rFonts w:ascii="Arial" w:eastAsia="Times New Roman" w:hAnsi="Arial" w:cs="Arial"/>
          <w:b/>
          <w:bCs/>
          <w:color w:val="333333"/>
          <w:kern w:val="0"/>
          <w:sz w:val="26"/>
          <w:szCs w:val="26"/>
          <w:lang w:eastAsia="es-UY"/>
          <w14:ligatures w14:val="none"/>
        </w:rPr>
        <w:t>.</w:t>
      </w:r>
    </w:p>
    <w:p w14:paraId="489B9FB8" w14:textId="77777777" w:rsidR="00D639D7" w:rsidRPr="00D639D7" w:rsidRDefault="00D639D7" w:rsidP="00D639D7">
      <w:pPr>
        <w:spacing w:after="0" w:line="240" w:lineRule="auto"/>
        <w:jc w:val="both"/>
        <w:rPr>
          <w:rFonts w:ascii="Arial" w:eastAsia="Times New Roman" w:hAnsi="Arial" w:cs="Arial"/>
          <w:color w:val="333333"/>
          <w:kern w:val="0"/>
          <w:sz w:val="26"/>
          <w:szCs w:val="26"/>
          <w:lang w:eastAsia="es-UY"/>
          <w14:ligatures w14:val="none"/>
        </w:rPr>
      </w:pPr>
      <w:r w:rsidRPr="00D639D7">
        <w:rPr>
          <w:rFonts w:ascii="Arial" w:eastAsia="Times New Roman" w:hAnsi="Arial" w:cs="Arial"/>
          <w:color w:val="333333"/>
          <w:kern w:val="0"/>
          <w:sz w:val="26"/>
          <w:szCs w:val="26"/>
          <w:lang w:eastAsia="es-UY"/>
          <w14:ligatures w14:val="none"/>
        </w:rPr>
        <w:t>El fallo de la </w:t>
      </w:r>
      <w:r w:rsidRPr="00D639D7">
        <w:rPr>
          <w:rFonts w:ascii="Arial" w:eastAsia="Times New Roman" w:hAnsi="Arial" w:cs="Arial"/>
          <w:b/>
          <w:bCs/>
          <w:color w:val="333333"/>
          <w:kern w:val="0"/>
          <w:sz w:val="26"/>
          <w:szCs w:val="26"/>
          <w:lang w:eastAsia="es-UY"/>
          <w14:ligatures w14:val="none"/>
        </w:rPr>
        <w:t>Corte Suprema</w:t>
      </w:r>
      <w:r w:rsidRPr="00D639D7">
        <w:rPr>
          <w:rFonts w:ascii="Arial" w:eastAsia="Times New Roman" w:hAnsi="Arial" w:cs="Arial"/>
          <w:color w:val="333333"/>
          <w:kern w:val="0"/>
          <w:sz w:val="26"/>
          <w:szCs w:val="26"/>
          <w:lang w:eastAsia="es-UY"/>
          <w14:ligatures w14:val="none"/>
        </w:rPr>
        <w:t> pone de relieve un patrón recurrente en la forma en que los grandes proyectos avanzan en la </w:t>
      </w:r>
      <w:r w:rsidRPr="00D639D7">
        <w:rPr>
          <w:rFonts w:ascii="Arial" w:eastAsia="Times New Roman" w:hAnsi="Arial" w:cs="Arial"/>
          <w:b/>
          <w:bCs/>
          <w:color w:val="333333"/>
          <w:kern w:val="0"/>
          <w:sz w:val="26"/>
          <w:szCs w:val="26"/>
          <w:lang w:eastAsia="es-UY"/>
          <w14:ligatures w14:val="none"/>
        </w:rPr>
        <w:t>Amazonía</w:t>
      </w:r>
      <w:r w:rsidRPr="00D639D7">
        <w:rPr>
          <w:rFonts w:ascii="Arial" w:eastAsia="Times New Roman" w:hAnsi="Arial" w:cs="Arial"/>
          <w:color w:val="333333"/>
          <w:kern w:val="0"/>
          <w:sz w:val="26"/>
          <w:szCs w:val="26"/>
          <w:lang w:eastAsia="es-UY"/>
          <w14:ligatures w14:val="none"/>
        </w:rPr>
        <w:t> . No se trata solo de construir infraestructura, sino de adaptar el territorio para que sea posible.</w:t>
      </w:r>
    </w:p>
    <w:p w14:paraId="154B2AD1" w14:textId="77777777" w:rsidR="00D639D7" w:rsidRPr="00D639D7" w:rsidRDefault="00D639D7" w:rsidP="00D639D7">
      <w:pPr>
        <w:spacing w:after="0" w:line="240" w:lineRule="auto"/>
        <w:jc w:val="both"/>
        <w:rPr>
          <w:rFonts w:ascii="Arial" w:eastAsia="Times New Roman" w:hAnsi="Arial" w:cs="Arial"/>
          <w:color w:val="333333"/>
          <w:kern w:val="0"/>
          <w:sz w:val="26"/>
          <w:szCs w:val="26"/>
          <w:lang w:eastAsia="es-UY"/>
          <w14:ligatures w14:val="none"/>
        </w:rPr>
      </w:pPr>
      <w:r w:rsidRPr="00D639D7">
        <w:rPr>
          <w:rFonts w:ascii="Arial" w:eastAsia="Times New Roman" w:hAnsi="Arial" w:cs="Arial"/>
          <w:color w:val="333333"/>
          <w:kern w:val="0"/>
          <w:sz w:val="26"/>
          <w:szCs w:val="26"/>
          <w:lang w:eastAsia="es-UY"/>
          <w14:ligatures w14:val="none"/>
        </w:rPr>
        <w:t>La reducción de 832 hectáreas del </w:t>
      </w:r>
      <w:r w:rsidRPr="00D639D7">
        <w:rPr>
          <w:rFonts w:ascii="Arial" w:eastAsia="Times New Roman" w:hAnsi="Arial" w:cs="Arial"/>
          <w:b/>
          <w:bCs/>
          <w:color w:val="333333"/>
          <w:kern w:val="0"/>
          <w:sz w:val="26"/>
          <w:szCs w:val="26"/>
          <w:lang w:eastAsia="es-UY"/>
          <w14:ligatures w14:val="none"/>
        </w:rPr>
        <w:t xml:space="preserve">Parque Nacional </w:t>
      </w:r>
      <w:proofErr w:type="spellStart"/>
      <w:r w:rsidRPr="00D639D7">
        <w:rPr>
          <w:rFonts w:ascii="Arial" w:eastAsia="Times New Roman" w:hAnsi="Arial" w:cs="Arial"/>
          <w:b/>
          <w:bCs/>
          <w:color w:val="333333"/>
          <w:kern w:val="0"/>
          <w:sz w:val="26"/>
          <w:szCs w:val="26"/>
          <w:lang w:eastAsia="es-UY"/>
          <w14:ligatures w14:val="none"/>
        </w:rPr>
        <w:t>Jamanxim</w:t>
      </w:r>
      <w:proofErr w:type="spellEnd"/>
      <w:r w:rsidRPr="00D639D7">
        <w:rPr>
          <w:rFonts w:ascii="Arial" w:eastAsia="Times New Roman" w:hAnsi="Arial" w:cs="Arial"/>
          <w:color w:val="333333"/>
          <w:kern w:val="0"/>
          <w:sz w:val="26"/>
          <w:szCs w:val="26"/>
          <w:lang w:eastAsia="es-UY"/>
          <w14:ligatures w14:val="none"/>
        </w:rPr>
        <w:t> , objeto de la </w:t>
      </w:r>
      <w:r w:rsidRPr="00D639D7">
        <w:rPr>
          <w:rFonts w:ascii="Arial" w:eastAsia="Times New Roman" w:hAnsi="Arial" w:cs="Arial"/>
          <w:b/>
          <w:bCs/>
          <w:color w:val="333333"/>
          <w:kern w:val="0"/>
          <w:sz w:val="26"/>
          <w:szCs w:val="26"/>
          <w:lang w:eastAsia="es-UY"/>
          <w14:ligatures w14:val="none"/>
        </w:rPr>
        <w:t>Acción Directa de Inconstitucionalidad</w:t>
      </w:r>
      <w:r w:rsidRPr="00D639D7">
        <w:rPr>
          <w:rFonts w:ascii="Arial" w:eastAsia="Times New Roman" w:hAnsi="Arial" w:cs="Arial"/>
          <w:color w:val="333333"/>
          <w:kern w:val="0"/>
          <w:sz w:val="26"/>
          <w:szCs w:val="26"/>
          <w:lang w:eastAsia="es-UY"/>
          <w14:ligatures w14:val="none"/>
        </w:rPr>
        <w:t> ante el </w:t>
      </w:r>
      <w:r w:rsidRPr="00D639D7">
        <w:rPr>
          <w:rFonts w:ascii="Arial" w:eastAsia="Times New Roman" w:hAnsi="Arial" w:cs="Arial"/>
          <w:b/>
          <w:bCs/>
          <w:color w:val="333333"/>
          <w:kern w:val="0"/>
          <w:sz w:val="26"/>
          <w:szCs w:val="26"/>
          <w:lang w:eastAsia="es-UY"/>
          <w14:ligatures w14:val="none"/>
        </w:rPr>
        <w:t>Tribunal Supremo Federal</w:t>
      </w:r>
      <w:r w:rsidRPr="00D639D7">
        <w:rPr>
          <w:rFonts w:ascii="Arial" w:eastAsia="Times New Roman" w:hAnsi="Arial" w:cs="Arial"/>
          <w:color w:val="333333"/>
          <w:kern w:val="0"/>
          <w:sz w:val="26"/>
          <w:szCs w:val="26"/>
          <w:lang w:eastAsia="es-UY"/>
          <w14:ligatures w14:val="none"/>
        </w:rPr>
        <w:t> , no surgió de la nada. Proviene de una medida cautelar que constituye la base jurídica necesaria para el trazado del </w:t>
      </w:r>
      <w:r w:rsidRPr="00D639D7">
        <w:rPr>
          <w:rFonts w:ascii="Arial" w:eastAsia="Times New Roman" w:hAnsi="Arial" w:cs="Arial"/>
          <w:b/>
          <w:bCs/>
          <w:color w:val="333333"/>
          <w:kern w:val="0"/>
          <w:sz w:val="26"/>
          <w:szCs w:val="26"/>
          <w:lang w:eastAsia="es-UY"/>
          <w14:ligatures w14:val="none"/>
        </w:rPr>
        <w:t xml:space="preserve">ferrocarril de </w:t>
      </w:r>
      <w:proofErr w:type="spellStart"/>
      <w:r w:rsidRPr="00D639D7">
        <w:rPr>
          <w:rFonts w:ascii="Arial" w:eastAsia="Times New Roman" w:hAnsi="Arial" w:cs="Arial"/>
          <w:b/>
          <w:bCs/>
          <w:color w:val="333333"/>
          <w:kern w:val="0"/>
          <w:sz w:val="26"/>
          <w:szCs w:val="26"/>
          <w:lang w:eastAsia="es-UY"/>
          <w14:ligatures w14:val="none"/>
        </w:rPr>
        <w:t>Ferrogrão</w:t>
      </w:r>
      <w:proofErr w:type="spellEnd"/>
      <w:r w:rsidRPr="00D639D7">
        <w:rPr>
          <w:rFonts w:ascii="Arial" w:eastAsia="Times New Roman" w:hAnsi="Arial" w:cs="Arial"/>
          <w:color w:val="333333"/>
          <w:kern w:val="0"/>
          <w:sz w:val="26"/>
          <w:szCs w:val="26"/>
          <w:lang w:eastAsia="es-UY"/>
          <w14:ligatures w14:val="none"/>
        </w:rPr>
        <w:t xml:space="preserve"> . Sin esta modificación, impulsada por la medida cautelar, el </w:t>
      </w:r>
      <w:r w:rsidRPr="00D639D7">
        <w:rPr>
          <w:rFonts w:ascii="Arial" w:eastAsia="Times New Roman" w:hAnsi="Arial" w:cs="Arial"/>
          <w:color w:val="333333"/>
          <w:kern w:val="0"/>
          <w:sz w:val="26"/>
          <w:szCs w:val="26"/>
          <w:lang w:eastAsia="es-UY"/>
          <w14:ligatures w14:val="none"/>
        </w:rPr>
        <w:lastRenderedPageBreak/>
        <w:t>proyecto se enfrenta a importantes obstáculos legales. Con ella, gana viabilidad.</w:t>
      </w:r>
    </w:p>
    <w:p w14:paraId="7FB646A6" w14:textId="77777777" w:rsidR="00D639D7" w:rsidRPr="00D639D7" w:rsidRDefault="00D639D7" w:rsidP="00D639D7">
      <w:pPr>
        <w:spacing w:after="0" w:line="240" w:lineRule="auto"/>
        <w:jc w:val="both"/>
        <w:rPr>
          <w:rFonts w:ascii="Arial" w:eastAsia="Times New Roman" w:hAnsi="Arial" w:cs="Arial"/>
          <w:color w:val="333333"/>
          <w:kern w:val="0"/>
          <w:sz w:val="26"/>
          <w:szCs w:val="26"/>
          <w:lang w:eastAsia="es-UY"/>
          <w14:ligatures w14:val="none"/>
        </w:rPr>
      </w:pPr>
      <w:r w:rsidRPr="00D639D7">
        <w:rPr>
          <w:rFonts w:ascii="Arial" w:eastAsia="Times New Roman" w:hAnsi="Arial" w:cs="Arial"/>
          <w:color w:val="333333"/>
          <w:kern w:val="0"/>
          <w:sz w:val="26"/>
          <w:szCs w:val="26"/>
          <w:lang w:eastAsia="es-UY"/>
          <w14:ligatures w14:val="none"/>
        </w:rPr>
        <w:t>Por lo tanto, la cuestión trasciende el debate jurídico sobre medidas provisionales o los límites de las unidades de conservación. Lo que está en juego es la consolidación de un modelo en el que las áreas protegidas pueden redefinirse para dar cabida a proyectos económicos previamente establecidos. Y esto nos lleva a una dimensión más profunda del conflicto.</w:t>
      </w:r>
    </w:p>
    <w:p w14:paraId="0EC14D63" w14:textId="77777777" w:rsidR="00D639D7" w:rsidRPr="00D639D7" w:rsidRDefault="00D639D7" w:rsidP="00D639D7">
      <w:pPr>
        <w:spacing w:after="0" w:line="240" w:lineRule="auto"/>
        <w:jc w:val="both"/>
        <w:rPr>
          <w:rFonts w:ascii="Arial" w:eastAsia="Times New Roman" w:hAnsi="Arial" w:cs="Arial"/>
          <w:color w:val="333333"/>
          <w:kern w:val="0"/>
          <w:sz w:val="26"/>
          <w:szCs w:val="26"/>
          <w:lang w:eastAsia="es-UY"/>
          <w14:ligatures w14:val="none"/>
        </w:rPr>
      </w:pPr>
      <w:r w:rsidRPr="00D639D7">
        <w:rPr>
          <w:rFonts w:ascii="Arial" w:eastAsia="Times New Roman" w:hAnsi="Arial" w:cs="Arial"/>
          <w:color w:val="333333"/>
          <w:kern w:val="0"/>
          <w:sz w:val="26"/>
          <w:szCs w:val="26"/>
          <w:lang w:eastAsia="es-UY"/>
          <w14:ligatures w14:val="none"/>
        </w:rPr>
        <w:t>Un análisis territorial nos permite comprender que las unidades de conservación totalmente protegidas no son meros instrumentos de preservación ambiental. También pueden funcionar como mecanismos para la gestión geopolítica del territorio. Históricamente, la creación de estas categorías, especialmente en contextos con escasa participación, se asocia con la restricción del uso de la tierra por parte de las poblaciones tradicionales, la ruptura de los lazos territoriales y la erosión del sentido de pertenencia. El territorio queda formalmente protegido por el Estado, pero también queda políticamente vacío.</w:t>
      </w:r>
    </w:p>
    <w:p w14:paraId="28C284D7" w14:textId="77777777" w:rsidR="00D639D7" w:rsidRPr="00D639D7" w:rsidRDefault="00D639D7" w:rsidP="00D639D7">
      <w:pPr>
        <w:spacing w:after="0" w:line="240" w:lineRule="auto"/>
        <w:jc w:val="both"/>
        <w:rPr>
          <w:rFonts w:ascii="Arial" w:eastAsia="Times New Roman" w:hAnsi="Arial" w:cs="Arial"/>
          <w:color w:val="333333"/>
          <w:kern w:val="0"/>
          <w:sz w:val="26"/>
          <w:szCs w:val="26"/>
          <w:lang w:eastAsia="es-UY"/>
          <w14:ligatures w14:val="none"/>
        </w:rPr>
      </w:pPr>
      <w:r w:rsidRPr="00D639D7">
        <w:rPr>
          <w:rFonts w:ascii="Arial" w:eastAsia="Times New Roman" w:hAnsi="Arial" w:cs="Arial"/>
          <w:color w:val="333333"/>
          <w:kern w:val="0"/>
          <w:sz w:val="26"/>
          <w:szCs w:val="26"/>
          <w:lang w:eastAsia="es-UY"/>
          <w14:ligatures w14:val="none"/>
        </w:rPr>
        <w:t>Décadas después, ese mismo territorio puede redimensionarse, hacerse más flexible o desclasificarse parcialmente para permitir proyectos considerados de utilidad pública, como la minería, la energía y la infraestructura logística.</w:t>
      </w:r>
    </w:p>
    <w:p w14:paraId="496EF695" w14:textId="77777777" w:rsidR="00D639D7" w:rsidRPr="00D639D7" w:rsidRDefault="00D639D7" w:rsidP="00D639D7">
      <w:pPr>
        <w:spacing w:after="0" w:line="240" w:lineRule="auto"/>
        <w:jc w:val="both"/>
        <w:rPr>
          <w:rFonts w:ascii="Arial" w:eastAsia="Times New Roman" w:hAnsi="Arial" w:cs="Arial"/>
          <w:color w:val="333333"/>
          <w:kern w:val="0"/>
          <w:sz w:val="26"/>
          <w:szCs w:val="26"/>
          <w:lang w:eastAsia="es-UY"/>
          <w14:ligatures w14:val="none"/>
        </w:rPr>
      </w:pPr>
      <w:r w:rsidRPr="00D639D7">
        <w:rPr>
          <w:rFonts w:ascii="Arial" w:eastAsia="Times New Roman" w:hAnsi="Arial" w:cs="Arial"/>
          <w:color w:val="333333"/>
          <w:kern w:val="0"/>
          <w:sz w:val="26"/>
          <w:szCs w:val="26"/>
          <w:lang w:eastAsia="es-UY"/>
          <w14:ligatures w14:val="none"/>
        </w:rPr>
        <w:t>Lo que observamos, entonces, es un movimiento a largo plazo: primero, el territorio se reorganiza bajo la lógica de la protección ambiental; luego, ese mismo territorio se reconfigura bajo la lógica de la explotación. En este sentido, el caso del </w:t>
      </w:r>
      <w:hyperlink r:id="rId10" w:tgtFrame="_blank" w:history="1">
        <w:r w:rsidRPr="00D639D7">
          <w:rPr>
            <w:rFonts w:ascii="Arial" w:eastAsia="Times New Roman" w:hAnsi="Arial" w:cs="Arial"/>
            <w:color w:val="FC6B01"/>
            <w:kern w:val="0"/>
            <w:sz w:val="26"/>
            <w:szCs w:val="26"/>
            <w:u w:val="single"/>
            <w:lang w:eastAsia="es-UY"/>
            <w14:ligatures w14:val="none"/>
          </w:rPr>
          <w:t xml:space="preserve">Parque Nacional </w:t>
        </w:r>
        <w:proofErr w:type="spellStart"/>
        <w:r w:rsidRPr="00D639D7">
          <w:rPr>
            <w:rFonts w:ascii="Arial" w:eastAsia="Times New Roman" w:hAnsi="Arial" w:cs="Arial"/>
            <w:color w:val="FC6B01"/>
            <w:kern w:val="0"/>
            <w:sz w:val="26"/>
            <w:szCs w:val="26"/>
            <w:u w:val="single"/>
            <w:lang w:eastAsia="es-UY"/>
            <w14:ligatures w14:val="none"/>
          </w:rPr>
          <w:t>Jamanxim</w:t>
        </w:r>
        <w:proofErr w:type="spellEnd"/>
      </w:hyperlink>
      <w:r w:rsidRPr="00D639D7">
        <w:rPr>
          <w:rFonts w:ascii="Arial" w:eastAsia="Times New Roman" w:hAnsi="Arial" w:cs="Arial"/>
          <w:color w:val="333333"/>
          <w:kern w:val="0"/>
          <w:sz w:val="26"/>
          <w:szCs w:val="26"/>
          <w:lang w:eastAsia="es-UY"/>
          <w14:ligatures w14:val="none"/>
        </w:rPr>
        <w:t> no es una excepción. Revela un método.</w:t>
      </w:r>
    </w:p>
    <w:p w14:paraId="40F6A119" w14:textId="77777777" w:rsidR="00D639D7" w:rsidRPr="00D639D7" w:rsidRDefault="00D639D7" w:rsidP="00D639D7">
      <w:pPr>
        <w:spacing w:after="0" w:line="240" w:lineRule="auto"/>
        <w:jc w:val="both"/>
        <w:rPr>
          <w:rFonts w:ascii="Arial" w:eastAsia="Times New Roman" w:hAnsi="Arial" w:cs="Arial"/>
          <w:color w:val="333333"/>
          <w:kern w:val="0"/>
          <w:sz w:val="26"/>
          <w:szCs w:val="26"/>
          <w:lang w:eastAsia="es-UY"/>
          <w14:ligatures w14:val="none"/>
        </w:rPr>
      </w:pPr>
      <w:r w:rsidRPr="00D639D7">
        <w:rPr>
          <w:rFonts w:ascii="Arial" w:eastAsia="Times New Roman" w:hAnsi="Arial" w:cs="Arial"/>
          <w:color w:val="333333"/>
          <w:kern w:val="0"/>
          <w:sz w:val="26"/>
          <w:szCs w:val="26"/>
          <w:lang w:eastAsia="es-UY"/>
          <w14:ligatures w14:val="none"/>
        </w:rPr>
        <w:t>Esta dinámica forma parte de un marco más amplio: la actualización de un modelo de desarrollo dependiente. La Amazonía se integra progresivamente en los circuitos globales no como un centro de toma de decisiones, sino como un espacio funcional para la exportación de materias primas.</w:t>
      </w:r>
    </w:p>
    <w:p w14:paraId="508F164C" w14:textId="77777777" w:rsidR="00D639D7" w:rsidRPr="00D639D7" w:rsidRDefault="00D639D7" w:rsidP="00D639D7">
      <w:pPr>
        <w:spacing w:after="0" w:line="240" w:lineRule="auto"/>
        <w:jc w:val="both"/>
        <w:rPr>
          <w:rFonts w:ascii="Arial" w:eastAsia="Times New Roman" w:hAnsi="Arial" w:cs="Arial"/>
          <w:color w:val="333333"/>
          <w:kern w:val="0"/>
          <w:sz w:val="26"/>
          <w:szCs w:val="26"/>
          <w:lang w:eastAsia="es-UY"/>
          <w14:ligatures w14:val="none"/>
        </w:rPr>
      </w:pPr>
      <w:r w:rsidRPr="00D639D7">
        <w:rPr>
          <w:rFonts w:ascii="Arial" w:eastAsia="Times New Roman" w:hAnsi="Arial" w:cs="Arial"/>
          <w:color w:val="333333"/>
          <w:kern w:val="0"/>
          <w:sz w:val="26"/>
          <w:szCs w:val="26"/>
          <w:lang w:eastAsia="es-UY"/>
          <w14:ligatures w14:val="none"/>
        </w:rPr>
        <w:t>Los proyectos de infraestructura como el </w:t>
      </w:r>
      <w:r w:rsidRPr="00D639D7">
        <w:rPr>
          <w:rFonts w:ascii="Arial" w:eastAsia="Times New Roman" w:hAnsi="Arial" w:cs="Arial"/>
          <w:b/>
          <w:bCs/>
          <w:color w:val="333333"/>
          <w:kern w:val="0"/>
          <w:sz w:val="26"/>
          <w:szCs w:val="26"/>
          <w:lang w:eastAsia="es-UY"/>
          <w14:ligatures w14:val="none"/>
        </w:rPr>
        <w:t xml:space="preserve">ferrocarril de </w:t>
      </w:r>
      <w:proofErr w:type="spellStart"/>
      <w:r w:rsidRPr="00D639D7">
        <w:rPr>
          <w:rFonts w:ascii="Arial" w:eastAsia="Times New Roman" w:hAnsi="Arial" w:cs="Arial"/>
          <w:b/>
          <w:bCs/>
          <w:color w:val="333333"/>
          <w:kern w:val="0"/>
          <w:sz w:val="26"/>
          <w:szCs w:val="26"/>
          <w:lang w:eastAsia="es-UY"/>
          <w14:ligatures w14:val="none"/>
        </w:rPr>
        <w:t>Ferrogrão</w:t>
      </w:r>
      <w:proofErr w:type="spellEnd"/>
      <w:r w:rsidRPr="00D639D7">
        <w:rPr>
          <w:rFonts w:ascii="Arial" w:eastAsia="Times New Roman" w:hAnsi="Arial" w:cs="Arial"/>
          <w:color w:val="333333"/>
          <w:kern w:val="0"/>
          <w:sz w:val="26"/>
          <w:szCs w:val="26"/>
          <w:lang w:eastAsia="es-UY"/>
          <w14:ligatures w14:val="none"/>
        </w:rPr>
        <w:t> no solo transportan la producción, sino que también impulsan la expansión de la frontera productiva. Diversos estudios indican que el conjunto de proyectos asociados al ferrocarril podría provocar la deforestación de cientos de miles de hectáreas en las próximas décadas. Al mismo tiempo, no garantizan una trazabilidad efectiva de las cadenas de producción agroindustrial y minimizan, en los estudios oficiales, la verdadera magnitud de los impactos sobre los pueblos indígenas, las comunidades tradicionales y el patrimonio cultural. En marzo de 2026, el </w:t>
      </w:r>
      <w:r w:rsidRPr="00D639D7">
        <w:rPr>
          <w:rFonts w:ascii="Arial" w:eastAsia="Times New Roman" w:hAnsi="Arial" w:cs="Arial"/>
          <w:b/>
          <w:bCs/>
          <w:color w:val="333333"/>
          <w:kern w:val="0"/>
          <w:sz w:val="26"/>
          <w:szCs w:val="26"/>
          <w:lang w:eastAsia="es-UY"/>
          <w14:ligatures w14:val="none"/>
        </w:rPr>
        <w:t>Tribunal Federal de Cuentas de Brasil</w:t>
      </w:r>
      <w:r w:rsidRPr="00D639D7">
        <w:rPr>
          <w:rFonts w:ascii="Arial" w:eastAsia="Times New Roman" w:hAnsi="Arial" w:cs="Arial"/>
          <w:color w:val="333333"/>
          <w:kern w:val="0"/>
          <w:sz w:val="26"/>
          <w:szCs w:val="26"/>
          <w:lang w:eastAsia="es-UY"/>
          <w14:ligatures w14:val="none"/>
        </w:rPr>
        <w:t> suspendió el análisis de la concesión </w:t>
      </w:r>
      <w:r w:rsidRPr="00D639D7">
        <w:rPr>
          <w:rFonts w:ascii="Arial" w:eastAsia="Times New Roman" w:hAnsi="Arial" w:cs="Arial"/>
          <w:b/>
          <w:bCs/>
          <w:color w:val="333333"/>
          <w:kern w:val="0"/>
          <w:sz w:val="26"/>
          <w:szCs w:val="26"/>
          <w:lang w:eastAsia="es-UY"/>
          <w14:ligatures w14:val="none"/>
        </w:rPr>
        <w:t xml:space="preserve">de </w:t>
      </w:r>
      <w:proofErr w:type="spellStart"/>
      <w:r w:rsidRPr="00D639D7">
        <w:rPr>
          <w:rFonts w:ascii="Arial" w:eastAsia="Times New Roman" w:hAnsi="Arial" w:cs="Arial"/>
          <w:b/>
          <w:bCs/>
          <w:color w:val="333333"/>
          <w:kern w:val="0"/>
          <w:sz w:val="26"/>
          <w:szCs w:val="26"/>
          <w:lang w:eastAsia="es-UY"/>
          <w14:ligatures w14:val="none"/>
        </w:rPr>
        <w:t>Ferrogrão</w:t>
      </w:r>
      <w:proofErr w:type="spellEnd"/>
      <w:r w:rsidRPr="00D639D7">
        <w:rPr>
          <w:rFonts w:ascii="Arial" w:eastAsia="Times New Roman" w:hAnsi="Arial" w:cs="Arial"/>
          <w:color w:val="333333"/>
          <w:kern w:val="0"/>
          <w:sz w:val="26"/>
          <w:szCs w:val="26"/>
          <w:lang w:eastAsia="es-UY"/>
          <w14:ligatures w14:val="none"/>
        </w:rPr>
        <w:t> , señalando graves irregularidades financieras y socioambientales, en particular la falta de consulta previa, libre e informada con los pueblos indígenas potencialmente afectados por el proyecto.</w:t>
      </w:r>
    </w:p>
    <w:p w14:paraId="1C572FC3" w14:textId="77777777" w:rsidR="00D639D7" w:rsidRPr="00D639D7" w:rsidRDefault="00D639D7" w:rsidP="00D639D7">
      <w:pPr>
        <w:spacing w:after="0" w:line="240" w:lineRule="auto"/>
        <w:jc w:val="both"/>
        <w:rPr>
          <w:rFonts w:ascii="Arial" w:eastAsia="Times New Roman" w:hAnsi="Arial" w:cs="Arial"/>
          <w:color w:val="333333"/>
          <w:kern w:val="0"/>
          <w:sz w:val="26"/>
          <w:szCs w:val="26"/>
          <w:lang w:eastAsia="es-UY"/>
          <w14:ligatures w14:val="none"/>
        </w:rPr>
      </w:pPr>
      <w:r w:rsidRPr="00D639D7">
        <w:rPr>
          <w:rFonts w:ascii="Arial" w:eastAsia="Times New Roman" w:hAnsi="Arial" w:cs="Arial"/>
          <w:color w:val="333333"/>
          <w:kern w:val="0"/>
          <w:sz w:val="26"/>
          <w:szCs w:val="26"/>
          <w:lang w:eastAsia="es-UY"/>
          <w14:ligatures w14:val="none"/>
        </w:rPr>
        <w:t xml:space="preserve">Estos impactos socioambientales afectan directamente la economía regional y la seguridad alimentaria. Los ríos y bosques amazónicos no son </w:t>
      </w:r>
      <w:r w:rsidRPr="00D639D7">
        <w:rPr>
          <w:rFonts w:ascii="Arial" w:eastAsia="Times New Roman" w:hAnsi="Arial" w:cs="Arial"/>
          <w:color w:val="333333"/>
          <w:kern w:val="0"/>
          <w:sz w:val="26"/>
          <w:szCs w:val="26"/>
          <w:lang w:eastAsia="es-UY"/>
          <w14:ligatures w14:val="none"/>
        </w:rPr>
        <w:lastRenderedPageBreak/>
        <w:t xml:space="preserve">solo paisajes, sino sistemas productivos complejos que garantizan el sustento de millones de personas mediante la pesca y la gestión tradicional. La degradación de estos </w:t>
      </w:r>
      <w:proofErr w:type="gramStart"/>
      <w:r w:rsidRPr="00D639D7">
        <w:rPr>
          <w:rFonts w:ascii="Arial" w:eastAsia="Times New Roman" w:hAnsi="Arial" w:cs="Arial"/>
          <w:color w:val="333333"/>
          <w:kern w:val="0"/>
          <w:sz w:val="26"/>
          <w:szCs w:val="26"/>
          <w:lang w:eastAsia="es-UY"/>
          <w14:ligatures w14:val="none"/>
        </w:rPr>
        <w:t>entornos,</w:t>
      </w:r>
      <w:proofErr w:type="gramEnd"/>
      <w:r w:rsidRPr="00D639D7">
        <w:rPr>
          <w:rFonts w:ascii="Arial" w:eastAsia="Times New Roman" w:hAnsi="Arial" w:cs="Arial"/>
          <w:color w:val="333333"/>
          <w:kern w:val="0"/>
          <w:sz w:val="26"/>
          <w:szCs w:val="26"/>
          <w:lang w:eastAsia="es-UY"/>
          <w14:ligatures w14:val="none"/>
        </w:rPr>
        <w:t xml:space="preserve"> ya sea por dragado, contaminación o alteración del régimen hidrológico, compromete cadenas alimentarias enteras, reduce las poblaciones de peces y afecta tanto a las comunidades locales como a los centros urbanos que dependen de estos recursos. Al mismo tiempo, los procesos de contaminación por sedimentos, mercurio y otros contaminantes aumentan los riesgos para la salud pública y debilitan la soberanía alimentaria de estos territorios.</w:t>
      </w:r>
    </w:p>
    <w:p w14:paraId="57D0109F" w14:textId="77777777" w:rsidR="00D639D7" w:rsidRPr="00D639D7" w:rsidRDefault="00D639D7" w:rsidP="00D639D7">
      <w:pPr>
        <w:spacing w:after="0" w:line="240" w:lineRule="auto"/>
        <w:jc w:val="both"/>
        <w:rPr>
          <w:rFonts w:ascii="Arial" w:eastAsia="Times New Roman" w:hAnsi="Arial" w:cs="Arial"/>
          <w:color w:val="333333"/>
          <w:kern w:val="0"/>
          <w:sz w:val="26"/>
          <w:szCs w:val="26"/>
          <w:lang w:eastAsia="es-UY"/>
          <w14:ligatures w14:val="none"/>
        </w:rPr>
      </w:pPr>
      <w:r w:rsidRPr="00D639D7">
        <w:rPr>
          <w:rFonts w:ascii="Arial" w:eastAsia="Times New Roman" w:hAnsi="Arial" w:cs="Arial"/>
          <w:color w:val="333333"/>
          <w:kern w:val="0"/>
          <w:sz w:val="26"/>
          <w:szCs w:val="26"/>
          <w:lang w:eastAsia="es-UY"/>
          <w14:ligatures w14:val="none"/>
        </w:rPr>
        <w:t>También se han identificado cientos de yacimientos arqueológicos en la zona de influencia, incluyendo lugares de profunda importancia para pueblos como los </w:t>
      </w:r>
      <w:proofErr w:type="spellStart"/>
      <w:r w:rsidRPr="00D639D7">
        <w:rPr>
          <w:rFonts w:ascii="Arial" w:eastAsia="Times New Roman" w:hAnsi="Arial" w:cs="Arial"/>
          <w:b/>
          <w:bCs/>
          <w:color w:val="333333"/>
          <w:kern w:val="0"/>
          <w:sz w:val="26"/>
          <w:szCs w:val="26"/>
          <w:lang w:eastAsia="es-UY"/>
          <w14:ligatures w14:val="none"/>
        </w:rPr>
        <w:t>Munduruku</w:t>
      </w:r>
      <w:proofErr w:type="spellEnd"/>
      <w:r w:rsidRPr="00D639D7">
        <w:rPr>
          <w:rFonts w:ascii="Arial" w:eastAsia="Times New Roman" w:hAnsi="Arial" w:cs="Arial"/>
          <w:color w:val="333333"/>
          <w:kern w:val="0"/>
          <w:sz w:val="26"/>
          <w:szCs w:val="26"/>
          <w:lang w:eastAsia="es-UY"/>
          <w14:ligatures w14:val="none"/>
        </w:rPr>
        <w:t> . Sin embargo, estos elementos suelen aparecer como notas técnicas, y no como base para la decisión. El territorio se reduce a una variable.</w:t>
      </w:r>
    </w:p>
    <w:p w14:paraId="641A9A39" w14:textId="77777777" w:rsidR="00D639D7" w:rsidRPr="00D639D7" w:rsidRDefault="00D639D7" w:rsidP="00D639D7">
      <w:pPr>
        <w:spacing w:after="0" w:line="240" w:lineRule="auto"/>
        <w:jc w:val="both"/>
        <w:rPr>
          <w:rFonts w:ascii="Arial" w:eastAsia="Times New Roman" w:hAnsi="Arial" w:cs="Arial"/>
          <w:color w:val="333333"/>
          <w:kern w:val="0"/>
          <w:sz w:val="26"/>
          <w:szCs w:val="26"/>
          <w:lang w:eastAsia="es-UY"/>
          <w14:ligatures w14:val="none"/>
        </w:rPr>
      </w:pPr>
      <w:r w:rsidRPr="00D639D7">
        <w:rPr>
          <w:rFonts w:ascii="Arial" w:eastAsia="Times New Roman" w:hAnsi="Arial" w:cs="Arial"/>
          <w:color w:val="333333"/>
          <w:kern w:val="0"/>
          <w:sz w:val="26"/>
          <w:szCs w:val="26"/>
          <w:lang w:eastAsia="es-UY"/>
          <w14:ligatures w14:val="none"/>
        </w:rPr>
        <w:t>Es en este punto donde la cuestión de la consulta libre, previa e informada, tal como se establece en el </w:t>
      </w:r>
      <w:r w:rsidRPr="00D639D7">
        <w:rPr>
          <w:rFonts w:ascii="Arial" w:eastAsia="Times New Roman" w:hAnsi="Arial" w:cs="Arial"/>
          <w:b/>
          <w:bCs/>
          <w:color w:val="333333"/>
          <w:kern w:val="0"/>
          <w:sz w:val="26"/>
          <w:szCs w:val="26"/>
          <w:lang w:eastAsia="es-UY"/>
          <w14:ligatures w14:val="none"/>
        </w:rPr>
        <w:t>Convenio 169 de la Organización Internacional del Trabajo</w:t>
      </w:r>
      <w:r w:rsidRPr="00D639D7">
        <w:rPr>
          <w:rFonts w:ascii="Arial" w:eastAsia="Times New Roman" w:hAnsi="Arial" w:cs="Arial"/>
          <w:color w:val="333333"/>
          <w:kern w:val="0"/>
          <w:sz w:val="26"/>
          <w:szCs w:val="26"/>
          <w:lang w:eastAsia="es-UY"/>
          <w14:ligatures w14:val="none"/>
        </w:rPr>
        <w:t> , se vuelve fundamental.</w:t>
      </w:r>
    </w:p>
    <w:p w14:paraId="6B9B5D36" w14:textId="77777777" w:rsidR="00D639D7" w:rsidRPr="00D639D7" w:rsidRDefault="00D639D7" w:rsidP="00D639D7">
      <w:pPr>
        <w:spacing w:after="0" w:line="240" w:lineRule="auto"/>
        <w:jc w:val="both"/>
        <w:rPr>
          <w:rFonts w:ascii="Arial" w:eastAsia="Times New Roman" w:hAnsi="Arial" w:cs="Arial"/>
          <w:color w:val="333333"/>
          <w:kern w:val="0"/>
          <w:sz w:val="26"/>
          <w:szCs w:val="26"/>
          <w:lang w:eastAsia="es-UY"/>
          <w14:ligatures w14:val="none"/>
        </w:rPr>
      </w:pPr>
      <w:r w:rsidRPr="00D639D7">
        <w:rPr>
          <w:rFonts w:ascii="Arial" w:eastAsia="Times New Roman" w:hAnsi="Arial" w:cs="Arial"/>
          <w:color w:val="333333"/>
          <w:kern w:val="0"/>
          <w:sz w:val="26"/>
          <w:szCs w:val="26"/>
          <w:lang w:eastAsia="es-UY"/>
          <w14:ligatures w14:val="none"/>
        </w:rPr>
        <w:t>Esto no es un detalle de procedimiento. Es el criterio mínimo para la legitimidad democrática en contextos de intervención en territorios tradicionales. Y, sin embargo, este derecho sigue siendo sistemáticamente ignorado.</w:t>
      </w:r>
    </w:p>
    <w:p w14:paraId="4253DF05" w14:textId="77777777" w:rsidR="00D639D7" w:rsidRPr="00D639D7" w:rsidRDefault="00D639D7" w:rsidP="00D639D7">
      <w:pPr>
        <w:spacing w:after="0" w:line="240" w:lineRule="auto"/>
        <w:jc w:val="both"/>
        <w:rPr>
          <w:rFonts w:ascii="Arial" w:eastAsia="Times New Roman" w:hAnsi="Arial" w:cs="Arial"/>
          <w:color w:val="333333"/>
          <w:kern w:val="0"/>
          <w:sz w:val="26"/>
          <w:szCs w:val="26"/>
          <w:lang w:eastAsia="es-UY"/>
          <w14:ligatures w14:val="none"/>
        </w:rPr>
      </w:pPr>
      <w:r w:rsidRPr="00D639D7">
        <w:rPr>
          <w:rFonts w:ascii="Arial" w:eastAsia="Times New Roman" w:hAnsi="Arial" w:cs="Arial"/>
          <w:color w:val="333333"/>
          <w:kern w:val="0"/>
          <w:sz w:val="26"/>
          <w:szCs w:val="26"/>
          <w:lang w:eastAsia="es-UY"/>
          <w14:ligatures w14:val="none"/>
        </w:rPr>
        <w:t>El episodio ocurrido el 7 de abril en </w:t>
      </w:r>
      <w:r w:rsidRPr="00D639D7">
        <w:rPr>
          <w:rFonts w:ascii="Arial" w:eastAsia="Times New Roman" w:hAnsi="Arial" w:cs="Arial"/>
          <w:b/>
          <w:bCs/>
          <w:color w:val="333333"/>
          <w:kern w:val="0"/>
          <w:sz w:val="26"/>
          <w:szCs w:val="26"/>
          <w:lang w:eastAsia="es-UY"/>
          <w14:ligatures w14:val="none"/>
        </w:rPr>
        <w:t>Brasilia</w:t>
      </w:r>
      <w:r w:rsidRPr="00D639D7">
        <w:rPr>
          <w:rFonts w:ascii="Arial" w:eastAsia="Times New Roman" w:hAnsi="Arial" w:cs="Arial"/>
          <w:color w:val="333333"/>
          <w:kern w:val="0"/>
          <w:sz w:val="26"/>
          <w:szCs w:val="26"/>
          <w:lang w:eastAsia="es-UY"/>
          <w14:ligatures w14:val="none"/>
        </w:rPr>
        <w:t> es emblemático. Una audiencia en la </w:t>
      </w:r>
      <w:r w:rsidRPr="00D639D7">
        <w:rPr>
          <w:rFonts w:ascii="Arial" w:eastAsia="Times New Roman" w:hAnsi="Arial" w:cs="Arial"/>
          <w:b/>
          <w:bCs/>
          <w:color w:val="333333"/>
          <w:kern w:val="0"/>
          <w:sz w:val="26"/>
          <w:szCs w:val="26"/>
          <w:lang w:eastAsia="es-UY"/>
          <w14:ligatures w14:val="none"/>
        </w:rPr>
        <w:t>Cámara de Diputados</w:t>
      </w:r>
      <w:r w:rsidRPr="00D639D7">
        <w:rPr>
          <w:rFonts w:ascii="Arial" w:eastAsia="Times New Roman" w:hAnsi="Arial" w:cs="Arial"/>
          <w:color w:val="333333"/>
          <w:kern w:val="0"/>
          <w:sz w:val="26"/>
          <w:szCs w:val="26"/>
          <w:lang w:eastAsia="es-UY"/>
          <w14:ligatures w14:val="none"/>
        </w:rPr>
        <w:t> sobre </w:t>
      </w:r>
      <w:hyperlink r:id="rId11" w:tgtFrame="_blank" w:history="1">
        <w:r w:rsidRPr="00D639D7">
          <w:rPr>
            <w:rFonts w:ascii="Arial" w:eastAsia="Times New Roman" w:hAnsi="Arial" w:cs="Arial"/>
            <w:color w:val="FC6B01"/>
            <w:kern w:val="0"/>
            <w:sz w:val="26"/>
            <w:szCs w:val="26"/>
            <w:u w:val="single"/>
            <w:lang w:eastAsia="es-UY"/>
            <w14:ligatures w14:val="none"/>
          </w:rPr>
          <w:t>los cauces fluviales de los ríos Madeira, Tapajós y Tocantins</w:t>
        </w:r>
      </w:hyperlink>
      <w:r w:rsidRPr="00D639D7">
        <w:rPr>
          <w:rFonts w:ascii="Arial" w:eastAsia="Times New Roman" w:hAnsi="Arial" w:cs="Arial"/>
          <w:color w:val="333333"/>
          <w:kern w:val="0"/>
          <w:sz w:val="26"/>
          <w:szCs w:val="26"/>
          <w:lang w:eastAsia="es-UY"/>
          <w14:ligatures w14:val="none"/>
        </w:rPr>
        <w:t> fue cancelada tras una movilización de </w:t>
      </w:r>
      <w:r w:rsidRPr="00D639D7">
        <w:rPr>
          <w:rFonts w:ascii="Arial" w:eastAsia="Times New Roman" w:hAnsi="Arial" w:cs="Arial"/>
          <w:b/>
          <w:bCs/>
          <w:color w:val="333333"/>
          <w:kern w:val="0"/>
          <w:sz w:val="26"/>
          <w:szCs w:val="26"/>
          <w:lang w:eastAsia="es-UY"/>
          <w14:ligatures w14:val="none"/>
        </w:rPr>
        <w:t>14 pueblos de la región del Bajo Tapajós</w:t>
      </w:r>
      <w:r w:rsidRPr="00D639D7">
        <w:rPr>
          <w:rFonts w:ascii="Arial" w:eastAsia="Times New Roman" w:hAnsi="Arial" w:cs="Arial"/>
          <w:color w:val="333333"/>
          <w:kern w:val="0"/>
          <w:sz w:val="26"/>
          <w:szCs w:val="26"/>
          <w:lang w:eastAsia="es-UY"/>
          <w14:ligatures w14:val="none"/>
        </w:rPr>
        <w:t> , representados por </w:t>
      </w:r>
      <w:r w:rsidRPr="00D639D7">
        <w:rPr>
          <w:rFonts w:ascii="Arial" w:eastAsia="Times New Roman" w:hAnsi="Arial" w:cs="Arial"/>
          <w:b/>
          <w:bCs/>
          <w:color w:val="333333"/>
          <w:kern w:val="0"/>
          <w:sz w:val="26"/>
          <w:szCs w:val="26"/>
          <w:lang w:eastAsia="es-UY"/>
          <w14:ligatures w14:val="none"/>
        </w:rPr>
        <w:t>Lukas Tupinambá</w:t>
      </w:r>
      <w:r w:rsidRPr="00D639D7">
        <w:rPr>
          <w:rFonts w:ascii="Arial" w:eastAsia="Times New Roman" w:hAnsi="Arial" w:cs="Arial"/>
          <w:color w:val="333333"/>
          <w:kern w:val="0"/>
          <w:sz w:val="26"/>
          <w:szCs w:val="26"/>
          <w:lang w:eastAsia="es-UY"/>
          <w14:ligatures w14:val="none"/>
        </w:rPr>
        <w:t> , quien denunció, en una manifestación pública en la Cámara de Diputados, la ausencia de los pueblos directamente afectados, incluso con miles de indígenas reunidos en la ciudad para el Campamento Tierra Libre 2026.</w:t>
      </w:r>
    </w:p>
    <w:p w14:paraId="269FAD24" w14:textId="77777777" w:rsidR="00D639D7" w:rsidRPr="00D639D7" w:rsidRDefault="00D639D7" w:rsidP="00D639D7">
      <w:pPr>
        <w:spacing w:after="0" w:line="240" w:lineRule="auto"/>
        <w:jc w:val="both"/>
        <w:rPr>
          <w:rFonts w:ascii="Arial" w:eastAsia="Times New Roman" w:hAnsi="Arial" w:cs="Arial"/>
          <w:color w:val="333333"/>
          <w:kern w:val="0"/>
          <w:sz w:val="26"/>
          <w:szCs w:val="26"/>
          <w:lang w:eastAsia="es-UY"/>
          <w14:ligatures w14:val="none"/>
        </w:rPr>
      </w:pPr>
      <w:r w:rsidRPr="00D639D7">
        <w:rPr>
          <w:rFonts w:ascii="Arial" w:eastAsia="Times New Roman" w:hAnsi="Arial" w:cs="Arial"/>
          <w:color w:val="333333"/>
          <w:kern w:val="0"/>
          <w:sz w:val="26"/>
          <w:szCs w:val="26"/>
          <w:lang w:eastAsia="es-UY"/>
          <w14:ligatures w14:val="none"/>
        </w:rPr>
        <w:t>No se trataba de una falta de presencia física. Se trataba de una ausencia de inclusión política.</w:t>
      </w:r>
    </w:p>
    <w:p w14:paraId="56C20E40" w14:textId="77777777" w:rsidR="00D639D7" w:rsidRPr="00D639D7" w:rsidRDefault="00D639D7" w:rsidP="00D639D7">
      <w:pPr>
        <w:spacing w:after="0" w:line="240" w:lineRule="auto"/>
        <w:jc w:val="both"/>
        <w:rPr>
          <w:rFonts w:ascii="Arial" w:eastAsia="Times New Roman" w:hAnsi="Arial" w:cs="Arial"/>
          <w:color w:val="333333"/>
          <w:kern w:val="0"/>
          <w:sz w:val="26"/>
          <w:szCs w:val="26"/>
          <w:lang w:eastAsia="es-UY"/>
          <w14:ligatures w14:val="none"/>
        </w:rPr>
      </w:pPr>
      <w:r w:rsidRPr="00D639D7">
        <w:rPr>
          <w:rFonts w:ascii="Arial" w:eastAsia="Times New Roman" w:hAnsi="Arial" w:cs="Arial"/>
          <w:color w:val="333333"/>
          <w:kern w:val="0"/>
          <w:sz w:val="26"/>
          <w:szCs w:val="26"/>
          <w:lang w:eastAsia="es-UY"/>
          <w14:ligatures w14:val="none"/>
        </w:rPr>
        <w:t>Lo que diferencia el momento actual de otros ciclos de conflicto en la </w:t>
      </w:r>
      <w:r w:rsidRPr="00D639D7">
        <w:rPr>
          <w:rFonts w:ascii="Arial" w:eastAsia="Times New Roman" w:hAnsi="Arial" w:cs="Arial"/>
          <w:b/>
          <w:bCs/>
          <w:color w:val="333333"/>
          <w:kern w:val="0"/>
          <w:sz w:val="26"/>
          <w:szCs w:val="26"/>
          <w:lang w:eastAsia="es-UY"/>
          <w14:ligatures w14:val="none"/>
        </w:rPr>
        <w:t>Amazonía</w:t>
      </w:r>
      <w:r w:rsidRPr="00D639D7">
        <w:rPr>
          <w:rFonts w:ascii="Arial" w:eastAsia="Times New Roman" w:hAnsi="Arial" w:cs="Arial"/>
          <w:color w:val="333333"/>
          <w:kern w:val="0"/>
          <w:sz w:val="26"/>
          <w:szCs w:val="26"/>
          <w:lang w:eastAsia="es-UY"/>
          <w14:ligatures w14:val="none"/>
        </w:rPr>
        <w:t> es la transformación del movimiento indígena en un actor político con capacidad efectiva para influir en la situación. Los pueblos del </w:t>
      </w:r>
      <w:r w:rsidRPr="00D639D7">
        <w:rPr>
          <w:rFonts w:ascii="Arial" w:eastAsia="Times New Roman" w:hAnsi="Arial" w:cs="Arial"/>
          <w:b/>
          <w:bCs/>
          <w:color w:val="333333"/>
          <w:kern w:val="0"/>
          <w:sz w:val="26"/>
          <w:szCs w:val="26"/>
          <w:lang w:eastAsia="es-UY"/>
          <w14:ligatures w14:val="none"/>
        </w:rPr>
        <w:t>Bajo Tapajós</w:t>
      </w:r>
      <w:r w:rsidRPr="00D639D7">
        <w:rPr>
          <w:rFonts w:ascii="Arial" w:eastAsia="Times New Roman" w:hAnsi="Arial" w:cs="Arial"/>
          <w:color w:val="333333"/>
          <w:kern w:val="0"/>
          <w:sz w:val="26"/>
          <w:szCs w:val="26"/>
          <w:lang w:eastAsia="es-UY"/>
          <w14:ligatures w14:val="none"/>
        </w:rPr>
        <w:t> han demostrado consistentemente que no solo resisten, sino que también generan resultados.</w:t>
      </w:r>
    </w:p>
    <w:p w14:paraId="6DA994B9" w14:textId="77777777" w:rsidR="00D639D7" w:rsidRPr="00D639D7" w:rsidRDefault="00D639D7" w:rsidP="00D639D7">
      <w:pPr>
        <w:spacing w:after="0" w:line="240" w:lineRule="auto"/>
        <w:jc w:val="both"/>
        <w:rPr>
          <w:rFonts w:ascii="Arial" w:eastAsia="Times New Roman" w:hAnsi="Arial" w:cs="Arial"/>
          <w:color w:val="333333"/>
          <w:kern w:val="0"/>
          <w:sz w:val="26"/>
          <w:szCs w:val="26"/>
          <w:lang w:eastAsia="es-UY"/>
          <w14:ligatures w14:val="none"/>
        </w:rPr>
      </w:pPr>
      <w:r w:rsidRPr="00D639D7">
        <w:rPr>
          <w:rFonts w:ascii="Arial" w:eastAsia="Times New Roman" w:hAnsi="Arial" w:cs="Arial"/>
          <w:color w:val="333333"/>
          <w:kern w:val="0"/>
          <w:sz w:val="26"/>
          <w:szCs w:val="26"/>
          <w:lang w:eastAsia="es-UY"/>
          <w14:ligatures w14:val="none"/>
        </w:rPr>
        <w:t>En los últimos años, han ocupado instituciones públicas, presionado a los gobiernos, confrontado a grandes corporaciones y mantenido movilizaciones prolongadas hasta lograr la revocación de decisiones. La reciente derogación del </w:t>
      </w:r>
      <w:hyperlink r:id="rId12" w:tgtFrame="_blank" w:history="1">
        <w:r w:rsidRPr="00D639D7">
          <w:rPr>
            <w:rFonts w:ascii="Arial" w:eastAsia="Times New Roman" w:hAnsi="Arial" w:cs="Arial"/>
            <w:color w:val="FC6B01"/>
            <w:kern w:val="0"/>
            <w:sz w:val="26"/>
            <w:szCs w:val="26"/>
            <w:u w:val="single"/>
            <w:lang w:eastAsia="es-UY"/>
            <w14:ligatures w14:val="none"/>
          </w:rPr>
          <w:t xml:space="preserve">Decreto </w:t>
        </w:r>
        <w:proofErr w:type="spellStart"/>
        <w:r w:rsidRPr="00D639D7">
          <w:rPr>
            <w:rFonts w:ascii="Arial" w:eastAsia="Times New Roman" w:hAnsi="Arial" w:cs="Arial"/>
            <w:color w:val="FC6B01"/>
            <w:kern w:val="0"/>
            <w:sz w:val="26"/>
            <w:szCs w:val="26"/>
            <w:u w:val="single"/>
            <w:lang w:eastAsia="es-UY"/>
            <w14:ligatures w14:val="none"/>
          </w:rPr>
          <w:t>n.°</w:t>
        </w:r>
        <w:proofErr w:type="spellEnd"/>
        <w:r w:rsidRPr="00D639D7">
          <w:rPr>
            <w:rFonts w:ascii="Arial" w:eastAsia="Times New Roman" w:hAnsi="Arial" w:cs="Arial"/>
            <w:color w:val="FC6B01"/>
            <w:kern w:val="0"/>
            <w:sz w:val="26"/>
            <w:szCs w:val="26"/>
            <w:u w:val="single"/>
            <w:lang w:eastAsia="es-UY"/>
            <w14:ligatures w14:val="none"/>
          </w:rPr>
          <w:t xml:space="preserve"> 12.600/2025</w:t>
        </w:r>
      </w:hyperlink>
      <w:r w:rsidRPr="00D639D7">
        <w:rPr>
          <w:rFonts w:ascii="Arial" w:eastAsia="Times New Roman" w:hAnsi="Arial" w:cs="Arial"/>
          <w:color w:val="333333"/>
          <w:kern w:val="0"/>
          <w:sz w:val="26"/>
          <w:szCs w:val="26"/>
          <w:lang w:eastAsia="es-UY"/>
          <w14:ligatures w14:val="none"/>
        </w:rPr>
        <w:t> —que </w:t>
      </w:r>
      <w:hyperlink r:id="rId13" w:tgtFrame="_blank" w:history="1">
        <w:r w:rsidRPr="00D639D7">
          <w:rPr>
            <w:rFonts w:ascii="Arial" w:eastAsia="Times New Roman" w:hAnsi="Arial" w:cs="Arial"/>
            <w:color w:val="FC6B01"/>
            <w:kern w:val="0"/>
            <w:sz w:val="26"/>
            <w:szCs w:val="26"/>
            <w:u w:val="single"/>
            <w:lang w:eastAsia="es-UY"/>
            <w14:ligatures w14:val="none"/>
          </w:rPr>
          <w:t>privatizaba las vías navegables de los ríos Madeira, Tapajós y Tocantins—</w:t>
        </w:r>
      </w:hyperlink>
      <w:r w:rsidRPr="00D639D7">
        <w:rPr>
          <w:rFonts w:ascii="Arial" w:eastAsia="Times New Roman" w:hAnsi="Arial" w:cs="Arial"/>
          <w:color w:val="333333"/>
          <w:kern w:val="0"/>
          <w:sz w:val="26"/>
          <w:szCs w:val="26"/>
          <w:lang w:eastAsia="es-UY"/>
          <w14:ligatures w14:val="none"/>
        </w:rPr>
        <w:t> no fue un gesto espontáneo del Estado, sino el resultado directo de una estrategia política basada en la ocupación, la permanencia y la articulación. El desplazamiento de estos líderes ante el </w:t>
      </w:r>
      <w:r w:rsidRPr="00D639D7">
        <w:rPr>
          <w:rFonts w:ascii="Arial" w:eastAsia="Times New Roman" w:hAnsi="Arial" w:cs="Arial"/>
          <w:b/>
          <w:bCs/>
          <w:color w:val="333333"/>
          <w:kern w:val="0"/>
          <w:sz w:val="26"/>
          <w:szCs w:val="26"/>
          <w:lang w:eastAsia="es-UY"/>
          <w14:ligatures w14:val="none"/>
        </w:rPr>
        <w:t>Tribunal Supremo Federal</w:t>
      </w:r>
      <w:r w:rsidRPr="00D639D7">
        <w:rPr>
          <w:rFonts w:ascii="Arial" w:eastAsia="Times New Roman" w:hAnsi="Arial" w:cs="Arial"/>
          <w:color w:val="333333"/>
          <w:kern w:val="0"/>
          <w:sz w:val="26"/>
          <w:szCs w:val="26"/>
          <w:lang w:eastAsia="es-UY"/>
          <w14:ligatures w14:val="none"/>
        </w:rPr>
        <w:t> evidencia la continuación de este proceso.</w:t>
      </w:r>
    </w:p>
    <w:p w14:paraId="1DBB777E" w14:textId="77777777" w:rsidR="00D639D7" w:rsidRPr="00D639D7" w:rsidRDefault="00D639D7" w:rsidP="00D639D7">
      <w:pPr>
        <w:spacing w:after="0" w:line="240" w:lineRule="auto"/>
        <w:jc w:val="both"/>
        <w:rPr>
          <w:rFonts w:ascii="Arial" w:eastAsia="Times New Roman" w:hAnsi="Arial" w:cs="Arial"/>
          <w:color w:val="333333"/>
          <w:kern w:val="0"/>
          <w:sz w:val="26"/>
          <w:szCs w:val="26"/>
          <w:lang w:eastAsia="es-UY"/>
          <w14:ligatures w14:val="none"/>
        </w:rPr>
      </w:pPr>
      <w:r w:rsidRPr="00D639D7">
        <w:rPr>
          <w:rFonts w:ascii="Arial" w:eastAsia="Times New Roman" w:hAnsi="Arial" w:cs="Arial"/>
          <w:color w:val="333333"/>
          <w:kern w:val="0"/>
          <w:sz w:val="26"/>
          <w:szCs w:val="26"/>
          <w:lang w:eastAsia="es-UY"/>
          <w14:ligatures w14:val="none"/>
        </w:rPr>
        <w:lastRenderedPageBreak/>
        <w:t>Esto no es una protesta. Es una disputa. Sin embargo, existe una clara discrepancia en la forma en que opera el Estado. Cuando se trata de garantizar la fluidez económica, las decisiones se toman con rapidez. Los proyectos avanzan, las regulaciones se flexibilizan, las licencias se ajustan.</w:t>
      </w:r>
    </w:p>
    <w:p w14:paraId="3BE3E109" w14:textId="77777777" w:rsidR="00D639D7" w:rsidRPr="00D639D7" w:rsidRDefault="00D639D7" w:rsidP="00D639D7">
      <w:pPr>
        <w:spacing w:after="0" w:line="240" w:lineRule="auto"/>
        <w:jc w:val="both"/>
        <w:rPr>
          <w:rFonts w:ascii="Arial" w:eastAsia="Times New Roman" w:hAnsi="Arial" w:cs="Arial"/>
          <w:color w:val="333333"/>
          <w:kern w:val="0"/>
          <w:sz w:val="26"/>
          <w:szCs w:val="26"/>
          <w:lang w:eastAsia="es-UY"/>
          <w14:ligatures w14:val="none"/>
        </w:rPr>
      </w:pPr>
      <w:r w:rsidRPr="00D639D7">
        <w:rPr>
          <w:rFonts w:ascii="Arial" w:eastAsia="Times New Roman" w:hAnsi="Arial" w:cs="Arial"/>
          <w:color w:val="333333"/>
          <w:kern w:val="0"/>
          <w:sz w:val="26"/>
          <w:szCs w:val="26"/>
          <w:lang w:eastAsia="es-UY"/>
          <w14:ligatures w14:val="none"/>
        </w:rPr>
        <w:t>En lo que respecta a la protección de los derechos territoriales, el proceso se prolonga innecesariamente. No se realizan consultas, la participación es limitada y se ignoran los protocolos.</w:t>
      </w:r>
    </w:p>
    <w:p w14:paraId="303CDBF4" w14:textId="77777777" w:rsidR="00D639D7" w:rsidRPr="00D639D7" w:rsidRDefault="00D639D7" w:rsidP="00D639D7">
      <w:pPr>
        <w:spacing w:after="0" w:line="240" w:lineRule="auto"/>
        <w:jc w:val="both"/>
        <w:rPr>
          <w:rFonts w:ascii="Arial" w:eastAsia="Times New Roman" w:hAnsi="Arial" w:cs="Arial"/>
          <w:color w:val="333333"/>
          <w:kern w:val="0"/>
          <w:sz w:val="26"/>
          <w:szCs w:val="26"/>
          <w:lang w:eastAsia="es-UY"/>
          <w14:ligatures w14:val="none"/>
        </w:rPr>
      </w:pPr>
      <w:r w:rsidRPr="00D639D7">
        <w:rPr>
          <w:rFonts w:ascii="Arial" w:eastAsia="Times New Roman" w:hAnsi="Arial" w:cs="Arial"/>
          <w:color w:val="333333"/>
          <w:kern w:val="0"/>
          <w:sz w:val="26"/>
          <w:szCs w:val="26"/>
          <w:lang w:eastAsia="es-UY"/>
          <w14:ligatures w14:val="none"/>
        </w:rPr>
        <w:t>Esta asimetría revela una jerarquía implícita: la economía estructura el tiempo del Estado, y los derechos intentan alcanzarlo.</w:t>
      </w:r>
    </w:p>
    <w:p w14:paraId="29CEF6A2" w14:textId="77777777" w:rsidR="00D639D7" w:rsidRPr="00D639D7" w:rsidRDefault="00D639D7" w:rsidP="00D639D7">
      <w:pPr>
        <w:spacing w:after="0" w:line="240" w:lineRule="auto"/>
        <w:jc w:val="both"/>
        <w:rPr>
          <w:rFonts w:ascii="Arial" w:eastAsia="Times New Roman" w:hAnsi="Arial" w:cs="Arial"/>
          <w:color w:val="333333"/>
          <w:kern w:val="0"/>
          <w:sz w:val="26"/>
          <w:szCs w:val="26"/>
          <w:lang w:eastAsia="es-UY"/>
          <w14:ligatures w14:val="none"/>
        </w:rPr>
      </w:pPr>
      <w:r w:rsidRPr="00D639D7">
        <w:rPr>
          <w:rFonts w:ascii="Arial" w:eastAsia="Times New Roman" w:hAnsi="Arial" w:cs="Arial"/>
          <w:color w:val="333333"/>
          <w:kern w:val="0"/>
          <w:sz w:val="26"/>
          <w:szCs w:val="26"/>
          <w:lang w:eastAsia="es-UY"/>
          <w14:ligatures w14:val="none"/>
        </w:rPr>
        <w:t>Mientras el caso se tramita en el </w:t>
      </w:r>
      <w:r w:rsidRPr="00D639D7">
        <w:rPr>
          <w:rFonts w:ascii="Arial" w:eastAsia="Times New Roman" w:hAnsi="Arial" w:cs="Arial"/>
          <w:b/>
          <w:bCs/>
          <w:color w:val="333333"/>
          <w:kern w:val="0"/>
          <w:sz w:val="26"/>
          <w:szCs w:val="26"/>
          <w:lang w:eastAsia="es-UY"/>
          <w14:ligatures w14:val="none"/>
        </w:rPr>
        <w:t>Tribunal Supremo Federal (TSF)</w:t>
      </w:r>
      <w:r w:rsidRPr="00D639D7">
        <w:rPr>
          <w:rFonts w:ascii="Arial" w:eastAsia="Times New Roman" w:hAnsi="Arial" w:cs="Arial"/>
          <w:color w:val="333333"/>
          <w:kern w:val="0"/>
          <w:sz w:val="26"/>
          <w:szCs w:val="26"/>
          <w:lang w:eastAsia="es-UY"/>
          <w14:ligatures w14:val="none"/>
        </w:rPr>
        <w:t> , 7.000 indígenas permanecen en el </w:t>
      </w:r>
      <w:hyperlink r:id="rId14" w:tgtFrame="_blank" w:history="1">
        <w:r w:rsidRPr="00D639D7">
          <w:rPr>
            <w:rFonts w:ascii="Arial" w:eastAsia="Times New Roman" w:hAnsi="Arial" w:cs="Arial"/>
            <w:color w:val="FC6B01"/>
            <w:kern w:val="0"/>
            <w:sz w:val="26"/>
            <w:szCs w:val="26"/>
            <w:u w:val="single"/>
            <w:lang w:eastAsia="es-UY"/>
            <w14:ligatures w14:val="none"/>
          </w:rPr>
          <w:t>ATL 2026 en Brasilia</w:t>
        </w:r>
      </w:hyperlink>
      <w:r w:rsidRPr="00D639D7">
        <w:rPr>
          <w:rFonts w:ascii="Arial" w:eastAsia="Times New Roman" w:hAnsi="Arial" w:cs="Arial"/>
          <w:color w:val="333333"/>
          <w:kern w:val="0"/>
          <w:sz w:val="26"/>
          <w:szCs w:val="26"/>
          <w:lang w:eastAsia="es-UY"/>
          <w14:ligatures w14:val="none"/>
        </w:rPr>
        <w:t> , demostrando que no son variables que deban ajustarse en un proyecto de desarrollo que nunca ayudaron a definir.</w:t>
      </w:r>
    </w:p>
    <w:p w14:paraId="03D87A46" w14:textId="77777777" w:rsidR="00D639D7" w:rsidRPr="00D639D7" w:rsidRDefault="00D639D7" w:rsidP="00D639D7">
      <w:pPr>
        <w:spacing w:after="0" w:line="240" w:lineRule="auto"/>
        <w:jc w:val="both"/>
        <w:rPr>
          <w:rFonts w:ascii="Arial" w:eastAsia="Times New Roman" w:hAnsi="Arial" w:cs="Arial"/>
          <w:color w:val="333333"/>
          <w:kern w:val="0"/>
          <w:sz w:val="26"/>
          <w:szCs w:val="26"/>
          <w:lang w:eastAsia="es-UY"/>
          <w14:ligatures w14:val="none"/>
        </w:rPr>
      </w:pPr>
      <w:r w:rsidRPr="00D639D7">
        <w:rPr>
          <w:rFonts w:ascii="Arial" w:eastAsia="Times New Roman" w:hAnsi="Arial" w:cs="Arial"/>
          <w:color w:val="333333"/>
          <w:kern w:val="0"/>
          <w:sz w:val="26"/>
          <w:szCs w:val="26"/>
          <w:lang w:eastAsia="es-UY"/>
          <w14:ligatures w14:val="none"/>
        </w:rPr>
        <w:t>El </w:t>
      </w:r>
      <w:r w:rsidRPr="00D639D7">
        <w:rPr>
          <w:rFonts w:ascii="Arial" w:eastAsia="Times New Roman" w:hAnsi="Arial" w:cs="Arial"/>
          <w:b/>
          <w:bCs/>
          <w:color w:val="333333"/>
          <w:kern w:val="0"/>
          <w:sz w:val="26"/>
          <w:szCs w:val="26"/>
          <w:lang w:eastAsia="es-UY"/>
          <w14:ligatures w14:val="none"/>
        </w:rPr>
        <w:t xml:space="preserve">ferrocarril de </w:t>
      </w:r>
      <w:proofErr w:type="spellStart"/>
      <w:r w:rsidRPr="00D639D7">
        <w:rPr>
          <w:rFonts w:ascii="Arial" w:eastAsia="Times New Roman" w:hAnsi="Arial" w:cs="Arial"/>
          <w:b/>
          <w:bCs/>
          <w:color w:val="333333"/>
          <w:kern w:val="0"/>
          <w:sz w:val="26"/>
          <w:szCs w:val="26"/>
          <w:lang w:eastAsia="es-UY"/>
          <w14:ligatures w14:val="none"/>
        </w:rPr>
        <w:t>Ferrogrão</w:t>
      </w:r>
      <w:proofErr w:type="spellEnd"/>
      <w:r w:rsidRPr="00D639D7">
        <w:rPr>
          <w:rFonts w:ascii="Arial" w:eastAsia="Times New Roman" w:hAnsi="Arial" w:cs="Arial"/>
          <w:color w:val="333333"/>
          <w:kern w:val="0"/>
          <w:sz w:val="26"/>
          <w:szCs w:val="26"/>
          <w:lang w:eastAsia="es-UY"/>
          <w14:ligatures w14:val="none"/>
        </w:rPr>
        <w:t> no es inevitable. Transformar ríos en vías navegables no es la única solución. El </w:t>
      </w:r>
      <w:r w:rsidRPr="00D639D7">
        <w:rPr>
          <w:rFonts w:ascii="Arial" w:eastAsia="Times New Roman" w:hAnsi="Arial" w:cs="Arial"/>
          <w:b/>
          <w:bCs/>
          <w:color w:val="333333"/>
          <w:kern w:val="0"/>
          <w:sz w:val="26"/>
          <w:szCs w:val="26"/>
          <w:lang w:eastAsia="es-UY"/>
          <w14:ligatures w14:val="none"/>
        </w:rPr>
        <w:t>Arco Norte</w:t>
      </w:r>
      <w:r w:rsidRPr="00D639D7">
        <w:rPr>
          <w:rFonts w:ascii="Arial" w:eastAsia="Times New Roman" w:hAnsi="Arial" w:cs="Arial"/>
          <w:color w:val="333333"/>
          <w:kern w:val="0"/>
          <w:sz w:val="26"/>
          <w:szCs w:val="26"/>
          <w:lang w:eastAsia="es-UY"/>
          <w14:ligatures w14:val="none"/>
        </w:rPr>
        <w:t> es una elección. Una elección sobre el territorio, sobre quién puede habitarlo y, sobre todo, sobre quién puede decidir su futuro. Lo que está en juego, por lo tanto, no es solo la legalidad de una unidad de conservación, sino la legitimidad de un modelo de poder. Ante esto, la pregunta que resuena desde el río Tapajós hasta Brasilia sigue siendo ineludible: ¿quién tiene derecho a decidir el destino de la </w:t>
      </w:r>
      <w:r w:rsidRPr="00D639D7">
        <w:rPr>
          <w:rFonts w:ascii="Arial" w:eastAsia="Times New Roman" w:hAnsi="Arial" w:cs="Arial"/>
          <w:b/>
          <w:bCs/>
          <w:color w:val="333333"/>
          <w:kern w:val="0"/>
          <w:sz w:val="26"/>
          <w:szCs w:val="26"/>
          <w:lang w:eastAsia="es-UY"/>
          <w14:ligatures w14:val="none"/>
        </w:rPr>
        <w:t>Amazonía</w:t>
      </w:r>
      <w:r w:rsidRPr="00D639D7">
        <w:rPr>
          <w:rFonts w:ascii="Arial" w:eastAsia="Times New Roman" w:hAnsi="Arial" w:cs="Arial"/>
          <w:color w:val="333333"/>
          <w:kern w:val="0"/>
          <w:sz w:val="26"/>
          <w:szCs w:val="26"/>
          <w:lang w:eastAsia="es-UY"/>
          <w14:ligatures w14:val="none"/>
        </w:rPr>
        <w:t> ?</w:t>
      </w:r>
    </w:p>
    <w:p w14:paraId="5AD5981E" w14:textId="77777777" w:rsidR="00926044" w:rsidRDefault="00926044"/>
    <w:p w14:paraId="40F6DAAE" w14:textId="2891252C" w:rsidR="00364877" w:rsidRDefault="00364877">
      <w:hyperlink r:id="rId15" w:history="1">
        <w:r w:rsidRPr="00685211">
          <w:rPr>
            <w:rStyle w:val="Hipervnculo"/>
          </w:rPr>
          <w:t>https://www.ihu.unisinos.br/664637-amazonia-por-que-os-indigenas-voltam-a-luta-artigo-de-fabio-caetano</w:t>
        </w:r>
      </w:hyperlink>
    </w:p>
    <w:p w14:paraId="45832D2C" w14:textId="77777777" w:rsidR="00364877" w:rsidRDefault="00364877"/>
    <w:sectPr w:rsidR="0036487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9D7"/>
    <w:rsid w:val="00364877"/>
    <w:rsid w:val="00926044"/>
    <w:rsid w:val="00CE0E23"/>
    <w:rsid w:val="00D639D7"/>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77B75"/>
  <w15:chartTrackingRefBased/>
  <w15:docId w15:val="{7ACBA458-F9C8-4B43-96B6-46BB09BD0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639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639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639D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639D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639D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639D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639D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639D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639D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639D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639D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639D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639D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639D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639D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639D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639D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639D7"/>
    <w:rPr>
      <w:rFonts w:eastAsiaTheme="majorEastAsia" w:cstheme="majorBidi"/>
      <w:color w:val="272727" w:themeColor="text1" w:themeTint="D8"/>
    </w:rPr>
  </w:style>
  <w:style w:type="paragraph" w:styleId="Ttulo">
    <w:name w:val="Title"/>
    <w:basedOn w:val="Normal"/>
    <w:next w:val="Normal"/>
    <w:link w:val="TtuloCar"/>
    <w:uiPriority w:val="10"/>
    <w:qFormat/>
    <w:rsid w:val="00D639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639D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639D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639D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639D7"/>
    <w:pPr>
      <w:spacing w:before="160"/>
      <w:jc w:val="center"/>
    </w:pPr>
    <w:rPr>
      <w:i/>
      <w:iCs/>
      <w:color w:val="404040" w:themeColor="text1" w:themeTint="BF"/>
    </w:rPr>
  </w:style>
  <w:style w:type="character" w:customStyle="1" w:styleId="CitaCar">
    <w:name w:val="Cita Car"/>
    <w:basedOn w:val="Fuentedeprrafopredeter"/>
    <w:link w:val="Cita"/>
    <w:uiPriority w:val="29"/>
    <w:rsid w:val="00D639D7"/>
    <w:rPr>
      <w:i/>
      <w:iCs/>
      <w:color w:val="404040" w:themeColor="text1" w:themeTint="BF"/>
    </w:rPr>
  </w:style>
  <w:style w:type="paragraph" w:styleId="Prrafodelista">
    <w:name w:val="List Paragraph"/>
    <w:basedOn w:val="Normal"/>
    <w:uiPriority w:val="34"/>
    <w:qFormat/>
    <w:rsid w:val="00D639D7"/>
    <w:pPr>
      <w:ind w:left="720"/>
      <w:contextualSpacing/>
    </w:pPr>
  </w:style>
  <w:style w:type="character" w:styleId="nfasisintenso">
    <w:name w:val="Intense Emphasis"/>
    <w:basedOn w:val="Fuentedeprrafopredeter"/>
    <w:uiPriority w:val="21"/>
    <w:qFormat/>
    <w:rsid w:val="00D639D7"/>
    <w:rPr>
      <w:i/>
      <w:iCs/>
      <w:color w:val="0F4761" w:themeColor="accent1" w:themeShade="BF"/>
    </w:rPr>
  </w:style>
  <w:style w:type="paragraph" w:styleId="Citadestacada">
    <w:name w:val="Intense Quote"/>
    <w:basedOn w:val="Normal"/>
    <w:next w:val="Normal"/>
    <w:link w:val="CitadestacadaCar"/>
    <w:uiPriority w:val="30"/>
    <w:qFormat/>
    <w:rsid w:val="00D639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639D7"/>
    <w:rPr>
      <w:i/>
      <w:iCs/>
      <w:color w:val="0F4761" w:themeColor="accent1" w:themeShade="BF"/>
    </w:rPr>
  </w:style>
  <w:style w:type="character" w:styleId="Referenciaintensa">
    <w:name w:val="Intense Reference"/>
    <w:basedOn w:val="Fuentedeprrafopredeter"/>
    <w:uiPriority w:val="32"/>
    <w:qFormat/>
    <w:rsid w:val="00D639D7"/>
    <w:rPr>
      <w:b/>
      <w:bCs/>
      <w:smallCaps/>
      <w:color w:val="0F4761" w:themeColor="accent1" w:themeShade="BF"/>
      <w:spacing w:val="5"/>
    </w:rPr>
  </w:style>
  <w:style w:type="character" w:styleId="Hipervnculo">
    <w:name w:val="Hyperlink"/>
    <w:basedOn w:val="Fuentedeprrafopredeter"/>
    <w:uiPriority w:val="99"/>
    <w:unhideWhenUsed/>
    <w:rsid w:val="00364877"/>
    <w:rPr>
      <w:color w:val="467886" w:themeColor="hyperlink"/>
      <w:u w:val="single"/>
    </w:rPr>
  </w:style>
  <w:style w:type="character" w:styleId="Mencinsinresolver">
    <w:name w:val="Unresolved Mention"/>
    <w:basedOn w:val="Fuentedeprrafopredeter"/>
    <w:uiPriority w:val="99"/>
    <w:semiHidden/>
    <w:unhideWhenUsed/>
    <w:rsid w:val="003648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categorias/649000-ferrograo-estudo-questiona-viabilidade-e-aponta-riscos-socioambientais" TargetMode="External"/><Relationship Id="rId13" Type="http://schemas.openxmlformats.org/officeDocument/2006/relationships/hyperlink" Target="https://ihu.unisinos.br/categorias/662756-uma-vitoria-indigena-apos-tantas-perdas-artigo-de-alexandre-gaspari" TargetMode="External"/><Relationship Id="rId3" Type="http://schemas.openxmlformats.org/officeDocument/2006/relationships/webSettings" Target="webSettings.xml"/><Relationship Id="rId7" Type="http://schemas.openxmlformats.org/officeDocument/2006/relationships/hyperlink" Target="https://www.ihu.unisinos.br/664527-psol-e-organizacoes-indigenas-e-da-sociedade-civil-apresentam-no-stf-analises-contra-a-ferrograo" TargetMode="External"/><Relationship Id="rId12" Type="http://schemas.openxmlformats.org/officeDocument/2006/relationships/hyperlink" Target="https://www.ihu.unisinos.br/categorias/662695-indigenas-iniciam-desocupacao-da-cargill-apos-derrubada-do-decreto-n-12-600"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ihu.unisinos.br/categorias/637408-povos-indigenas-sentenciam-o-fim-da-ferrograo" TargetMode="External"/><Relationship Id="rId11" Type="http://schemas.openxmlformats.org/officeDocument/2006/relationships/hyperlink" Target="https://www.ihu.unisinos.br/categorias/662622-governo-federal-revoga-decreto-que-privatizava-rios-da-amazonia-apos-um-mes-de-ocupacao-indigena-no-tapajos" TargetMode="External"/><Relationship Id="rId5" Type="http://schemas.openxmlformats.org/officeDocument/2006/relationships/hyperlink" Target="https://ihu.unisinos.br/662719-rios-amazonicos-a-dimensao-real-da-vitoria-artigo-de-fabio-caetano" TargetMode="External"/><Relationship Id="rId15" Type="http://schemas.openxmlformats.org/officeDocument/2006/relationships/hyperlink" Target="https://www.ihu.unisinos.br/664637-amazonia-por-que-os-indigenas-voltam-a-luta-artigo-de-fabio-caetano" TargetMode="External"/><Relationship Id="rId10" Type="http://schemas.openxmlformats.org/officeDocument/2006/relationships/hyperlink" Target="https://ihu.unisinos.br/categorias/186-noticias-2017/568757-mudanca-no-parque-jamanxim-no-pa-abre-caminho-para-garimpo" TargetMode="External"/><Relationship Id="rId4" Type="http://schemas.openxmlformats.org/officeDocument/2006/relationships/image" Target="media/image1.png"/><Relationship Id="rId9" Type="http://schemas.openxmlformats.org/officeDocument/2006/relationships/hyperlink" Target="https://ihu.unisinos.br/categorias/653419-dragagem-do-rio-tapajos-a-urgencia-das-empresas-na-crise-climatica-e-contra-a-vida-artigo-de-pedro-martins-e-vanildo-pereira" TargetMode="External"/><Relationship Id="rId14" Type="http://schemas.openxmlformats.org/officeDocument/2006/relationships/hyperlink" Target="https://www.ihu.unisinos.br/categorias/664449-atl-reune-7-mil-indigenas-em-brasilia-contra-retrocessos-e-pressiona-governo-lula-por-demarcaco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2264</Words>
  <Characters>12454</Characters>
  <Application>Microsoft Office Word</Application>
  <DocSecurity>0</DocSecurity>
  <Lines>103</Lines>
  <Paragraphs>29</Paragraphs>
  <ScaleCrop>false</ScaleCrop>
  <Company/>
  <LinksUpToDate>false</LinksUpToDate>
  <CharactersWithSpaces>14689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2026-04-10T14:16:00Z</dcterms:created>
  <dcterms:modified xsi:type="dcterms:W3CDTF">2026-04-10T14:16:00Z</dcterms:modified>
</cp:coreProperties>
</file>