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8E9D3" w14:textId="1B5E0594" w:rsid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drawing>
          <wp:inline distT="0" distB="0" distL="0" distR="0" wp14:anchorId="0108AFC6" wp14:editId="2C5929C3">
            <wp:extent cx="5400040" cy="1263650"/>
            <wp:effectExtent l="0" t="0" r="0" b="0"/>
            <wp:docPr id="18656204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20479" name=""/>
                    <pic:cNvPicPr/>
                  </pic:nvPicPr>
                  <pic:blipFill>
                    <a:blip r:embed="rId4"/>
                    <a:stretch>
                      <a:fillRect/>
                    </a:stretch>
                  </pic:blipFill>
                  <pic:spPr>
                    <a:xfrm>
                      <a:off x="0" y="0"/>
                      <a:ext cx="5400040" cy="1263650"/>
                    </a:xfrm>
                    <a:prstGeom prst="rect">
                      <a:avLst/>
                    </a:prstGeom>
                  </pic:spPr>
                </pic:pic>
              </a:graphicData>
            </a:graphic>
          </wp:inline>
        </w:drawing>
      </w:r>
    </w:p>
    <w:p w14:paraId="6A7650C1" w14:textId="615BADD7" w:rsid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«Para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 que entonces tenía 34 años en 1961, esta labor de profundizar en el significado de la  </w:t>
      </w:r>
      <w:r w:rsidRPr="00994FF4">
        <w:rPr>
          <w:rFonts w:ascii="Arial" w:eastAsia="Times New Roman" w:hAnsi="Arial" w:cs="Arial"/>
          <w:b/>
          <w:bCs/>
          <w:color w:val="333333"/>
          <w:kern w:val="0"/>
          <w:sz w:val="26"/>
          <w:szCs w:val="26"/>
          <w:lang w:eastAsia="es-UY"/>
          <w14:ligatures w14:val="none"/>
        </w:rPr>
        <w:t>Eucaristía</w:t>
      </w:r>
      <w:r w:rsidRPr="00994FF4">
        <w:rPr>
          <w:rFonts w:ascii="Arial" w:eastAsia="Times New Roman" w:hAnsi="Arial" w:cs="Arial"/>
          <w:color w:val="333333"/>
          <w:kern w:val="0"/>
          <w:sz w:val="26"/>
          <w:szCs w:val="26"/>
          <w:lang w:eastAsia="es-UY"/>
          <w14:ligatures w14:val="none"/>
        </w:rPr>
        <w:t>  tenía inevitables consecuencias litúrgicas y sacramentales, que exigían una clara renovación de las categorías teológicas y la práctica eclesial. Sesenta y cinco años después, estas ideas juveniles del teólogo bávaro encuentran un nuevo impulso y motivación», escribe  </w:t>
      </w:r>
      <w:hyperlink r:id="rId5" w:tgtFrame="_blank" w:history="1">
        <w:r w:rsidRPr="00994FF4">
          <w:rPr>
            <w:rFonts w:ascii="Arial" w:eastAsia="Times New Roman" w:hAnsi="Arial" w:cs="Arial"/>
            <w:color w:val="FC6B01"/>
            <w:kern w:val="0"/>
            <w:sz w:val="26"/>
            <w:szCs w:val="26"/>
            <w:u w:val="single"/>
            <w:lang w:eastAsia="es-UY"/>
            <w14:ligatures w14:val="none"/>
          </w:rPr>
          <w:t>Andrea Grillo</w:t>
        </w:r>
      </w:hyperlink>
      <w:r w:rsidRPr="00994FF4">
        <w:rPr>
          <w:rFonts w:ascii="Arial" w:eastAsia="Times New Roman" w:hAnsi="Arial" w:cs="Arial"/>
          <w:color w:val="333333"/>
          <w:kern w:val="0"/>
          <w:sz w:val="26"/>
          <w:szCs w:val="26"/>
          <w:lang w:eastAsia="es-UY"/>
          <w14:ligatures w14:val="none"/>
        </w:rPr>
        <w:t> , teólogo italiano, en un artículo publicado por  </w:t>
      </w:r>
      <w:proofErr w:type="spellStart"/>
      <w:r w:rsidRPr="00994FF4">
        <w:rPr>
          <w:rFonts w:ascii="Arial" w:eastAsia="Times New Roman" w:hAnsi="Arial" w:cs="Arial"/>
          <w:color w:val="333333"/>
          <w:kern w:val="0"/>
          <w:sz w:val="26"/>
          <w:szCs w:val="26"/>
          <w:lang w:eastAsia="es-UY"/>
          <w14:ligatures w14:val="none"/>
        </w:rPr>
        <w:fldChar w:fldCharType="begin"/>
      </w:r>
      <w:r w:rsidRPr="00994FF4">
        <w:rPr>
          <w:rFonts w:ascii="Arial" w:eastAsia="Times New Roman" w:hAnsi="Arial" w:cs="Arial"/>
          <w:color w:val="333333"/>
          <w:kern w:val="0"/>
          <w:sz w:val="26"/>
          <w:szCs w:val="26"/>
          <w:lang w:eastAsia="es-UY"/>
          <w14:ligatures w14:val="none"/>
        </w:rPr>
        <w:instrText>HYPERLINK "https://www.cittadellaeditrice.com/munera/come-se-non/" \t "_blank"</w:instrText>
      </w:r>
      <w:r w:rsidRPr="00994FF4">
        <w:rPr>
          <w:rFonts w:ascii="Arial" w:eastAsia="Times New Roman" w:hAnsi="Arial" w:cs="Arial"/>
          <w:color w:val="333333"/>
          <w:kern w:val="0"/>
          <w:sz w:val="26"/>
          <w:szCs w:val="26"/>
          <w:lang w:eastAsia="es-UY"/>
          <w14:ligatures w14:val="none"/>
        </w:rPr>
      </w:r>
      <w:r w:rsidRPr="00994FF4">
        <w:rPr>
          <w:rFonts w:ascii="Arial" w:eastAsia="Times New Roman" w:hAnsi="Arial" w:cs="Arial"/>
          <w:color w:val="333333"/>
          <w:kern w:val="0"/>
          <w:sz w:val="26"/>
          <w:szCs w:val="26"/>
          <w:lang w:eastAsia="es-UY"/>
          <w14:ligatures w14:val="none"/>
        </w:rPr>
        <w:fldChar w:fldCharType="separate"/>
      </w:r>
      <w:r w:rsidRPr="00994FF4">
        <w:rPr>
          <w:rFonts w:ascii="Arial" w:eastAsia="Times New Roman" w:hAnsi="Arial" w:cs="Arial"/>
          <w:color w:val="FC6B01"/>
          <w:kern w:val="0"/>
          <w:sz w:val="26"/>
          <w:szCs w:val="26"/>
          <w:u w:val="single"/>
          <w:lang w:eastAsia="es-UY"/>
          <w14:ligatures w14:val="none"/>
        </w:rPr>
        <w:t>Come</w:t>
      </w:r>
      <w:proofErr w:type="spellEnd"/>
      <w:r w:rsidRPr="00994FF4">
        <w:rPr>
          <w:rFonts w:ascii="Arial" w:eastAsia="Times New Roman" w:hAnsi="Arial" w:cs="Arial"/>
          <w:color w:val="FC6B01"/>
          <w:kern w:val="0"/>
          <w:sz w:val="26"/>
          <w:szCs w:val="26"/>
          <w:u w:val="single"/>
          <w:lang w:eastAsia="es-UY"/>
          <w14:ligatures w14:val="none"/>
        </w:rPr>
        <w:t xml:space="preserve"> se non</w:t>
      </w:r>
      <w:r w:rsidRPr="00994FF4">
        <w:rPr>
          <w:rFonts w:ascii="Arial" w:eastAsia="Times New Roman" w:hAnsi="Arial" w:cs="Arial"/>
          <w:color w:val="333333"/>
          <w:kern w:val="0"/>
          <w:sz w:val="26"/>
          <w:szCs w:val="26"/>
          <w:lang w:eastAsia="es-UY"/>
          <w14:ligatures w14:val="none"/>
        </w:rPr>
        <w:fldChar w:fldCharType="end"/>
      </w:r>
      <w:r w:rsidRPr="00994FF4">
        <w:rPr>
          <w:rFonts w:ascii="Arial" w:eastAsia="Times New Roman" w:hAnsi="Arial" w:cs="Arial"/>
          <w:color w:val="333333"/>
          <w:kern w:val="0"/>
          <w:sz w:val="26"/>
          <w:szCs w:val="26"/>
          <w:lang w:eastAsia="es-UY"/>
          <w14:ligatures w14:val="none"/>
        </w:rPr>
        <w:t> el 27 de febrero de 2026.</w:t>
      </w:r>
    </w:p>
    <w:p w14:paraId="36D77A86"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p>
    <w:p w14:paraId="5804DE91" w14:textId="77777777" w:rsidR="00994FF4" w:rsidRPr="00994FF4" w:rsidRDefault="00994FF4" w:rsidP="00994FF4">
      <w:pPr>
        <w:spacing w:after="0" w:line="240" w:lineRule="auto"/>
        <w:jc w:val="both"/>
        <w:outlineLvl w:val="1"/>
        <w:rPr>
          <w:rFonts w:ascii="Arial" w:eastAsia="Times New Roman" w:hAnsi="Arial" w:cs="Arial"/>
          <w:b/>
          <w:bCs/>
          <w:color w:val="333333"/>
          <w:kern w:val="0"/>
          <w:sz w:val="32"/>
          <w:szCs w:val="32"/>
          <w:lang w:eastAsia="es-UY"/>
          <w14:ligatures w14:val="none"/>
        </w:rPr>
      </w:pPr>
      <w:r w:rsidRPr="00994FF4">
        <w:rPr>
          <w:rFonts w:ascii="Arial" w:eastAsia="Times New Roman" w:hAnsi="Arial" w:cs="Arial"/>
          <w:b/>
          <w:bCs/>
          <w:color w:val="333333"/>
          <w:kern w:val="0"/>
          <w:sz w:val="32"/>
          <w:szCs w:val="32"/>
          <w:lang w:eastAsia="es-UY"/>
          <w14:ligatures w14:val="none"/>
        </w:rPr>
        <w:t>Aquí está el artículo.</w:t>
      </w:r>
    </w:p>
    <w:p w14:paraId="4DDB5471" w14:textId="77777777" w:rsid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De no ser por la amable atención de un colega historiador, quizás nunca habría encontrado los dos textos que </w:t>
      </w:r>
      <w:hyperlink r:id="rId6" w:tgtFrame="_blank" w:history="1">
        <w:r w:rsidRPr="00994FF4">
          <w:rPr>
            <w:rFonts w:ascii="Arial" w:eastAsia="Times New Roman" w:hAnsi="Arial" w:cs="Arial"/>
            <w:color w:val="FC6B01"/>
            <w:kern w:val="0"/>
            <w:sz w:val="26"/>
            <w:szCs w:val="26"/>
            <w:u w:val="single"/>
            <w:lang w:eastAsia="es-UY"/>
            <w14:ligatures w14:val="none"/>
          </w:rPr>
          <w:t>Joseph Ratzinger</w:t>
        </w:r>
      </w:hyperlink>
      <w:r w:rsidRPr="00994FF4">
        <w:rPr>
          <w:rFonts w:ascii="Arial" w:eastAsia="Times New Roman" w:hAnsi="Arial" w:cs="Arial"/>
          <w:color w:val="333333"/>
          <w:kern w:val="0"/>
          <w:sz w:val="26"/>
          <w:szCs w:val="26"/>
          <w:lang w:eastAsia="es-UY"/>
          <w14:ligatures w14:val="none"/>
        </w:rPr>
        <w:t> escribió en 1961, un año antes del inicio del </w:t>
      </w:r>
      <w:hyperlink r:id="rId7" w:tgtFrame="_blank" w:history="1">
        <w:r w:rsidRPr="00994FF4">
          <w:rPr>
            <w:rFonts w:ascii="Arial" w:eastAsia="Times New Roman" w:hAnsi="Arial" w:cs="Arial"/>
            <w:color w:val="FC6B01"/>
            <w:kern w:val="0"/>
            <w:sz w:val="26"/>
            <w:szCs w:val="26"/>
            <w:u w:val="single"/>
            <w:lang w:eastAsia="es-UY"/>
            <w14:ligatures w14:val="none"/>
          </w:rPr>
          <w:t>Concilio Vaticano II</w:t>
        </w:r>
      </w:hyperlink>
      <w:r w:rsidRPr="00994FF4">
        <w:rPr>
          <w:rFonts w:ascii="Arial" w:eastAsia="Times New Roman" w:hAnsi="Arial" w:cs="Arial"/>
          <w:color w:val="333333"/>
          <w:kern w:val="0"/>
          <w:sz w:val="26"/>
          <w:szCs w:val="26"/>
          <w:lang w:eastAsia="es-UY"/>
          <w14:ligatures w14:val="none"/>
        </w:rPr>
        <w:t> , y que se incluyen en sus Obras Completas. Sin embargo, no se encuentran donde uno esperaría, sino más bien dispersos en un rincón de difícil acceso. Me gustaría abordar brevemente la cuestión de su ubicación sistemática, su contenido y su importancia actual para un renovado impulso a la </w:t>
      </w:r>
      <w:hyperlink r:id="rId8" w:tgtFrame="_blank" w:history="1">
        <w:r w:rsidRPr="00994FF4">
          <w:rPr>
            <w:rFonts w:ascii="Arial" w:eastAsia="Times New Roman" w:hAnsi="Arial" w:cs="Arial"/>
            <w:color w:val="FC6B01"/>
            <w:kern w:val="0"/>
            <w:sz w:val="26"/>
            <w:szCs w:val="26"/>
            <w:u w:val="single"/>
            <w:lang w:eastAsia="es-UY"/>
            <w14:ligatures w14:val="none"/>
          </w:rPr>
          <w:t>teología eucarística</w:t>
        </w:r>
      </w:hyperlink>
      <w:r w:rsidRPr="00994FF4">
        <w:rPr>
          <w:rFonts w:ascii="Arial" w:eastAsia="Times New Roman" w:hAnsi="Arial" w:cs="Arial"/>
          <w:color w:val="333333"/>
          <w:kern w:val="0"/>
          <w:sz w:val="26"/>
          <w:szCs w:val="26"/>
          <w:lang w:eastAsia="es-UY"/>
          <w14:ligatures w14:val="none"/>
        </w:rPr>
        <w:t> .</w:t>
      </w:r>
    </w:p>
    <w:p w14:paraId="536B0BDD"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p>
    <w:p w14:paraId="72433EE0" w14:textId="77777777" w:rsidR="00994FF4" w:rsidRPr="00994FF4" w:rsidRDefault="00994FF4" w:rsidP="00994FF4">
      <w:pPr>
        <w:spacing w:after="0" w:line="240" w:lineRule="auto"/>
        <w:jc w:val="both"/>
        <w:outlineLvl w:val="1"/>
        <w:rPr>
          <w:rFonts w:ascii="Arial" w:eastAsia="Times New Roman" w:hAnsi="Arial" w:cs="Arial"/>
          <w:b/>
          <w:bCs/>
          <w:color w:val="333333"/>
          <w:kern w:val="0"/>
          <w:sz w:val="36"/>
          <w:szCs w:val="36"/>
          <w:lang w:eastAsia="es-UY"/>
          <w14:ligatures w14:val="none"/>
        </w:rPr>
      </w:pPr>
      <w:r w:rsidRPr="00994FF4">
        <w:rPr>
          <w:rFonts w:ascii="Arial" w:eastAsia="Times New Roman" w:hAnsi="Arial" w:cs="Arial"/>
          <w:b/>
          <w:bCs/>
          <w:color w:val="333333"/>
          <w:kern w:val="0"/>
          <w:sz w:val="36"/>
          <w:szCs w:val="36"/>
          <w:lang w:eastAsia="es-UY"/>
          <w14:ligatures w14:val="none"/>
        </w:rPr>
        <w:t>Ubicación en </w:t>
      </w:r>
      <w:r w:rsidRPr="00994FF4">
        <w:rPr>
          <w:rFonts w:ascii="Arial" w:eastAsia="Times New Roman" w:hAnsi="Arial" w:cs="Arial"/>
          <w:b/>
          <w:bCs/>
          <w:i/>
          <w:iCs/>
          <w:color w:val="333333"/>
          <w:kern w:val="0"/>
          <w:sz w:val="36"/>
          <w:szCs w:val="36"/>
          <w:lang w:eastAsia="es-UY"/>
          <w14:ligatures w14:val="none"/>
        </w:rPr>
        <w:t>Opera Omnia</w:t>
      </w:r>
    </w:p>
    <w:p w14:paraId="18D010B0" w14:textId="77777777" w:rsid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Como ya he dicho, resulta profundamente intrigante que dos textos, en los que el joven teólogo expresa claramente sus ideas sobre </w:t>
      </w:r>
      <w:r w:rsidRPr="00994FF4">
        <w:rPr>
          <w:rFonts w:ascii="Arial" w:eastAsia="Times New Roman" w:hAnsi="Arial" w:cs="Arial"/>
          <w:b/>
          <w:bCs/>
          <w:color w:val="333333"/>
          <w:kern w:val="0"/>
          <w:sz w:val="26"/>
          <w:szCs w:val="26"/>
          <w:lang w:eastAsia="es-UY"/>
          <w14:ligatures w14:val="none"/>
        </w:rPr>
        <w:t>la teología eucarística</w:t>
      </w:r>
      <w:r w:rsidRPr="00994FF4">
        <w:rPr>
          <w:rFonts w:ascii="Arial" w:eastAsia="Times New Roman" w:hAnsi="Arial" w:cs="Arial"/>
          <w:color w:val="333333"/>
          <w:kern w:val="0"/>
          <w:sz w:val="26"/>
          <w:szCs w:val="26"/>
          <w:lang w:eastAsia="es-UY"/>
          <w14:ligatures w14:val="none"/>
        </w:rPr>
        <w:t> , la arquitectura del espacio sagrado y la liturgia, no se hayan incluido en los volúmenes dedicados a la dogmática o la liturgia. En cambio, se encuentran en el volumen que reúne sus escritos sobre el </w:t>
      </w:r>
      <w:r w:rsidRPr="00994FF4">
        <w:rPr>
          <w:rFonts w:ascii="Arial" w:eastAsia="Times New Roman" w:hAnsi="Arial" w:cs="Arial"/>
          <w:b/>
          <w:bCs/>
          <w:color w:val="333333"/>
          <w:kern w:val="0"/>
          <w:sz w:val="26"/>
          <w:szCs w:val="26"/>
          <w:lang w:eastAsia="es-UY"/>
          <w14:ligatures w14:val="none"/>
        </w:rPr>
        <w:t>Concilio Vaticano II</w:t>
      </w:r>
      <w:r w:rsidRPr="00994FF4">
        <w:rPr>
          <w:rFonts w:ascii="Arial" w:eastAsia="Times New Roman" w:hAnsi="Arial" w:cs="Arial"/>
          <w:color w:val="333333"/>
          <w:kern w:val="0"/>
          <w:sz w:val="26"/>
          <w:szCs w:val="26"/>
          <w:lang w:eastAsia="es-UY"/>
          <w14:ligatures w14:val="none"/>
        </w:rPr>
        <w:t> ( </w:t>
      </w:r>
      <w:r w:rsidRPr="00994FF4">
        <w:rPr>
          <w:rFonts w:ascii="Arial" w:eastAsia="Times New Roman" w:hAnsi="Arial" w:cs="Arial"/>
          <w:i/>
          <w:iCs/>
          <w:color w:val="333333"/>
          <w:kern w:val="0"/>
          <w:sz w:val="26"/>
          <w:szCs w:val="26"/>
          <w:lang w:eastAsia="es-UY"/>
          <w14:ligatures w14:val="none"/>
        </w:rPr>
        <w:t>Opera Omnia</w:t>
      </w:r>
      <w:r w:rsidRPr="00994FF4">
        <w:rPr>
          <w:rFonts w:ascii="Arial" w:eastAsia="Times New Roman" w:hAnsi="Arial" w:cs="Arial"/>
          <w:color w:val="333333"/>
          <w:kern w:val="0"/>
          <w:sz w:val="26"/>
          <w:szCs w:val="26"/>
          <w:lang w:eastAsia="es-UY"/>
          <w14:ligatures w14:val="none"/>
        </w:rPr>
        <w:t> , volumen VII/1). En sí misma, no hay razón para justificar esta ubicación: es obvio que todo lo que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escribió antes del </w:t>
      </w:r>
      <w:r w:rsidRPr="00994FF4">
        <w:rPr>
          <w:rFonts w:ascii="Arial" w:eastAsia="Times New Roman" w:hAnsi="Arial" w:cs="Arial"/>
          <w:b/>
          <w:bCs/>
          <w:color w:val="333333"/>
          <w:kern w:val="0"/>
          <w:sz w:val="26"/>
          <w:szCs w:val="26"/>
          <w:lang w:eastAsia="es-UY"/>
          <w14:ligatures w14:val="none"/>
        </w:rPr>
        <w:t>Vaticano II</w:t>
      </w:r>
      <w:r w:rsidRPr="00994FF4">
        <w:rPr>
          <w:rFonts w:ascii="Arial" w:eastAsia="Times New Roman" w:hAnsi="Arial" w:cs="Arial"/>
          <w:color w:val="333333"/>
          <w:kern w:val="0"/>
          <w:sz w:val="26"/>
          <w:szCs w:val="26"/>
          <w:lang w:eastAsia="es-UY"/>
          <w14:ligatures w14:val="none"/>
        </w:rPr>
        <w:t xml:space="preserve"> puede entenderse como una preparación para el mismo. Pero no está claro por qué estos dos textos (solo estos dos) se colocaron en esta posición, lo que </w:t>
      </w:r>
      <w:proofErr w:type="gramStart"/>
      <w:r w:rsidRPr="00994FF4">
        <w:rPr>
          <w:rFonts w:ascii="Arial" w:eastAsia="Times New Roman" w:hAnsi="Arial" w:cs="Arial"/>
          <w:color w:val="333333"/>
          <w:kern w:val="0"/>
          <w:sz w:val="26"/>
          <w:szCs w:val="26"/>
          <w:lang w:eastAsia="es-UY"/>
          <w14:ligatures w14:val="none"/>
        </w:rPr>
        <w:t>los aleja</w:t>
      </w:r>
      <w:proofErr w:type="gramEnd"/>
      <w:r w:rsidRPr="00994FF4">
        <w:rPr>
          <w:rFonts w:ascii="Arial" w:eastAsia="Times New Roman" w:hAnsi="Arial" w:cs="Arial"/>
          <w:color w:val="333333"/>
          <w:kern w:val="0"/>
          <w:sz w:val="26"/>
          <w:szCs w:val="26"/>
          <w:lang w:eastAsia="es-UY"/>
          <w14:ligatures w14:val="none"/>
        </w:rPr>
        <w:t xml:space="preserve"> de los dos contextos en los que se leen con mayor propiedad: es decir, como las palabras que iniciaron la reflexión eucarística y litúrgica de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 Curiosamente, el volumen sobre la "teología de la liturgia" contiene textos que comienzan recién en 2001. Los 40 años anteriores de reflexión le parecieron, al editor, completamente irrelevantes.</w:t>
      </w:r>
    </w:p>
    <w:p w14:paraId="0BB91607"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p>
    <w:p w14:paraId="011CE66A" w14:textId="77777777" w:rsidR="00994FF4" w:rsidRPr="00994FF4" w:rsidRDefault="00994FF4" w:rsidP="00994FF4">
      <w:pPr>
        <w:spacing w:after="0" w:line="240" w:lineRule="auto"/>
        <w:jc w:val="both"/>
        <w:outlineLvl w:val="1"/>
        <w:rPr>
          <w:rFonts w:ascii="Arial" w:eastAsia="Times New Roman" w:hAnsi="Arial" w:cs="Arial"/>
          <w:b/>
          <w:bCs/>
          <w:color w:val="333333"/>
          <w:kern w:val="0"/>
          <w:sz w:val="36"/>
          <w:szCs w:val="36"/>
          <w:lang w:eastAsia="es-UY"/>
          <w14:ligatures w14:val="none"/>
        </w:rPr>
      </w:pPr>
      <w:r w:rsidRPr="00994FF4">
        <w:rPr>
          <w:rFonts w:ascii="Arial" w:eastAsia="Times New Roman" w:hAnsi="Arial" w:cs="Arial"/>
          <w:b/>
          <w:bCs/>
          <w:color w:val="333333"/>
          <w:kern w:val="0"/>
          <w:sz w:val="36"/>
          <w:szCs w:val="36"/>
          <w:lang w:eastAsia="es-UY"/>
          <w14:ligatures w14:val="none"/>
        </w:rPr>
        <w:t>Los dos textos</w:t>
      </w:r>
    </w:p>
    <w:p w14:paraId="4CC02602" w14:textId="77777777" w:rsid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Los títulos de ambos textos no dejan lugar a dudas sobre su importancia fundamental al inicio de la reflexión sistemática y litúrgica del teólogo bávaro. El primero se titula « </w:t>
      </w:r>
      <w:r w:rsidRPr="00994FF4">
        <w:rPr>
          <w:rFonts w:ascii="Arial" w:eastAsia="Times New Roman" w:hAnsi="Arial" w:cs="Arial"/>
          <w:i/>
          <w:iCs/>
          <w:color w:val="333333"/>
          <w:kern w:val="0"/>
          <w:sz w:val="26"/>
          <w:szCs w:val="26"/>
          <w:lang w:eastAsia="es-UY"/>
          <w14:ligatures w14:val="none"/>
        </w:rPr>
        <w:t>Ideas fundamentales de la renovación eucarística del siglo XX</w:t>
      </w:r>
      <w:r w:rsidRPr="00994FF4">
        <w:rPr>
          <w:rFonts w:ascii="Arial" w:eastAsia="Times New Roman" w:hAnsi="Arial" w:cs="Arial"/>
          <w:color w:val="333333"/>
          <w:kern w:val="0"/>
          <w:sz w:val="26"/>
          <w:szCs w:val="26"/>
          <w:lang w:eastAsia="es-UY"/>
          <w14:ligatures w14:val="none"/>
        </w:rPr>
        <w:t> » ( </w:t>
      </w:r>
      <w:r w:rsidRPr="00994FF4">
        <w:rPr>
          <w:rFonts w:ascii="Arial" w:eastAsia="Times New Roman" w:hAnsi="Arial" w:cs="Arial"/>
          <w:i/>
          <w:iCs/>
          <w:color w:val="333333"/>
          <w:kern w:val="0"/>
          <w:sz w:val="26"/>
          <w:szCs w:val="26"/>
          <w:lang w:eastAsia="es-UY"/>
          <w14:ligatures w14:val="none"/>
        </w:rPr>
        <w:t>Opera Omnia</w:t>
      </w:r>
      <w:r w:rsidRPr="00994FF4">
        <w:rPr>
          <w:rFonts w:ascii="Arial" w:eastAsia="Times New Roman" w:hAnsi="Arial" w:cs="Arial"/>
          <w:color w:val="333333"/>
          <w:kern w:val="0"/>
          <w:sz w:val="26"/>
          <w:szCs w:val="26"/>
          <w:lang w:eastAsia="es-UY"/>
          <w14:ligatures w14:val="none"/>
        </w:rPr>
        <w:t xml:space="preserve"> , VII/1, 21-32), mientras que el </w:t>
      </w:r>
      <w:r w:rsidRPr="00994FF4">
        <w:rPr>
          <w:rFonts w:ascii="Arial" w:eastAsia="Times New Roman" w:hAnsi="Arial" w:cs="Arial"/>
          <w:color w:val="333333"/>
          <w:kern w:val="0"/>
          <w:sz w:val="26"/>
          <w:szCs w:val="26"/>
          <w:lang w:eastAsia="es-UY"/>
          <w14:ligatures w14:val="none"/>
        </w:rPr>
        <w:lastRenderedPageBreak/>
        <w:t>segundo es una reflexión sobre el </w:t>
      </w:r>
      <w:r w:rsidRPr="00994FF4">
        <w:rPr>
          <w:rFonts w:ascii="Arial" w:eastAsia="Times New Roman" w:hAnsi="Arial" w:cs="Arial"/>
          <w:b/>
          <w:bCs/>
          <w:color w:val="333333"/>
          <w:kern w:val="0"/>
          <w:sz w:val="26"/>
          <w:szCs w:val="26"/>
          <w:lang w:eastAsia="es-UY"/>
          <w14:ligatures w14:val="none"/>
        </w:rPr>
        <w:t>Congreso Eucarístico Internacional</w:t>
      </w:r>
      <w:r w:rsidRPr="00994FF4">
        <w:rPr>
          <w:rFonts w:ascii="Arial" w:eastAsia="Times New Roman" w:hAnsi="Arial" w:cs="Arial"/>
          <w:color w:val="333333"/>
          <w:kern w:val="0"/>
          <w:sz w:val="26"/>
          <w:szCs w:val="26"/>
          <w:lang w:eastAsia="es-UY"/>
          <w14:ligatures w14:val="none"/>
        </w:rPr>
        <w:t> celebrado en Múnich en 1961: « </w:t>
      </w:r>
      <w:r w:rsidRPr="00994FF4">
        <w:rPr>
          <w:rFonts w:ascii="Arial" w:eastAsia="Times New Roman" w:hAnsi="Arial" w:cs="Arial"/>
          <w:i/>
          <w:iCs/>
          <w:color w:val="333333"/>
          <w:kern w:val="0"/>
          <w:sz w:val="26"/>
          <w:szCs w:val="26"/>
          <w:lang w:eastAsia="es-UY"/>
          <w14:ligatures w14:val="none"/>
        </w:rPr>
        <w:t>El Congreso Eucarístico Internacional a la luz de la crítica</w:t>
      </w:r>
      <w:r w:rsidRPr="00994FF4">
        <w:rPr>
          <w:rFonts w:ascii="Arial" w:eastAsia="Times New Roman" w:hAnsi="Arial" w:cs="Arial"/>
          <w:color w:val="333333"/>
          <w:kern w:val="0"/>
          <w:sz w:val="26"/>
          <w:szCs w:val="26"/>
          <w:lang w:eastAsia="es-UY"/>
          <w14:ligatures w14:val="none"/>
        </w:rPr>
        <w:t> » ( </w:t>
      </w:r>
      <w:r w:rsidRPr="00994FF4">
        <w:rPr>
          <w:rFonts w:ascii="Arial" w:eastAsia="Times New Roman" w:hAnsi="Arial" w:cs="Arial"/>
          <w:i/>
          <w:iCs/>
          <w:color w:val="333333"/>
          <w:kern w:val="0"/>
          <w:sz w:val="26"/>
          <w:szCs w:val="26"/>
          <w:lang w:eastAsia="es-UY"/>
          <w14:ligatures w14:val="none"/>
        </w:rPr>
        <w:t>Opera Omnia</w:t>
      </w:r>
      <w:r w:rsidRPr="00994FF4">
        <w:rPr>
          <w:rFonts w:ascii="Arial" w:eastAsia="Times New Roman" w:hAnsi="Arial" w:cs="Arial"/>
          <w:color w:val="333333"/>
          <w:kern w:val="0"/>
          <w:sz w:val="26"/>
          <w:szCs w:val="26"/>
          <w:lang w:eastAsia="es-UY"/>
          <w14:ligatures w14:val="none"/>
        </w:rPr>
        <w:t> , VII/1, 33-55). Este segundo texto refleja el contexto en el que se celebró y se comentó el Congreso, tanto a nivel público como eclesiástico. El primero, en cambio, constituye una profunda reflexión sobre la teología eucarística y la teología de los sacramentos que merece un análisis minucioso, al ser uno de los primeros textos en los que el joven teólogo expresa claramente su sensibilidad litúrgica y sacramental.</w:t>
      </w:r>
    </w:p>
    <w:p w14:paraId="401C14F5"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p>
    <w:p w14:paraId="027EE8BB" w14:textId="77777777" w:rsidR="00994FF4" w:rsidRPr="00994FF4" w:rsidRDefault="00994FF4" w:rsidP="00994FF4">
      <w:pPr>
        <w:spacing w:after="0" w:line="240" w:lineRule="auto"/>
        <w:jc w:val="both"/>
        <w:outlineLvl w:val="1"/>
        <w:rPr>
          <w:rFonts w:ascii="Arial" w:eastAsia="Times New Roman" w:hAnsi="Arial" w:cs="Arial"/>
          <w:b/>
          <w:bCs/>
          <w:color w:val="333333"/>
          <w:kern w:val="0"/>
          <w:sz w:val="36"/>
          <w:szCs w:val="36"/>
          <w:lang w:eastAsia="es-UY"/>
          <w14:ligatures w14:val="none"/>
        </w:rPr>
      </w:pPr>
      <w:r w:rsidRPr="00994FF4">
        <w:rPr>
          <w:rFonts w:ascii="Arial" w:eastAsia="Times New Roman" w:hAnsi="Arial" w:cs="Arial"/>
          <w:b/>
          <w:bCs/>
          <w:color w:val="333333"/>
          <w:kern w:val="0"/>
          <w:sz w:val="36"/>
          <w:szCs w:val="36"/>
          <w:lang w:eastAsia="es-UY"/>
          <w14:ligatures w14:val="none"/>
        </w:rPr>
        <w:t>La nueva “idea teológica” de la Eucaristía</w:t>
      </w:r>
    </w:p>
    <w:p w14:paraId="59B3103E"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Lo primero que llama la atención del lector es la determinación con la que Ratzinger presenta la nueva sensibilidad teológica y eclesial, partiendo del examen de una " </w:t>
      </w:r>
      <w:r w:rsidRPr="00994FF4">
        <w:rPr>
          <w:rFonts w:ascii="Arial" w:eastAsia="Times New Roman" w:hAnsi="Arial" w:cs="Arial"/>
          <w:b/>
          <w:bCs/>
          <w:color w:val="333333"/>
          <w:kern w:val="0"/>
          <w:sz w:val="26"/>
          <w:szCs w:val="26"/>
          <w:lang w:eastAsia="es-UY"/>
          <w14:ligatures w14:val="none"/>
        </w:rPr>
        <w:t>nueva iglesia</w:t>
      </w:r>
      <w:r w:rsidRPr="00994FF4">
        <w:rPr>
          <w:rFonts w:ascii="Arial" w:eastAsia="Times New Roman" w:hAnsi="Arial" w:cs="Arial"/>
          <w:color w:val="333333"/>
          <w:kern w:val="0"/>
          <w:sz w:val="26"/>
          <w:szCs w:val="26"/>
          <w:lang w:eastAsia="es-UY"/>
          <w14:ligatures w14:val="none"/>
        </w:rPr>
        <w:t> ".</w:t>
      </w:r>
    </w:p>
    <w:p w14:paraId="45831136"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i/>
          <w:iCs/>
          <w:color w:val="333333"/>
          <w:kern w:val="0"/>
          <w:sz w:val="26"/>
          <w:szCs w:val="26"/>
          <w:lang w:eastAsia="es-UY"/>
          <w14:ligatures w14:val="none"/>
        </w:rPr>
        <w:t>“Cuando hoy uno comienza a diseñar una iglesia, en cierto sentido uno piensa en ella en torno a un centro diferente, partiendo de un punto de vista diferente al de la época de nuestros padres y abuelos”</w:t>
      </w:r>
      <w:r w:rsidRPr="00994FF4">
        <w:rPr>
          <w:rFonts w:ascii="Arial" w:eastAsia="Times New Roman" w:hAnsi="Arial" w:cs="Arial"/>
          <w:color w:val="333333"/>
          <w:kern w:val="0"/>
          <w:sz w:val="26"/>
          <w:szCs w:val="26"/>
          <w:lang w:eastAsia="es-UY"/>
          <w14:ligatures w14:val="none"/>
        </w:rPr>
        <w:t> (21).</w:t>
      </w:r>
    </w:p>
    <w:p w14:paraId="50382AAB"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En este sentido,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puede escribir que</w:t>
      </w:r>
    </w:p>
    <w:p w14:paraId="15C9CB19"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i/>
          <w:iCs/>
          <w:color w:val="333333"/>
          <w:kern w:val="0"/>
          <w:sz w:val="26"/>
          <w:szCs w:val="26"/>
          <w:lang w:eastAsia="es-UY"/>
          <w14:ligatures w14:val="none"/>
        </w:rPr>
        <w:t>“...la forma renovada de nuestros edificios sagrados refleja esa gran renovación espiritual en la comprensión de la Eucaristía que comenzó con </w:t>
      </w:r>
      <w:hyperlink r:id="rId9" w:tgtFrame="_blank" w:history="1">
        <w:r w:rsidRPr="00994FF4">
          <w:rPr>
            <w:rFonts w:ascii="Arial" w:eastAsia="Times New Roman" w:hAnsi="Arial" w:cs="Arial"/>
            <w:i/>
            <w:iCs/>
            <w:color w:val="FC6B01"/>
            <w:kern w:val="0"/>
            <w:sz w:val="26"/>
            <w:szCs w:val="26"/>
            <w:u w:val="single"/>
            <w:lang w:eastAsia="es-UY"/>
            <w14:ligatures w14:val="none"/>
          </w:rPr>
          <w:t>Pío X</w:t>
        </w:r>
      </w:hyperlink>
      <w:r w:rsidRPr="00994FF4">
        <w:rPr>
          <w:rFonts w:ascii="Arial" w:eastAsia="Times New Roman" w:hAnsi="Arial" w:cs="Arial"/>
          <w:i/>
          <w:iCs/>
          <w:color w:val="333333"/>
          <w:kern w:val="0"/>
          <w:sz w:val="26"/>
          <w:szCs w:val="26"/>
          <w:lang w:eastAsia="es-UY"/>
          <w14:ligatures w14:val="none"/>
        </w:rPr>
        <w:t> y que representa una de las grandes esperanzas para este siglo nuestro, que a veces es tan oscuro”</w:t>
      </w:r>
      <w:r w:rsidRPr="00994FF4">
        <w:rPr>
          <w:rFonts w:ascii="Arial" w:eastAsia="Times New Roman" w:hAnsi="Arial" w:cs="Arial"/>
          <w:color w:val="333333"/>
          <w:kern w:val="0"/>
          <w:sz w:val="26"/>
          <w:szCs w:val="26"/>
          <w:lang w:eastAsia="es-UY"/>
          <w14:ligatures w14:val="none"/>
        </w:rPr>
        <w:t> (22).</w:t>
      </w:r>
    </w:p>
    <w:p w14:paraId="798143E9"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¿En qué consiste, entonces, esta renovación en la comprensión de la "naturaleza" de la Eucaristía? El análisis comienza con una observación histórica:</w:t>
      </w:r>
    </w:p>
    <w:p w14:paraId="6F174CEF"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i/>
          <w:iCs/>
          <w:color w:val="333333"/>
          <w:kern w:val="0"/>
          <w:sz w:val="26"/>
          <w:szCs w:val="26"/>
          <w:lang w:eastAsia="es-UY"/>
          <w14:ligatures w14:val="none"/>
        </w:rPr>
        <w:t>“En los últimos tres o cuatro siglos, de manera bastante unilateral, se ha enfatizado el hecho de que Dios mismo está presente en la hostia consagrada. […] Sin embargo, este no es el aspecto decisivo de este sacramento”</w:t>
      </w:r>
      <w:r w:rsidRPr="00994FF4">
        <w:rPr>
          <w:rFonts w:ascii="Arial" w:eastAsia="Times New Roman" w:hAnsi="Arial" w:cs="Arial"/>
          <w:color w:val="333333"/>
          <w:kern w:val="0"/>
          <w:sz w:val="26"/>
          <w:szCs w:val="26"/>
          <w:lang w:eastAsia="es-UY"/>
          <w14:ligatures w14:val="none"/>
        </w:rPr>
        <w:t> (22).</w:t>
      </w:r>
    </w:p>
    <w:p w14:paraId="6BEF6070"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xml:space="preserve">El desarrollo de custodias y sagrarios atestigua, solo a partir de finales de la Edad Media, la lectura </w:t>
      </w:r>
      <w:proofErr w:type="spellStart"/>
      <w:r w:rsidRPr="00994FF4">
        <w:rPr>
          <w:rFonts w:ascii="Arial" w:eastAsia="Times New Roman" w:hAnsi="Arial" w:cs="Arial"/>
          <w:color w:val="333333"/>
          <w:kern w:val="0"/>
          <w:sz w:val="26"/>
          <w:szCs w:val="26"/>
          <w:lang w:eastAsia="es-UY"/>
          <w14:ligatures w14:val="none"/>
        </w:rPr>
        <w:t>adorativa</w:t>
      </w:r>
      <w:proofErr w:type="spellEnd"/>
      <w:r w:rsidRPr="00994FF4">
        <w:rPr>
          <w:rFonts w:ascii="Arial" w:eastAsia="Times New Roman" w:hAnsi="Arial" w:cs="Arial"/>
          <w:color w:val="333333"/>
          <w:kern w:val="0"/>
          <w:sz w:val="26"/>
          <w:szCs w:val="26"/>
          <w:lang w:eastAsia="es-UY"/>
          <w14:ligatures w14:val="none"/>
        </w:rPr>
        <w:t xml:space="preserve"> del sacramento, mientras que la recepción de la comunión se convirtió en un acontecimiento cada vez más raro. Basándose en esto,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afirma: «...el conjunto no se correspondía del todo con el significado original de este sacramento» (23).</w:t>
      </w:r>
    </w:p>
    <w:p w14:paraId="59538D04"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Para corregir esta perspectiva, se propone un argumento "muy simple":</w:t>
      </w:r>
    </w:p>
    <w:p w14:paraId="7555B4AE"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i/>
          <w:iCs/>
          <w:color w:val="333333"/>
          <w:kern w:val="0"/>
          <w:sz w:val="26"/>
          <w:szCs w:val="26"/>
          <w:lang w:eastAsia="es-UY"/>
          <w14:ligatures w14:val="none"/>
        </w:rPr>
        <w:t xml:space="preserve">Si el Señor asocia su presencia con la figura del pan, el significado de tal procedimiento es absolutamente claro: incluso este pan santo no se hace principalmente para ser contemplado, sino para ser comido. Esto significa que no permaneció para ser adorado, sino sobre todo para ser recibido. Más que los tabernáculos de </w:t>
      </w:r>
      <w:proofErr w:type="gramStart"/>
      <w:r w:rsidRPr="00994FF4">
        <w:rPr>
          <w:rFonts w:ascii="Arial" w:eastAsia="Times New Roman" w:hAnsi="Arial" w:cs="Arial"/>
          <w:i/>
          <w:iCs/>
          <w:color w:val="333333"/>
          <w:kern w:val="0"/>
          <w:sz w:val="26"/>
          <w:szCs w:val="26"/>
          <w:lang w:eastAsia="es-UY"/>
          <w14:ligatures w14:val="none"/>
        </w:rPr>
        <w:t>piedra,</w:t>
      </w:r>
      <w:proofErr w:type="gramEnd"/>
      <w:r w:rsidRPr="00994FF4">
        <w:rPr>
          <w:rFonts w:ascii="Arial" w:eastAsia="Times New Roman" w:hAnsi="Arial" w:cs="Arial"/>
          <w:i/>
          <w:iCs/>
          <w:color w:val="333333"/>
          <w:kern w:val="0"/>
          <w:sz w:val="26"/>
          <w:szCs w:val="26"/>
          <w:lang w:eastAsia="es-UY"/>
          <w14:ligatures w14:val="none"/>
        </w:rPr>
        <w:t xml:space="preserve"> le interesan los </w:t>
      </w:r>
      <w:r w:rsidRPr="00994FF4">
        <w:rPr>
          <w:rFonts w:ascii="Arial" w:eastAsia="Times New Roman" w:hAnsi="Arial" w:cs="Arial"/>
          <w:b/>
          <w:bCs/>
          <w:i/>
          <w:iCs/>
          <w:color w:val="333333"/>
          <w:kern w:val="0"/>
          <w:sz w:val="26"/>
          <w:szCs w:val="26"/>
          <w:lang w:eastAsia="es-UY"/>
          <w14:ligatures w14:val="none"/>
        </w:rPr>
        <w:t>tabernáculos vivos</w:t>
      </w:r>
      <w:r w:rsidRPr="00994FF4">
        <w:rPr>
          <w:rFonts w:ascii="Arial" w:eastAsia="Times New Roman" w:hAnsi="Arial" w:cs="Arial"/>
          <w:color w:val="333333"/>
          <w:kern w:val="0"/>
          <w:sz w:val="26"/>
          <w:szCs w:val="26"/>
          <w:lang w:eastAsia="es-UY"/>
          <w14:ligatures w14:val="none"/>
        </w:rPr>
        <w:t> » (23).</w:t>
      </w:r>
    </w:p>
    <w:p w14:paraId="74017C6E"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Esta lectura tan clara culmina en la siguiente afirmación: “ </w:t>
      </w:r>
      <w:r w:rsidRPr="00994FF4">
        <w:rPr>
          <w:rFonts w:ascii="Arial" w:eastAsia="Times New Roman" w:hAnsi="Arial" w:cs="Arial"/>
          <w:i/>
          <w:iCs/>
          <w:color w:val="333333"/>
          <w:kern w:val="0"/>
          <w:sz w:val="26"/>
          <w:szCs w:val="26"/>
          <w:lang w:eastAsia="es-UY"/>
          <w14:ligatures w14:val="none"/>
        </w:rPr>
        <w:t>La Eucaristía culmina en </w:t>
      </w:r>
      <w:hyperlink r:id="rId10" w:tgtFrame="_blank" w:history="1">
        <w:r w:rsidRPr="00994FF4">
          <w:rPr>
            <w:rFonts w:ascii="Arial" w:eastAsia="Times New Roman" w:hAnsi="Arial" w:cs="Arial"/>
            <w:i/>
            <w:iCs/>
            <w:color w:val="FC6B01"/>
            <w:kern w:val="0"/>
            <w:sz w:val="26"/>
            <w:szCs w:val="26"/>
            <w:u w:val="single"/>
            <w:lang w:eastAsia="es-UY"/>
            <w14:ligatures w14:val="none"/>
          </w:rPr>
          <w:t>la Comunión</w:t>
        </w:r>
      </w:hyperlink>
      <w:r w:rsidRPr="00994FF4">
        <w:rPr>
          <w:rFonts w:ascii="Arial" w:eastAsia="Times New Roman" w:hAnsi="Arial" w:cs="Arial"/>
          <w:i/>
          <w:iCs/>
          <w:color w:val="333333"/>
          <w:kern w:val="0"/>
          <w:sz w:val="26"/>
          <w:szCs w:val="26"/>
          <w:lang w:eastAsia="es-UY"/>
          <w14:ligatures w14:val="none"/>
        </w:rPr>
        <w:t> , quiere ser recibida</w:t>
      </w:r>
      <w:r w:rsidRPr="00994FF4">
        <w:rPr>
          <w:rFonts w:ascii="Arial" w:eastAsia="Times New Roman" w:hAnsi="Arial" w:cs="Arial"/>
          <w:color w:val="333333"/>
          <w:kern w:val="0"/>
          <w:sz w:val="26"/>
          <w:szCs w:val="26"/>
          <w:lang w:eastAsia="es-UY"/>
          <w14:ligatures w14:val="none"/>
        </w:rPr>
        <w:t> ” (24).</w:t>
      </w:r>
    </w:p>
    <w:p w14:paraId="780F86A9"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A partir de este punto, claramente inspirado por la teología de los Padres (en particular Agustín),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xml:space="preserve"> desarrolla una reflexión teológica sobre la comunión tanto como relación entre Cristo y la Iglesia, como relación de </w:t>
      </w:r>
      <w:r w:rsidRPr="00994FF4">
        <w:rPr>
          <w:rFonts w:ascii="Arial" w:eastAsia="Times New Roman" w:hAnsi="Arial" w:cs="Arial"/>
          <w:color w:val="333333"/>
          <w:kern w:val="0"/>
          <w:sz w:val="26"/>
          <w:szCs w:val="26"/>
          <w:lang w:eastAsia="es-UY"/>
          <w14:ligatures w14:val="none"/>
        </w:rPr>
        <w:lastRenderedPageBreak/>
        <w:t>unidad y comunión entre los miembros de la Iglesia. La Iglesia convertida en el « </w:t>
      </w:r>
      <w:hyperlink r:id="rId11" w:tgtFrame="_blank" w:history="1">
        <w:r w:rsidRPr="00994FF4">
          <w:rPr>
            <w:rFonts w:ascii="Arial" w:eastAsia="Times New Roman" w:hAnsi="Arial" w:cs="Arial"/>
            <w:color w:val="FC6B01"/>
            <w:kern w:val="0"/>
            <w:sz w:val="26"/>
            <w:szCs w:val="26"/>
            <w:u w:val="single"/>
            <w:lang w:eastAsia="es-UY"/>
            <w14:ligatures w14:val="none"/>
          </w:rPr>
          <w:t>cuerpo de Cristo</w:t>
        </w:r>
      </w:hyperlink>
      <w:r w:rsidRPr="00994FF4">
        <w:rPr>
          <w:rFonts w:ascii="Arial" w:eastAsia="Times New Roman" w:hAnsi="Arial" w:cs="Arial"/>
          <w:color w:val="333333"/>
          <w:kern w:val="0"/>
          <w:sz w:val="26"/>
          <w:szCs w:val="26"/>
          <w:lang w:eastAsia="es-UY"/>
          <w14:ligatures w14:val="none"/>
        </w:rPr>
        <w:t> » es «el auténtico significado de la Sagrada Comunión» (25), que por lo tanto puede llamarse « </w:t>
      </w:r>
      <w:hyperlink r:id="rId12" w:tgtFrame="_blank" w:history="1">
        <w:r w:rsidRPr="00994FF4">
          <w:rPr>
            <w:rFonts w:ascii="Arial" w:eastAsia="Times New Roman" w:hAnsi="Arial" w:cs="Arial"/>
            <w:color w:val="FC6B01"/>
            <w:kern w:val="0"/>
            <w:sz w:val="26"/>
            <w:szCs w:val="26"/>
            <w:u w:val="single"/>
            <w:lang w:eastAsia="es-UY"/>
            <w14:ligatures w14:val="none"/>
          </w:rPr>
          <w:t>sacramento de la fraternidad cristiana</w:t>
        </w:r>
      </w:hyperlink>
      <w:r w:rsidRPr="00994FF4">
        <w:rPr>
          <w:rFonts w:ascii="Arial" w:eastAsia="Times New Roman" w:hAnsi="Arial" w:cs="Arial"/>
          <w:color w:val="333333"/>
          <w:kern w:val="0"/>
          <w:sz w:val="26"/>
          <w:szCs w:val="26"/>
          <w:lang w:eastAsia="es-UY"/>
          <w14:ligatures w14:val="none"/>
        </w:rPr>
        <w:t> » (25). En este pasaje, dedicado a la fraternidad, el joven Ratzinger inserta un desarrollo doble: primero, valora la dimensión «horizontal» de la Eucaristía, que integra la vertical. Segundo, evalúa, a la luz de esta fraternidad, una grave degeneración histórica:</w:t>
      </w:r>
    </w:p>
    <w:p w14:paraId="06AE0798" w14:textId="77777777" w:rsid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i/>
          <w:iCs/>
          <w:color w:val="333333"/>
          <w:kern w:val="0"/>
          <w:sz w:val="26"/>
          <w:szCs w:val="26"/>
          <w:lang w:eastAsia="es-UY"/>
          <w14:ligatures w14:val="none"/>
        </w:rPr>
        <w:t>En última instancia, el nacionalismo de los pueblos católicos es algo de lo que avergonzarse profundamente, lo que demuestra hasta qué punto se ha olvidado el auténtico sentido de Comunión</w:t>
      </w:r>
      <w:r w:rsidRPr="00994FF4">
        <w:rPr>
          <w:rFonts w:ascii="Arial" w:eastAsia="Times New Roman" w:hAnsi="Arial" w:cs="Arial"/>
          <w:color w:val="333333"/>
          <w:kern w:val="0"/>
          <w:sz w:val="26"/>
          <w:szCs w:val="26"/>
          <w:lang w:eastAsia="es-UY"/>
          <w14:ligatures w14:val="none"/>
        </w:rPr>
        <w:t> ” (25).</w:t>
      </w:r>
    </w:p>
    <w:p w14:paraId="56217FD6"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p>
    <w:p w14:paraId="5D6611FB" w14:textId="77777777" w:rsidR="00994FF4" w:rsidRPr="00994FF4" w:rsidRDefault="00994FF4" w:rsidP="00994FF4">
      <w:pPr>
        <w:spacing w:after="0" w:line="240" w:lineRule="auto"/>
        <w:jc w:val="both"/>
        <w:outlineLvl w:val="1"/>
        <w:rPr>
          <w:rFonts w:ascii="Arial" w:eastAsia="Times New Roman" w:hAnsi="Arial" w:cs="Arial"/>
          <w:b/>
          <w:bCs/>
          <w:color w:val="333333"/>
          <w:kern w:val="0"/>
          <w:sz w:val="36"/>
          <w:szCs w:val="36"/>
          <w:lang w:eastAsia="es-UY"/>
          <w14:ligatures w14:val="none"/>
        </w:rPr>
      </w:pPr>
      <w:r w:rsidRPr="00994FF4">
        <w:rPr>
          <w:rFonts w:ascii="Arial" w:eastAsia="Times New Roman" w:hAnsi="Arial" w:cs="Arial"/>
          <w:b/>
          <w:bCs/>
          <w:color w:val="333333"/>
          <w:kern w:val="0"/>
          <w:sz w:val="36"/>
          <w:szCs w:val="36"/>
          <w:lang w:eastAsia="es-UY"/>
          <w14:ligatures w14:val="none"/>
        </w:rPr>
        <w:t>Cómo cambian la celebración y la devoción</w:t>
      </w:r>
    </w:p>
    <w:p w14:paraId="2FCCBA21"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Esta visión teológica y eclesial del </w:t>
      </w:r>
      <w:r w:rsidRPr="00994FF4">
        <w:rPr>
          <w:rFonts w:ascii="Arial" w:eastAsia="Times New Roman" w:hAnsi="Arial" w:cs="Arial"/>
          <w:b/>
          <w:bCs/>
          <w:color w:val="333333"/>
          <w:kern w:val="0"/>
          <w:sz w:val="26"/>
          <w:szCs w:val="26"/>
          <w:lang w:eastAsia="es-UY"/>
          <w14:ligatures w14:val="none"/>
        </w:rPr>
        <w:t>sacramento</w:t>
      </w:r>
      <w:r w:rsidRPr="00994FF4">
        <w:rPr>
          <w:rFonts w:ascii="Arial" w:eastAsia="Times New Roman" w:hAnsi="Arial" w:cs="Arial"/>
          <w:color w:val="333333"/>
          <w:kern w:val="0"/>
          <w:sz w:val="26"/>
          <w:szCs w:val="26"/>
          <w:lang w:eastAsia="es-UY"/>
          <w14:ligatures w14:val="none"/>
        </w:rPr>
        <w:t> implica una serie de «aplicaciones» a la devoción eucarística, que el joven teólogo presenta con gran vehemencia. </w:t>
      </w:r>
      <w:r w:rsidRPr="00994FF4">
        <w:rPr>
          <w:rFonts w:ascii="Arial" w:eastAsia="Times New Roman" w:hAnsi="Arial" w:cs="Arial"/>
          <w:b/>
          <w:bCs/>
          <w:color w:val="333333"/>
          <w:kern w:val="0"/>
          <w:sz w:val="26"/>
          <w:szCs w:val="26"/>
          <w:lang w:eastAsia="es-UY"/>
          <w14:ligatures w14:val="none"/>
        </w:rPr>
        <w:t>Estas</w:t>
      </w:r>
      <w:r w:rsidRPr="00994FF4">
        <w:rPr>
          <w:rFonts w:ascii="Arial" w:eastAsia="Times New Roman" w:hAnsi="Arial" w:cs="Arial"/>
          <w:color w:val="333333"/>
          <w:kern w:val="0"/>
          <w:sz w:val="26"/>
          <w:szCs w:val="26"/>
          <w:lang w:eastAsia="es-UY"/>
          <w14:ligatures w14:val="none"/>
        </w:rPr>
        <w:t> conciernen tanto a la forma de celebrar la Misa como a la de recibir </w:t>
      </w:r>
      <w:r w:rsidRPr="00994FF4">
        <w:rPr>
          <w:rFonts w:ascii="Arial" w:eastAsia="Times New Roman" w:hAnsi="Arial" w:cs="Arial"/>
          <w:b/>
          <w:bCs/>
          <w:color w:val="333333"/>
          <w:kern w:val="0"/>
          <w:sz w:val="26"/>
          <w:szCs w:val="26"/>
          <w:lang w:eastAsia="es-UY"/>
          <w14:ligatures w14:val="none"/>
        </w:rPr>
        <w:t>la Comunión</w:t>
      </w:r>
      <w:r w:rsidRPr="00994FF4">
        <w:rPr>
          <w:rFonts w:ascii="Arial" w:eastAsia="Times New Roman" w:hAnsi="Arial" w:cs="Arial"/>
          <w:color w:val="333333"/>
          <w:kern w:val="0"/>
          <w:sz w:val="26"/>
          <w:szCs w:val="26"/>
          <w:lang w:eastAsia="es-UY"/>
          <w14:ligatures w14:val="none"/>
        </w:rPr>
        <w:t> . Obviamente, Ratzinger, hablando en 1961, se enfrenta a cualquier reforma inicial del </w:t>
      </w:r>
      <w:r w:rsidRPr="00994FF4">
        <w:rPr>
          <w:rFonts w:ascii="Arial" w:eastAsia="Times New Roman" w:hAnsi="Arial" w:cs="Arial"/>
          <w:b/>
          <w:bCs/>
          <w:i/>
          <w:iCs/>
          <w:color w:val="333333"/>
          <w:kern w:val="0"/>
          <w:sz w:val="26"/>
          <w:szCs w:val="26"/>
          <w:lang w:eastAsia="es-UY"/>
          <w14:ligatures w14:val="none"/>
        </w:rPr>
        <w:t xml:space="preserve">Ordo </w:t>
      </w:r>
      <w:proofErr w:type="spellStart"/>
      <w:r w:rsidRPr="00994FF4">
        <w:rPr>
          <w:rFonts w:ascii="Arial" w:eastAsia="Times New Roman" w:hAnsi="Arial" w:cs="Arial"/>
          <w:b/>
          <w:bCs/>
          <w:i/>
          <w:iCs/>
          <w:color w:val="333333"/>
          <w:kern w:val="0"/>
          <w:sz w:val="26"/>
          <w:szCs w:val="26"/>
          <w:lang w:eastAsia="es-UY"/>
          <w14:ligatures w14:val="none"/>
        </w:rPr>
        <w:t>Missae</w:t>
      </w:r>
      <w:proofErr w:type="spellEnd"/>
      <w:r w:rsidRPr="00994FF4">
        <w:rPr>
          <w:rFonts w:ascii="Arial" w:eastAsia="Times New Roman" w:hAnsi="Arial" w:cs="Arial"/>
          <w:color w:val="333333"/>
          <w:kern w:val="0"/>
          <w:sz w:val="26"/>
          <w:szCs w:val="26"/>
          <w:lang w:eastAsia="es-UY"/>
          <w14:ligatures w14:val="none"/>
        </w:rPr>
        <w:t> . Esto hace que su discurso de entonces sea aún más relevante. Examinemos sus aspectos más significativos:</w:t>
      </w:r>
    </w:p>
    <w:p w14:paraId="5C0D45B3"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b/>
          <w:bCs/>
          <w:color w:val="333333"/>
          <w:kern w:val="0"/>
          <w:sz w:val="26"/>
          <w:szCs w:val="26"/>
          <w:lang w:eastAsia="es-UY"/>
          <w14:ligatures w14:val="none"/>
        </w:rPr>
        <w:t>a) el carácter comunitario de la celebración</w:t>
      </w:r>
    </w:p>
    <w:p w14:paraId="0437C956"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i/>
          <w:iCs/>
          <w:color w:val="333333"/>
          <w:kern w:val="0"/>
          <w:sz w:val="26"/>
          <w:szCs w:val="26"/>
          <w:lang w:eastAsia="es-UY"/>
          <w14:ligatures w14:val="none"/>
        </w:rPr>
        <w:t>Por lo tanto, la Misa no puede convertirse razonablemente en un acto privado del sacerdote, que otros intenten seguir más o menos con la ayuda de sus folletos, cuando tal vez en ese momento no opten simplemente por rezar a su manera. La Misa, por el contrario, incluso en la forma en que se celebra, debe ser una celebración comunitaria</w:t>
      </w:r>
      <w:r w:rsidRPr="00994FF4">
        <w:rPr>
          <w:rFonts w:ascii="Arial" w:eastAsia="Times New Roman" w:hAnsi="Arial" w:cs="Arial"/>
          <w:color w:val="333333"/>
          <w:kern w:val="0"/>
          <w:sz w:val="26"/>
          <w:szCs w:val="26"/>
          <w:lang w:eastAsia="es-UY"/>
          <w14:ligatures w14:val="none"/>
        </w:rPr>
        <w:t> » (26).</w:t>
      </w:r>
    </w:p>
    <w:p w14:paraId="6B338B88"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b/>
          <w:bCs/>
          <w:color w:val="333333"/>
          <w:kern w:val="0"/>
          <w:sz w:val="26"/>
          <w:szCs w:val="26"/>
          <w:lang w:eastAsia="es-UY"/>
          <w14:ligatures w14:val="none"/>
        </w:rPr>
        <w:t>b) la naturaleza eclesial de la comunión</w:t>
      </w:r>
    </w:p>
    <w:p w14:paraId="337CCF73"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b/>
          <w:bCs/>
          <w:i/>
          <w:iCs/>
          <w:color w:val="333333"/>
          <w:kern w:val="0"/>
          <w:sz w:val="26"/>
          <w:szCs w:val="26"/>
          <w:lang w:eastAsia="es-UY"/>
          <w14:ligatures w14:val="none"/>
        </w:rPr>
        <w:t>La comunión sacramental</w:t>
      </w:r>
      <w:r w:rsidRPr="00994FF4">
        <w:rPr>
          <w:rFonts w:ascii="Arial" w:eastAsia="Times New Roman" w:hAnsi="Arial" w:cs="Arial"/>
          <w:i/>
          <w:iCs/>
          <w:color w:val="333333"/>
          <w:kern w:val="0"/>
          <w:sz w:val="26"/>
          <w:szCs w:val="26"/>
          <w:lang w:eastAsia="es-UY"/>
          <w14:ligatures w14:val="none"/>
        </w:rPr>
        <w:t> no puede considerarse simplemente como una oración privada donde el individuo se encuentra con su Dios… la comunión sacramental es más: es el sello de pertenencia mutua como cristianos… por esta razón es una parte esencial de la Santa Misa en la que celebramos nuestra unión como hermanos por medio de nuestro hermano </w:t>
      </w:r>
      <w:r w:rsidRPr="00994FF4">
        <w:rPr>
          <w:rFonts w:ascii="Arial" w:eastAsia="Times New Roman" w:hAnsi="Arial" w:cs="Arial"/>
          <w:b/>
          <w:bCs/>
          <w:i/>
          <w:iCs/>
          <w:color w:val="333333"/>
          <w:kern w:val="0"/>
          <w:sz w:val="26"/>
          <w:szCs w:val="26"/>
          <w:lang w:eastAsia="es-UY"/>
          <w14:ligatures w14:val="none"/>
        </w:rPr>
        <w:t>Jesucristo</w:t>
      </w:r>
      <w:r w:rsidRPr="00994FF4">
        <w:rPr>
          <w:rFonts w:ascii="Arial" w:eastAsia="Times New Roman" w:hAnsi="Arial" w:cs="Arial"/>
          <w:color w:val="333333"/>
          <w:kern w:val="0"/>
          <w:sz w:val="26"/>
          <w:szCs w:val="26"/>
          <w:lang w:eastAsia="es-UY"/>
          <w14:ligatures w14:val="none"/>
        </w:rPr>
        <w:t> ” (28).</w:t>
      </w:r>
    </w:p>
    <w:p w14:paraId="562F501C"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i/>
          <w:iCs/>
          <w:color w:val="333333"/>
          <w:kern w:val="0"/>
          <w:sz w:val="26"/>
          <w:szCs w:val="26"/>
          <w:lang w:eastAsia="es-UY"/>
          <w14:ligatures w14:val="none"/>
        </w:rPr>
        <w:t>En el transcurso de la renovación eucarística de las últimas décadas, la Comunión fue reintroducida en la Misa, de la que había sido suprimida abusivamente desde finales de la Edad Media. A menudo, incluso se llegó a considerar la distribución de la Comunión únicamente fuera de la Misa. De este modo, la Comunión se redujo a un acto de edificación privada, oscureciendo su gran significado, es decir, su participación en ese acontecimiento total que es la </w:t>
      </w:r>
      <w:r w:rsidRPr="00994FF4">
        <w:rPr>
          <w:rFonts w:ascii="Arial" w:eastAsia="Times New Roman" w:hAnsi="Arial" w:cs="Arial"/>
          <w:b/>
          <w:bCs/>
          <w:i/>
          <w:iCs/>
          <w:color w:val="333333"/>
          <w:kern w:val="0"/>
          <w:sz w:val="26"/>
          <w:szCs w:val="26"/>
          <w:lang w:eastAsia="es-UY"/>
          <w14:ligatures w14:val="none"/>
        </w:rPr>
        <w:t>Santa Misa</w:t>
      </w:r>
      <w:r w:rsidRPr="00994FF4">
        <w:rPr>
          <w:rFonts w:ascii="Arial" w:eastAsia="Times New Roman" w:hAnsi="Arial" w:cs="Arial"/>
          <w:i/>
          <w:iCs/>
          <w:color w:val="333333"/>
          <w:kern w:val="0"/>
          <w:sz w:val="26"/>
          <w:szCs w:val="26"/>
          <w:lang w:eastAsia="es-UY"/>
          <w14:ligatures w14:val="none"/>
        </w:rPr>
        <w:t> : el sello de la fraternidad entre Dios y los hombres y, por lo tanto, partiendo de Dios, entre los hombres; la inclusión de todos los hombres en el acontecimiento de la Cruz, para que el mundo entero sea entregado a Dios y así restituido a su auténtico sentido; la llamada de cada individuo a ser un tabernáculo vivo de Dios en el mundo</w:t>
      </w:r>
      <w:r w:rsidRPr="00994FF4">
        <w:rPr>
          <w:rFonts w:ascii="Arial" w:eastAsia="Times New Roman" w:hAnsi="Arial" w:cs="Arial"/>
          <w:color w:val="333333"/>
          <w:kern w:val="0"/>
          <w:sz w:val="26"/>
          <w:szCs w:val="26"/>
          <w:lang w:eastAsia="es-UY"/>
          <w14:ligatures w14:val="none"/>
        </w:rPr>
        <w:t> » (28).</w:t>
      </w:r>
    </w:p>
    <w:p w14:paraId="70211A23"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b/>
          <w:bCs/>
          <w:color w:val="333333"/>
          <w:kern w:val="0"/>
          <w:sz w:val="26"/>
          <w:szCs w:val="26"/>
          <w:lang w:eastAsia="es-UY"/>
          <w14:ligatures w14:val="none"/>
        </w:rPr>
        <w:t>c) la frecuencia de la comunión</w:t>
      </w:r>
    </w:p>
    <w:p w14:paraId="40F493FF"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lastRenderedPageBreak/>
        <w:t>La reconstrucción propuesta, a nivel teológico y eclesial, llega finalmente a una consideración de la «frecuencia», que revela el tiempo en que se escribió el texto. Comienza con la intuición de </w:t>
      </w:r>
      <w:r w:rsidRPr="00994FF4">
        <w:rPr>
          <w:rFonts w:ascii="Arial" w:eastAsia="Times New Roman" w:hAnsi="Arial" w:cs="Arial"/>
          <w:b/>
          <w:bCs/>
          <w:color w:val="333333"/>
          <w:kern w:val="0"/>
          <w:sz w:val="26"/>
          <w:szCs w:val="26"/>
          <w:lang w:eastAsia="es-UY"/>
          <w14:ligatures w14:val="none"/>
        </w:rPr>
        <w:t>Pío X</w:t>
      </w:r>
      <w:r w:rsidRPr="00994FF4">
        <w:rPr>
          <w:rFonts w:ascii="Arial" w:eastAsia="Times New Roman" w:hAnsi="Arial" w:cs="Arial"/>
          <w:color w:val="333333"/>
          <w:kern w:val="0"/>
          <w:sz w:val="26"/>
          <w:szCs w:val="26"/>
          <w:lang w:eastAsia="es-UY"/>
          <w14:ligatures w14:val="none"/>
        </w:rPr>
        <w:t> , de quien se repite que «La comunión no es una recompensa para los particularmente virtuosos... sino el </w:t>
      </w:r>
      <w:r w:rsidRPr="00994FF4">
        <w:rPr>
          <w:rFonts w:ascii="Arial" w:eastAsia="Times New Roman" w:hAnsi="Arial" w:cs="Arial"/>
          <w:b/>
          <w:bCs/>
          <w:color w:val="333333"/>
          <w:kern w:val="0"/>
          <w:sz w:val="26"/>
          <w:szCs w:val="26"/>
          <w:lang w:eastAsia="es-UY"/>
          <w14:ligatures w14:val="none"/>
        </w:rPr>
        <w:t>pan del peregrino</w:t>
      </w:r>
      <w:r w:rsidRPr="00994FF4">
        <w:rPr>
          <w:rFonts w:ascii="Arial" w:eastAsia="Times New Roman" w:hAnsi="Arial" w:cs="Arial"/>
          <w:color w:val="333333"/>
          <w:kern w:val="0"/>
          <w:sz w:val="26"/>
          <w:szCs w:val="26"/>
          <w:lang w:eastAsia="es-UY"/>
          <w14:ligatures w14:val="none"/>
        </w:rPr>
        <w:t> » (29); así, se esboza una relación continua con la comunión sacramental:</w:t>
      </w:r>
    </w:p>
    <w:p w14:paraId="01DE6B0B"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i/>
          <w:iCs/>
          <w:color w:val="333333"/>
          <w:kern w:val="0"/>
          <w:sz w:val="26"/>
          <w:szCs w:val="26"/>
          <w:lang w:eastAsia="es-UY"/>
          <w14:ligatures w14:val="none"/>
        </w:rPr>
        <w:t>Del hecho de que la Iglesia sea una comunidad eucarística… que ser cristiano consista simplemente en participar en el </w:t>
      </w:r>
      <w:r w:rsidRPr="00994FF4">
        <w:rPr>
          <w:rFonts w:ascii="Arial" w:eastAsia="Times New Roman" w:hAnsi="Arial" w:cs="Arial"/>
          <w:b/>
          <w:bCs/>
          <w:i/>
          <w:iCs/>
          <w:color w:val="333333"/>
          <w:kern w:val="0"/>
          <w:sz w:val="26"/>
          <w:szCs w:val="26"/>
          <w:lang w:eastAsia="es-UY"/>
          <w14:ligatures w14:val="none"/>
        </w:rPr>
        <w:t>Cuerpo del Señor</w:t>
      </w:r>
      <w:r w:rsidRPr="00994FF4">
        <w:rPr>
          <w:rFonts w:ascii="Arial" w:eastAsia="Times New Roman" w:hAnsi="Arial" w:cs="Arial"/>
          <w:i/>
          <w:iCs/>
          <w:color w:val="333333"/>
          <w:kern w:val="0"/>
          <w:sz w:val="26"/>
          <w:szCs w:val="26"/>
          <w:lang w:eastAsia="es-UY"/>
          <w14:ligatures w14:val="none"/>
        </w:rPr>
        <w:t> (circunstancia de la que se deriva todo lo demás), se deduce también de este hecho la norma para la frecuencia de </w:t>
      </w:r>
      <w:r w:rsidRPr="00994FF4">
        <w:rPr>
          <w:rFonts w:ascii="Arial" w:eastAsia="Times New Roman" w:hAnsi="Arial" w:cs="Arial"/>
          <w:b/>
          <w:bCs/>
          <w:i/>
          <w:iCs/>
          <w:color w:val="333333"/>
          <w:kern w:val="0"/>
          <w:sz w:val="26"/>
          <w:szCs w:val="26"/>
          <w:lang w:eastAsia="es-UY"/>
          <w14:ligatures w14:val="none"/>
        </w:rPr>
        <w:t>la Comunión</w:t>
      </w:r>
      <w:r w:rsidRPr="00994FF4">
        <w:rPr>
          <w:rFonts w:ascii="Arial" w:eastAsia="Times New Roman" w:hAnsi="Arial" w:cs="Arial"/>
          <w:i/>
          <w:iCs/>
          <w:color w:val="333333"/>
          <w:kern w:val="0"/>
          <w:sz w:val="26"/>
          <w:szCs w:val="26"/>
          <w:lang w:eastAsia="es-UY"/>
          <w14:ligatures w14:val="none"/>
        </w:rPr>
        <w:t> : para la persona que trabaja –y que, por consiguiente, difícilmente puede recibir la Comunión diariamente– la Comunión dominical debe ser la norma, mientras que la Confesión, según la disposición, puede ser suficiente para practicarla mensualmente o trimestralmente</w:t>
      </w:r>
      <w:r w:rsidRPr="00994FF4">
        <w:rPr>
          <w:rFonts w:ascii="Arial" w:eastAsia="Times New Roman" w:hAnsi="Arial" w:cs="Arial"/>
          <w:color w:val="333333"/>
          <w:kern w:val="0"/>
          <w:sz w:val="26"/>
          <w:szCs w:val="26"/>
          <w:lang w:eastAsia="es-UY"/>
          <w14:ligatures w14:val="none"/>
        </w:rPr>
        <w:t> ” (29).</w:t>
      </w:r>
    </w:p>
    <w:p w14:paraId="4CBD2A76"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Esta reconstrucción, típica de la década de 1960, revela, sin embargo, una valiente referencia a una reconstrucción diferente de la relación del cristiano con el pecado mortal:</w:t>
      </w:r>
    </w:p>
    <w:p w14:paraId="1012C3D2"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i/>
          <w:iCs/>
          <w:color w:val="333333"/>
          <w:kern w:val="0"/>
          <w:sz w:val="26"/>
          <w:szCs w:val="26"/>
          <w:lang w:eastAsia="es-UY"/>
          <w14:ligatures w14:val="none"/>
        </w:rPr>
        <w:t>Creo que aquí deberíamos mostrar más valentía y más fe. Todo nuestro cristianismo podría cambiar un poco de cara si volviera a ser evidente que ser cristiano y ser 'comulgante' es lo mismo e idéntico</w:t>
      </w:r>
      <w:r w:rsidRPr="00994FF4">
        <w:rPr>
          <w:rFonts w:ascii="Arial" w:eastAsia="Times New Roman" w:hAnsi="Arial" w:cs="Arial"/>
          <w:color w:val="333333"/>
          <w:kern w:val="0"/>
          <w:sz w:val="26"/>
          <w:szCs w:val="26"/>
          <w:lang w:eastAsia="es-UY"/>
          <w14:ligatures w14:val="none"/>
        </w:rPr>
        <w:t> ” (30).</w:t>
      </w:r>
    </w:p>
    <w:p w14:paraId="3AEEF654"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Una extensión de la perspectiva a los sacramentos en general.</w:t>
      </w:r>
    </w:p>
    <w:p w14:paraId="7C6CC057"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Antes de concluir su texto,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extiende su razonamiento a toda la estructura de la experiencia sacramental. Aquí encontramos, anticipando, los temas que, años más tarde, caracterizarían una de las primeras publicaciones dedicadas a los sacramentos ( </w:t>
      </w:r>
      <w:r w:rsidRPr="00994FF4">
        <w:rPr>
          <w:rFonts w:ascii="Arial" w:eastAsia="Times New Roman" w:hAnsi="Arial" w:cs="Arial"/>
          <w:b/>
          <w:bCs/>
          <w:color w:val="333333"/>
          <w:kern w:val="0"/>
          <w:sz w:val="26"/>
          <w:szCs w:val="26"/>
          <w:lang w:eastAsia="es-UY"/>
          <w14:ligatures w14:val="none"/>
        </w:rPr>
        <w:t>El fundamento simbólico de la experiencia sacramental</w:t>
      </w:r>
      <w:r w:rsidRPr="00994FF4">
        <w:rPr>
          <w:rFonts w:ascii="Arial" w:eastAsia="Times New Roman" w:hAnsi="Arial" w:cs="Arial"/>
          <w:color w:val="333333"/>
          <w:kern w:val="0"/>
          <w:sz w:val="26"/>
          <w:szCs w:val="26"/>
          <w:lang w:eastAsia="es-UY"/>
          <w14:ligatures w14:val="none"/>
        </w:rPr>
        <w:t> ), aquí, sin embargo, más íntimamente vinculados al tema de la « </w:t>
      </w:r>
      <w:hyperlink r:id="rId13" w:tgtFrame="_blank" w:history="1">
        <w:r w:rsidRPr="00994FF4">
          <w:rPr>
            <w:rFonts w:ascii="Arial" w:eastAsia="Times New Roman" w:hAnsi="Arial" w:cs="Arial"/>
            <w:color w:val="FC6B01"/>
            <w:kern w:val="0"/>
            <w:sz w:val="26"/>
            <w:szCs w:val="26"/>
            <w:u w:val="single"/>
            <w:lang w:eastAsia="es-UY"/>
            <w14:ligatures w14:val="none"/>
          </w:rPr>
          <w:t>fraternidad</w:t>
        </w:r>
      </w:hyperlink>
      <w:r w:rsidRPr="00994FF4">
        <w:rPr>
          <w:rFonts w:ascii="Arial" w:eastAsia="Times New Roman" w:hAnsi="Arial" w:cs="Arial"/>
          <w:color w:val="333333"/>
          <w:kern w:val="0"/>
          <w:sz w:val="26"/>
          <w:szCs w:val="26"/>
          <w:lang w:eastAsia="es-UY"/>
          <w14:ligatures w14:val="none"/>
        </w:rPr>
        <w:t> », que fue una de las primeras reflexiones del teólogo. Esto permite a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concluir con una cita de la </w:t>
      </w:r>
      <w:proofErr w:type="spellStart"/>
      <w:r w:rsidRPr="00994FF4">
        <w:rPr>
          <w:rFonts w:ascii="Arial" w:eastAsia="Times New Roman" w:hAnsi="Arial" w:cs="Arial"/>
          <w:i/>
          <w:iCs/>
          <w:color w:val="333333"/>
          <w:kern w:val="0"/>
          <w:sz w:val="26"/>
          <w:szCs w:val="26"/>
          <w:lang w:eastAsia="es-UY"/>
          <w14:ligatures w14:val="none"/>
        </w:rPr>
        <w:t>Didaché</w:t>
      </w:r>
      <w:proofErr w:type="spellEnd"/>
      <w:r w:rsidRPr="00994FF4">
        <w:rPr>
          <w:rFonts w:ascii="Arial" w:eastAsia="Times New Roman" w:hAnsi="Arial" w:cs="Arial"/>
          <w:i/>
          <w:iCs/>
          <w:color w:val="333333"/>
          <w:kern w:val="0"/>
          <w:sz w:val="26"/>
          <w:szCs w:val="26"/>
          <w:lang w:eastAsia="es-UY"/>
          <w14:ligatures w14:val="none"/>
        </w:rPr>
        <w:t>,</w:t>
      </w:r>
      <w:r w:rsidRPr="00994FF4">
        <w:rPr>
          <w:rFonts w:ascii="Arial" w:eastAsia="Times New Roman" w:hAnsi="Arial" w:cs="Arial"/>
          <w:color w:val="333333"/>
          <w:kern w:val="0"/>
          <w:sz w:val="26"/>
          <w:szCs w:val="26"/>
          <w:lang w:eastAsia="es-UY"/>
          <w14:ligatures w14:val="none"/>
        </w:rPr>
        <w:t> a la que añade su afirmación final:</w:t>
      </w:r>
    </w:p>
    <w:p w14:paraId="731BC2E9"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 </w:t>
      </w:r>
      <w:r w:rsidRPr="00994FF4">
        <w:rPr>
          <w:rFonts w:ascii="Arial" w:eastAsia="Times New Roman" w:hAnsi="Arial" w:cs="Arial"/>
          <w:i/>
          <w:iCs/>
          <w:color w:val="333333"/>
          <w:kern w:val="0"/>
          <w:sz w:val="26"/>
          <w:szCs w:val="26"/>
          <w:lang w:eastAsia="es-UY"/>
          <w14:ligatures w14:val="none"/>
        </w:rPr>
        <w:t>Este es precisamente el significado más profundo de la Eucaristía: que la humanidad dispersa y desgarrada pueda ser reunida en la unidad del único Señor Jesucristo, que es el único que es su verdadera vida</w:t>
      </w:r>
      <w:r w:rsidRPr="00994FF4">
        <w:rPr>
          <w:rFonts w:ascii="Arial" w:eastAsia="Times New Roman" w:hAnsi="Arial" w:cs="Arial"/>
          <w:color w:val="333333"/>
          <w:kern w:val="0"/>
          <w:sz w:val="26"/>
          <w:szCs w:val="26"/>
          <w:lang w:eastAsia="es-UY"/>
          <w14:ligatures w14:val="none"/>
        </w:rPr>
        <w:t> ” (32).</w:t>
      </w:r>
    </w:p>
    <w:p w14:paraId="0B1167D9" w14:textId="77777777" w:rsidR="00994FF4" w:rsidRPr="00994FF4" w:rsidRDefault="00994FF4" w:rsidP="00994FF4">
      <w:pPr>
        <w:spacing w:after="0" w:line="240" w:lineRule="auto"/>
        <w:jc w:val="both"/>
        <w:rPr>
          <w:rFonts w:ascii="Arial" w:eastAsia="Times New Roman" w:hAnsi="Arial" w:cs="Arial"/>
          <w:color w:val="333333"/>
          <w:kern w:val="0"/>
          <w:sz w:val="26"/>
          <w:szCs w:val="26"/>
          <w:lang w:eastAsia="es-UY"/>
          <w14:ligatures w14:val="none"/>
        </w:rPr>
      </w:pPr>
      <w:r w:rsidRPr="00994FF4">
        <w:rPr>
          <w:rFonts w:ascii="Arial" w:eastAsia="Times New Roman" w:hAnsi="Arial" w:cs="Arial"/>
          <w:color w:val="333333"/>
          <w:kern w:val="0"/>
          <w:sz w:val="26"/>
          <w:szCs w:val="26"/>
          <w:lang w:eastAsia="es-UY"/>
          <w14:ligatures w14:val="none"/>
        </w:rPr>
        <w:t>Para </w:t>
      </w:r>
      <w:r w:rsidRPr="00994FF4">
        <w:rPr>
          <w:rFonts w:ascii="Arial" w:eastAsia="Times New Roman" w:hAnsi="Arial" w:cs="Arial"/>
          <w:b/>
          <w:bCs/>
          <w:color w:val="333333"/>
          <w:kern w:val="0"/>
          <w:sz w:val="26"/>
          <w:szCs w:val="26"/>
          <w:lang w:eastAsia="es-UY"/>
          <w14:ligatures w14:val="none"/>
        </w:rPr>
        <w:t>Ratzinger</w:t>
      </w:r>
      <w:r w:rsidRPr="00994FF4">
        <w:rPr>
          <w:rFonts w:ascii="Arial" w:eastAsia="Times New Roman" w:hAnsi="Arial" w:cs="Arial"/>
          <w:color w:val="333333"/>
          <w:kern w:val="0"/>
          <w:sz w:val="26"/>
          <w:szCs w:val="26"/>
          <w:lang w:eastAsia="es-UY"/>
          <w14:ligatures w14:val="none"/>
        </w:rPr>
        <w:t> , que entonces tenía 34 años en 1961, esta labor de profundizar en el significado de la </w:t>
      </w:r>
      <w:r w:rsidRPr="00994FF4">
        <w:rPr>
          <w:rFonts w:ascii="Arial" w:eastAsia="Times New Roman" w:hAnsi="Arial" w:cs="Arial"/>
          <w:b/>
          <w:bCs/>
          <w:color w:val="333333"/>
          <w:kern w:val="0"/>
          <w:sz w:val="26"/>
          <w:szCs w:val="26"/>
          <w:lang w:eastAsia="es-UY"/>
          <w14:ligatures w14:val="none"/>
        </w:rPr>
        <w:t>Eucaristía</w:t>
      </w:r>
      <w:r w:rsidRPr="00994FF4">
        <w:rPr>
          <w:rFonts w:ascii="Arial" w:eastAsia="Times New Roman" w:hAnsi="Arial" w:cs="Arial"/>
          <w:color w:val="333333"/>
          <w:kern w:val="0"/>
          <w:sz w:val="26"/>
          <w:szCs w:val="26"/>
          <w:lang w:eastAsia="es-UY"/>
          <w14:ligatures w14:val="none"/>
        </w:rPr>
        <w:t> tenía inevitables consecuencias litúrgicas y sacramentales, que exigían una clara renovación de las categorías teológicas y la práctica eclesial. Sesenta y cinco años después, estas ideas juveniles del teólogo bávaro encuentran un nuevo impulso y motivación.</w:t>
      </w:r>
    </w:p>
    <w:p w14:paraId="74C788FA" w14:textId="77777777" w:rsidR="00926044" w:rsidRDefault="00926044"/>
    <w:p w14:paraId="421B53A7" w14:textId="7AB8E6F9" w:rsidR="00994FF4" w:rsidRDefault="00994FF4">
      <w:hyperlink r:id="rId14" w:history="1">
        <w:r w:rsidRPr="008338E6">
          <w:rPr>
            <w:rStyle w:val="Hipervnculo"/>
          </w:rPr>
          <w:t>https://www.ihu.unisinos.br/662864-novas-meditacoes-sobre-a-teologia-eucaristica-7-a-teologia-eucaristica-do-ratzinger-primitivo-dois-textos-esquecidos-artigo-de-andrea-grillo</w:t>
        </w:r>
      </w:hyperlink>
    </w:p>
    <w:p w14:paraId="3CE06B5C" w14:textId="77777777" w:rsidR="00994FF4" w:rsidRDefault="00994FF4"/>
    <w:sectPr w:rsidR="00994F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FF4"/>
    <w:rsid w:val="00926044"/>
    <w:rsid w:val="00994FF4"/>
    <w:rsid w:val="00DE17AC"/>
    <w:rsid w:val="00F03F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9B0AF"/>
  <w15:chartTrackingRefBased/>
  <w15:docId w15:val="{943CB115-C630-4DCC-BAC1-19999DCC4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4F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94F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94F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94F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94F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94F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4F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4F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4F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4F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94F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94F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94F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94F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94F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4F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4F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4FF4"/>
    <w:rPr>
      <w:rFonts w:eastAsiaTheme="majorEastAsia" w:cstheme="majorBidi"/>
      <w:color w:val="272727" w:themeColor="text1" w:themeTint="D8"/>
    </w:rPr>
  </w:style>
  <w:style w:type="paragraph" w:styleId="Ttulo">
    <w:name w:val="Title"/>
    <w:basedOn w:val="Normal"/>
    <w:next w:val="Normal"/>
    <w:link w:val="TtuloCar"/>
    <w:uiPriority w:val="10"/>
    <w:qFormat/>
    <w:rsid w:val="00994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4F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4F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4F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4FF4"/>
    <w:pPr>
      <w:spacing w:before="160"/>
      <w:jc w:val="center"/>
    </w:pPr>
    <w:rPr>
      <w:i/>
      <w:iCs/>
      <w:color w:val="404040" w:themeColor="text1" w:themeTint="BF"/>
    </w:rPr>
  </w:style>
  <w:style w:type="character" w:customStyle="1" w:styleId="CitaCar">
    <w:name w:val="Cita Car"/>
    <w:basedOn w:val="Fuentedeprrafopredeter"/>
    <w:link w:val="Cita"/>
    <w:uiPriority w:val="29"/>
    <w:rsid w:val="00994FF4"/>
    <w:rPr>
      <w:i/>
      <w:iCs/>
      <w:color w:val="404040" w:themeColor="text1" w:themeTint="BF"/>
    </w:rPr>
  </w:style>
  <w:style w:type="paragraph" w:styleId="Prrafodelista">
    <w:name w:val="List Paragraph"/>
    <w:basedOn w:val="Normal"/>
    <w:uiPriority w:val="34"/>
    <w:qFormat/>
    <w:rsid w:val="00994FF4"/>
    <w:pPr>
      <w:ind w:left="720"/>
      <w:contextualSpacing/>
    </w:pPr>
  </w:style>
  <w:style w:type="character" w:styleId="nfasisintenso">
    <w:name w:val="Intense Emphasis"/>
    <w:basedOn w:val="Fuentedeprrafopredeter"/>
    <w:uiPriority w:val="21"/>
    <w:qFormat/>
    <w:rsid w:val="00994FF4"/>
    <w:rPr>
      <w:i/>
      <w:iCs/>
      <w:color w:val="0F4761" w:themeColor="accent1" w:themeShade="BF"/>
    </w:rPr>
  </w:style>
  <w:style w:type="paragraph" w:styleId="Citadestacada">
    <w:name w:val="Intense Quote"/>
    <w:basedOn w:val="Normal"/>
    <w:next w:val="Normal"/>
    <w:link w:val="CitadestacadaCar"/>
    <w:uiPriority w:val="30"/>
    <w:qFormat/>
    <w:rsid w:val="00994F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94FF4"/>
    <w:rPr>
      <w:i/>
      <w:iCs/>
      <w:color w:val="0F4761" w:themeColor="accent1" w:themeShade="BF"/>
    </w:rPr>
  </w:style>
  <w:style w:type="character" w:styleId="Referenciaintensa">
    <w:name w:val="Intense Reference"/>
    <w:basedOn w:val="Fuentedeprrafopredeter"/>
    <w:uiPriority w:val="32"/>
    <w:qFormat/>
    <w:rsid w:val="00994FF4"/>
    <w:rPr>
      <w:b/>
      <w:bCs/>
      <w:smallCaps/>
      <w:color w:val="0F4761" w:themeColor="accent1" w:themeShade="BF"/>
      <w:spacing w:val="5"/>
    </w:rPr>
  </w:style>
  <w:style w:type="character" w:styleId="Hipervnculo">
    <w:name w:val="Hyperlink"/>
    <w:basedOn w:val="Fuentedeprrafopredeter"/>
    <w:uiPriority w:val="99"/>
    <w:unhideWhenUsed/>
    <w:rsid w:val="00994FF4"/>
    <w:rPr>
      <w:color w:val="467886" w:themeColor="hyperlink"/>
      <w:u w:val="single"/>
    </w:rPr>
  </w:style>
  <w:style w:type="character" w:styleId="Mencinsinresolver">
    <w:name w:val="Unresolved Mention"/>
    <w:basedOn w:val="Fuentedeprrafopredeter"/>
    <w:uiPriority w:val="99"/>
    <w:semiHidden/>
    <w:unhideWhenUsed/>
    <w:rsid w:val="00994F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8761-novas-meditacoes-sobre-teologia-eucaristica-1-mal-entendidos-sobre-a-substancia-em-12-teses-artigo-de-andrea-grillo" TargetMode="External"/><Relationship Id="rId13" Type="http://schemas.openxmlformats.org/officeDocument/2006/relationships/hyperlink" Target="https://ihu.unisinos.br/categorias/629511-o-verdadeiro-sentido-da-fraternidade-e-o-unico-caminho-para-a-paz-e-para-salvar-o-meio-ambiente-entrevista-com-mauro-gambetti" TargetMode="External"/><Relationship Id="rId3" Type="http://schemas.openxmlformats.org/officeDocument/2006/relationships/webSettings" Target="webSettings.xml"/><Relationship Id="rId7" Type="http://schemas.openxmlformats.org/officeDocument/2006/relationships/hyperlink" Target="https://ihu.unisinos.br/categorias/631073-um-impressionante-manual-sobre-o-concilio-vaticano-ii" TargetMode="External"/><Relationship Id="rId12" Type="http://schemas.openxmlformats.org/officeDocument/2006/relationships/hyperlink" Target="https://www.ihu.unisinos.br/categorias/602912-a-fraternidade-como-sacramento"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hu.unisinos.br/categorias/646318-eu-progressista-para-abrir-as-portas-da-igreja-entrevista-com-joseph-ratzinger" TargetMode="External"/><Relationship Id="rId11" Type="http://schemas.openxmlformats.org/officeDocument/2006/relationships/hyperlink" Target="https://www.ihu.unisinos.br/categorias/42-comentario-do-evangelho/590151-corpo-do-cristo-corpo-humano" TargetMode="External"/><Relationship Id="rId5" Type="http://schemas.openxmlformats.org/officeDocument/2006/relationships/hyperlink" Target="https://ihu.unisinos.br/categorias/640494-a-tradicao-da-igreja-nao-e-passado-mas-futuro-entrevista-com-andrea-grillo" TargetMode="External"/><Relationship Id="rId15" Type="http://schemas.openxmlformats.org/officeDocument/2006/relationships/fontTable" Target="fontTable.xml"/><Relationship Id="rId10" Type="http://schemas.openxmlformats.org/officeDocument/2006/relationships/hyperlink" Target="https://www.ihu.unisinos.br/642365-comungando-com-jesus-artigo-de-jose-antonio-pagola" TargetMode="External"/><Relationship Id="rId4" Type="http://schemas.openxmlformats.org/officeDocument/2006/relationships/image" Target="media/image1.png"/><Relationship Id="rId9" Type="http://schemas.openxmlformats.org/officeDocument/2006/relationships/hyperlink" Target="https://ihu.unisinos.br/categorias/661639-pio-x-e-a-participacao-ativa-a-diferenca-sagrada-entre-celebrar-e-presidir-artigo-de-andrea-grillo" TargetMode="External"/><Relationship Id="rId14" Type="http://schemas.openxmlformats.org/officeDocument/2006/relationships/hyperlink" Target="https://www.ihu.unisinos.br/662864-novas-meditacoes-sobre-a-teologia-eucaristica-7-a-teologia-eucaristica-do-ratzinger-primitivo-dois-textos-esquecidos-artigo-de-andrea-gril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1905</Words>
  <Characters>10482</Characters>
  <Application>Microsoft Office Word</Application>
  <DocSecurity>0</DocSecurity>
  <Lines>87</Lines>
  <Paragraphs>24</Paragraphs>
  <ScaleCrop>false</ScaleCrop>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2026-03-16T13:34:00Z</dcterms:created>
  <dcterms:modified xsi:type="dcterms:W3CDTF">2026-03-16T13:36:00Z</dcterms:modified>
</cp:coreProperties>
</file>