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F1F57" w14:textId="6C3ED7ED"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drawing>
          <wp:inline distT="0" distB="0" distL="0" distR="0" wp14:anchorId="41EE8F7E" wp14:editId="7AFD2849">
            <wp:extent cx="5400040" cy="2209800"/>
            <wp:effectExtent l="0" t="0" r="0" b="0"/>
            <wp:docPr id="15296323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32392" name=""/>
                    <pic:cNvPicPr/>
                  </pic:nvPicPr>
                  <pic:blipFill>
                    <a:blip r:embed="rId4"/>
                    <a:stretch>
                      <a:fillRect/>
                    </a:stretch>
                  </pic:blipFill>
                  <pic:spPr>
                    <a:xfrm>
                      <a:off x="0" y="0"/>
                      <a:ext cx="5400040" cy="2209800"/>
                    </a:xfrm>
                    <a:prstGeom prst="rect">
                      <a:avLst/>
                    </a:prstGeom>
                  </pic:spPr>
                </pic:pic>
              </a:graphicData>
            </a:graphic>
          </wp:inline>
        </w:drawing>
      </w:r>
    </w:p>
    <w:p w14:paraId="4DF857DA"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03A255E2" w14:textId="5CFF6CA8"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Las guerras de </w:t>
      </w:r>
      <w:r w:rsidRPr="00422B5F">
        <w:rPr>
          <w:rFonts w:ascii="Arial" w:eastAsia="Times New Roman" w:hAnsi="Arial" w:cs="Arial"/>
          <w:b/>
          <w:bCs/>
          <w:color w:val="333333"/>
          <w:kern w:val="0"/>
          <w:sz w:val="24"/>
          <w:szCs w:val="24"/>
          <w:lang w:eastAsia="es-UY"/>
          <w14:ligatures w14:val="none"/>
        </w:rPr>
        <w:t>Trump</w:t>
      </w:r>
      <w:r w:rsidRPr="00422B5F">
        <w:rPr>
          <w:rFonts w:ascii="Arial" w:eastAsia="Times New Roman" w:hAnsi="Arial" w:cs="Arial"/>
          <w:color w:val="333333"/>
          <w:kern w:val="0"/>
          <w:sz w:val="24"/>
          <w:szCs w:val="24"/>
          <w:lang w:eastAsia="es-UY"/>
          <w14:ligatures w14:val="none"/>
        </w:rPr>
        <w:t> : Para el presidente "emérito" de la Conferencia de Obispos Católicos de Estados Unidos, la violación del derecho internacional es un acto éticamente ilícito que puede ser desobedecido. El </w:t>
      </w:r>
      <w:r w:rsidRPr="00422B5F">
        <w:rPr>
          <w:rFonts w:ascii="Arial" w:eastAsia="Times New Roman" w:hAnsi="Arial" w:cs="Arial"/>
          <w:b/>
          <w:bCs/>
          <w:color w:val="333333"/>
          <w:kern w:val="0"/>
          <w:sz w:val="24"/>
          <w:szCs w:val="24"/>
          <w:lang w:eastAsia="es-UY"/>
          <w14:ligatures w14:val="none"/>
        </w:rPr>
        <w:t>Papa</w:t>
      </w:r>
      <w:r w:rsidRPr="00422B5F">
        <w:rPr>
          <w:rFonts w:ascii="Arial" w:eastAsia="Times New Roman" w:hAnsi="Arial" w:cs="Arial"/>
          <w:color w:val="333333"/>
          <w:kern w:val="0"/>
          <w:sz w:val="24"/>
          <w:szCs w:val="24"/>
          <w:lang w:eastAsia="es-UY"/>
          <w14:ligatures w14:val="none"/>
        </w:rPr>
        <w:t> insiste en la no violencia.</w:t>
      </w:r>
    </w:p>
    <w:p w14:paraId="34E14BE2"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05C57248" w14:textId="77777777" w:rsidR="00422B5F" w:rsidRDefault="00422B5F" w:rsidP="00422B5F">
      <w:pPr>
        <w:spacing w:after="0" w:line="240" w:lineRule="auto"/>
        <w:jc w:val="both"/>
        <w:rPr>
          <w:rFonts w:ascii="Arial" w:eastAsia="Times New Roman" w:hAnsi="Arial" w:cs="Arial"/>
          <w:b/>
          <w:bCs/>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El artículo es de </w:t>
      </w:r>
      <w:hyperlink r:id="rId5" w:tgtFrame="_blank" w:history="1">
        <w:r w:rsidRPr="00422B5F">
          <w:rPr>
            <w:rFonts w:ascii="Arial" w:eastAsia="Times New Roman" w:hAnsi="Arial" w:cs="Arial"/>
            <w:color w:val="FC6B01"/>
            <w:kern w:val="0"/>
            <w:sz w:val="24"/>
            <w:szCs w:val="24"/>
            <w:u w:val="single"/>
            <w:lang w:eastAsia="es-UY"/>
            <w14:ligatures w14:val="none"/>
          </w:rPr>
          <w:t>Daniele Menozzi</w:t>
        </w:r>
      </w:hyperlink>
      <w:r w:rsidRPr="00422B5F">
        <w:rPr>
          <w:rFonts w:ascii="Arial" w:eastAsia="Times New Roman" w:hAnsi="Arial" w:cs="Arial"/>
          <w:color w:val="333333"/>
          <w:kern w:val="0"/>
          <w:sz w:val="24"/>
          <w:szCs w:val="24"/>
          <w:lang w:eastAsia="es-UY"/>
          <w14:ligatures w14:val="none"/>
        </w:rPr>
        <w:t xml:space="preserve"> , historiador del cristianismo y profesor emérito de la </w:t>
      </w:r>
      <w:proofErr w:type="spellStart"/>
      <w:r w:rsidRPr="00422B5F">
        <w:rPr>
          <w:rFonts w:ascii="Arial" w:eastAsia="Times New Roman" w:hAnsi="Arial" w:cs="Arial"/>
          <w:color w:val="333333"/>
          <w:kern w:val="0"/>
          <w:sz w:val="24"/>
          <w:szCs w:val="24"/>
          <w:lang w:eastAsia="es-UY"/>
          <w14:ligatures w14:val="none"/>
        </w:rPr>
        <w:t>Normale</w:t>
      </w:r>
      <w:proofErr w:type="spellEnd"/>
      <w:r w:rsidRPr="00422B5F">
        <w:rPr>
          <w:rFonts w:ascii="Arial" w:eastAsia="Times New Roman" w:hAnsi="Arial" w:cs="Arial"/>
          <w:color w:val="333333"/>
          <w:kern w:val="0"/>
          <w:sz w:val="24"/>
          <w:szCs w:val="24"/>
          <w:lang w:eastAsia="es-UY"/>
          <w14:ligatures w14:val="none"/>
        </w:rPr>
        <w:t xml:space="preserve"> di Pisa, y fue publicado por  </w:t>
      </w:r>
      <w:hyperlink r:id="rId6" w:history="1">
        <w:r w:rsidRPr="00422B5F">
          <w:rPr>
            <w:rFonts w:ascii="Arial" w:eastAsia="Times New Roman" w:hAnsi="Arial" w:cs="Arial"/>
            <w:color w:val="FC6B01"/>
            <w:kern w:val="0"/>
            <w:sz w:val="24"/>
            <w:szCs w:val="24"/>
            <w:u w:val="single"/>
            <w:lang w:eastAsia="es-UY"/>
            <w14:ligatures w14:val="none"/>
          </w:rPr>
          <w:t>Prima Loro</w:t>
        </w:r>
      </w:hyperlink>
      <w:r w:rsidRPr="00422B5F">
        <w:rPr>
          <w:rFonts w:ascii="Arial" w:eastAsia="Times New Roman" w:hAnsi="Arial" w:cs="Arial"/>
          <w:color w:val="333333"/>
          <w:kern w:val="0"/>
          <w:sz w:val="24"/>
          <w:szCs w:val="24"/>
          <w:lang w:eastAsia="es-UY"/>
          <w14:ligatures w14:val="none"/>
        </w:rPr>
        <w:t> el 18 de marzo de 2026. La traducción es de  </w:t>
      </w:r>
      <w:r w:rsidRPr="00422B5F">
        <w:rPr>
          <w:rFonts w:ascii="Arial" w:eastAsia="Times New Roman" w:hAnsi="Arial" w:cs="Arial"/>
          <w:b/>
          <w:bCs/>
          <w:color w:val="333333"/>
          <w:kern w:val="0"/>
          <w:sz w:val="24"/>
          <w:szCs w:val="24"/>
          <w:lang w:eastAsia="es-UY"/>
          <w14:ligatures w14:val="none"/>
        </w:rPr>
        <w:t>Luisa Rabolini</w:t>
      </w:r>
      <w:r w:rsidRPr="00422B5F">
        <w:rPr>
          <w:rFonts w:ascii="Arial" w:eastAsia="Times New Roman" w:hAnsi="Arial" w:cs="Arial"/>
          <w:color w:val="333333"/>
          <w:kern w:val="0"/>
          <w:sz w:val="24"/>
          <w:szCs w:val="24"/>
          <w:lang w:eastAsia="es-UY"/>
          <w14:ligatures w14:val="none"/>
        </w:rPr>
        <w:t> . </w:t>
      </w:r>
      <w:r w:rsidRPr="00422B5F">
        <w:rPr>
          <w:rFonts w:ascii="Arial" w:eastAsia="Times New Roman" w:hAnsi="Arial" w:cs="Arial"/>
          <w:b/>
          <w:bCs/>
          <w:color w:val="333333"/>
          <w:kern w:val="0"/>
          <w:sz w:val="24"/>
          <w:szCs w:val="24"/>
          <w:lang w:eastAsia="es-UY"/>
          <w14:ligatures w14:val="none"/>
        </w:rPr>
        <w:t> </w:t>
      </w:r>
    </w:p>
    <w:p w14:paraId="3499DB22"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02BDE9F5" w14:textId="77777777" w:rsidR="00422B5F" w:rsidRDefault="00422B5F" w:rsidP="00422B5F">
      <w:pPr>
        <w:spacing w:after="0" w:line="240" w:lineRule="auto"/>
        <w:jc w:val="both"/>
        <w:outlineLvl w:val="1"/>
        <w:rPr>
          <w:rFonts w:ascii="Arial" w:eastAsia="Times New Roman" w:hAnsi="Arial" w:cs="Arial"/>
          <w:b/>
          <w:bCs/>
          <w:color w:val="333333"/>
          <w:kern w:val="0"/>
          <w:sz w:val="24"/>
          <w:szCs w:val="24"/>
          <w:lang w:eastAsia="es-UY"/>
          <w14:ligatures w14:val="none"/>
        </w:rPr>
      </w:pPr>
      <w:r w:rsidRPr="00422B5F">
        <w:rPr>
          <w:rFonts w:ascii="Arial" w:eastAsia="Times New Roman" w:hAnsi="Arial" w:cs="Arial"/>
          <w:b/>
          <w:bCs/>
          <w:color w:val="333333"/>
          <w:kern w:val="0"/>
          <w:sz w:val="24"/>
          <w:szCs w:val="24"/>
          <w:lang w:eastAsia="es-UY"/>
          <w14:ligatures w14:val="none"/>
        </w:rPr>
        <w:t>Aquí está el artículo. </w:t>
      </w:r>
    </w:p>
    <w:p w14:paraId="63B61E53" w14:textId="77777777" w:rsidR="00422B5F" w:rsidRPr="00422B5F" w:rsidRDefault="00422B5F" w:rsidP="00422B5F">
      <w:pPr>
        <w:spacing w:after="0" w:line="240" w:lineRule="auto"/>
        <w:jc w:val="both"/>
        <w:outlineLvl w:val="1"/>
        <w:rPr>
          <w:rFonts w:ascii="Arial" w:eastAsia="Times New Roman" w:hAnsi="Arial" w:cs="Arial"/>
          <w:b/>
          <w:bCs/>
          <w:color w:val="333333"/>
          <w:kern w:val="0"/>
          <w:sz w:val="24"/>
          <w:szCs w:val="24"/>
          <w:lang w:eastAsia="es-UY"/>
          <w14:ligatures w14:val="none"/>
        </w:rPr>
      </w:pPr>
    </w:p>
    <w:p w14:paraId="4AC51F84"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En estos días se celebra el centenario de la creación del </w:t>
      </w:r>
      <w:proofErr w:type="spellStart"/>
      <w:r w:rsidRPr="00422B5F">
        <w:rPr>
          <w:rFonts w:ascii="Arial" w:eastAsia="Times New Roman" w:hAnsi="Arial" w:cs="Arial"/>
          <w:b/>
          <w:bCs/>
          <w:color w:val="333333"/>
          <w:kern w:val="0"/>
          <w:sz w:val="24"/>
          <w:szCs w:val="24"/>
          <w:lang w:eastAsia="es-UY"/>
          <w14:ligatures w14:val="none"/>
        </w:rPr>
        <w:t>Ordinariato</w:t>
      </w:r>
      <w:proofErr w:type="spellEnd"/>
      <w:r w:rsidRPr="00422B5F">
        <w:rPr>
          <w:rFonts w:ascii="Arial" w:eastAsia="Times New Roman" w:hAnsi="Arial" w:cs="Arial"/>
          <w:b/>
          <w:bCs/>
          <w:color w:val="333333"/>
          <w:kern w:val="0"/>
          <w:sz w:val="24"/>
          <w:szCs w:val="24"/>
          <w:lang w:eastAsia="es-UY"/>
          <w14:ligatures w14:val="none"/>
        </w:rPr>
        <w:t xml:space="preserve"> Militar en Italia</w:t>
      </w:r>
      <w:r w:rsidRPr="00422B5F">
        <w:rPr>
          <w:rFonts w:ascii="Arial" w:eastAsia="Times New Roman" w:hAnsi="Arial" w:cs="Arial"/>
          <w:color w:val="333333"/>
          <w:kern w:val="0"/>
          <w:sz w:val="24"/>
          <w:szCs w:val="24"/>
          <w:lang w:eastAsia="es-UY"/>
          <w14:ligatures w14:val="none"/>
        </w:rPr>
        <w:t> . En realidad, este fue activado, a pesar de la postura oficialmente separatista de la era liberal, durante la </w:t>
      </w:r>
      <w:r w:rsidRPr="00422B5F">
        <w:rPr>
          <w:rFonts w:ascii="Arial" w:eastAsia="Times New Roman" w:hAnsi="Arial" w:cs="Arial"/>
          <w:b/>
          <w:bCs/>
          <w:color w:val="333333"/>
          <w:kern w:val="0"/>
          <w:sz w:val="24"/>
          <w:szCs w:val="24"/>
          <w:lang w:eastAsia="es-UY"/>
          <w14:ligatures w14:val="none"/>
        </w:rPr>
        <w:t>Primera Guerra Mundial</w:t>
      </w:r>
      <w:r w:rsidRPr="00422B5F">
        <w:rPr>
          <w:rFonts w:ascii="Arial" w:eastAsia="Times New Roman" w:hAnsi="Arial" w:cs="Arial"/>
          <w:color w:val="333333"/>
          <w:kern w:val="0"/>
          <w:sz w:val="24"/>
          <w:szCs w:val="24"/>
          <w:lang w:eastAsia="es-UY"/>
          <w14:ligatures w14:val="none"/>
        </w:rPr>
        <w:t> , para luego ser abolido al finalizar la misma. Restablecido por la </w:t>
      </w:r>
      <w:r w:rsidRPr="00422B5F">
        <w:rPr>
          <w:rFonts w:ascii="Arial" w:eastAsia="Times New Roman" w:hAnsi="Arial" w:cs="Arial"/>
          <w:b/>
          <w:bCs/>
          <w:color w:val="333333"/>
          <w:kern w:val="0"/>
          <w:sz w:val="24"/>
          <w:szCs w:val="24"/>
          <w:lang w:eastAsia="es-UY"/>
          <w14:ligatures w14:val="none"/>
        </w:rPr>
        <w:t>Santa Sede</w:t>
      </w:r>
      <w:r w:rsidRPr="00422B5F">
        <w:rPr>
          <w:rFonts w:ascii="Arial" w:eastAsia="Times New Roman" w:hAnsi="Arial" w:cs="Arial"/>
          <w:color w:val="333333"/>
          <w:kern w:val="0"/>
          <w:sz w:val="24"/>
          <w:szCs w:val="24"/>
          <w:lang w:eastAsia="es-UY"/>
          <w14:ligatures w14:val="none"/>
        </w:rPr>
        <w:t> el 6 de marzo de 1925, fue reconocido por el régimen fascista mediante una ley del 11 de marzo del año siguiente.</w:t>
      </w:r>
    </w:p>
    <w:p w14:paraId="55A0C655"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0756D7B0"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Esta fue una de las muchas concesiones que el </w:t>
      </w:r>
      <w:r w:rsidRPr="00422B5F">
        <w:rPr>
          <w:rFonts w:ascii="Arial" w:eastAsia="Times New Roman" w:hAnsi="Arial" w:cs="Arial"/>
          <w:b/>
          <w:bCs/>
          <w:color w:val="333333"/>
          <w:kern w:val="0"/>
          <w:sz w:val="24"/>
          <w:szCs w:val="24"/>
          <w:lang w:eastAsia="es-UY"/>
          <w14:ligatures w14:val="none"/>
        </w:rPr>
        <w:t>Duce</w:t>
      </w:r>
      <w:r w:rsidRPr="00422B5F">
        <w:rPr>
          <w:rFonts w:ascii="Arial" w:eastAsia="Times New Roman" w:hAnsi="Arial" w:cs="Arial"/>
          <w:color w:val="333333"/>
          <w:kern w:val="0"/>
          <w:sz w:val="24"/>
          <w:szCs w:val="24"/>
          <w:lang w:eastAsia="es-UY"/>
          <w14:ligatures w14:val="none"/>
        </w:rPr>
        <w:t> hizo a la </w:t>
      </w:r>
      <w:r w:rsidRPr="00422B5F">
        <w:rPr>
          <w:rFonts w:ascii="Arial" w:eastAsia="Times New Roman" w:hAnsi="Arial" w:cs="Arial"/>
          <w:b/>
          <w:bCs/>
          <w:color w:val="333333"/>
          <w:kern w:val="0"/>
          <w:sz w:val="24"/>
          <w:szCs w:val="24"/>
          <w:lang w:eastAsia="es-UY"/>
          <w14:ligatures w14:val="none"/>
        </w:rPr>
        <w:t>Iglesia</w:t>
      </w:r>
      <w:r w:rsidRPr="00422B5F">
        <w:rPr>
          <w:rFonts w:ascii="Arial" w:eastAsia="Times New Roman" w:hAnsi="Arial" w:cs="Arial"/>
          <w:color w:val="333333"/>
          <w:kern w:val="0"/>
          <w:sz w:val="24"/>
          <w:szCs w:val="24"/>
          <w:lang w:eastAsia="es-UY"/>
          <w14:ligatures w14:val="none"/>
        </w:rPr>
        <w:t> . Estas culminarían finalmente en los </w:t>
      </w:r>
      <w:r w:rsidRPr="00422B5F">
        <w:rPr>
          <w:rFonts w:ascii="Arial" w:eastAsia="Times New Roman" w:hAnsi="Arial" w:cs="Arial"/>
          <w:b/>
          <w:bCs/>
          <w:color w:val="333333"/>
          <w:kern w:val="0"/>
          <w:sz w:val="24"/>
          <w:szCs w:val="24"/>
          <w:lang w:eastAsia="es-UY"/>
          <w14:ligatures w14:val="none"/>
        </w:rPr>
        <w:t>Acuerdos de Letrán</w:t>
      </w:r>
      <w:r w:rsidRPr="00422B5F">
        <w:rPr>
          <w:rFonts w:ascii="Arial" w:eastAsia="Times New Roman" w:hAnsi="Arial" w:cs="Arial"/>
          <w:color w:val="333333"/>
          <w:kern w:val="0"/>
          <w:sz w:val="24"/>
          <w:szCs w:val="24"/>
          <w:lang w:eastAsia="es-UY"/>
          <w14:ligatures w14:val="none"/>
        </w:rPr>
        <w:t> , firmados por </w:t>
      </w:r>
      <w:r w:rsidRPr="00422B5F">
        <w:rPr>
          <w:rFonts w:ascii="Arial" w:eastAsia="Times New Roman" w:hAnsi="Arial" w:cs="Arial"/>
          <w:b/>
          <w:bCs/>
          <w:color w:val="333333"/>
          <w:kern w:val="0"/>
          <w:sz w:val="24"/>
          <w:szCs w:val="24"/>
          <w:lang w:eastAsia="es-UY"/>
          <w14:ligatures w14:val="none"/>
        </w:rPr>
        <w:t>Pío XI</w:t>
      </w:r>
      <w:r w:rsidRPr="00422B5F">
        <w:rPr>
          <w:rFonts w:ascii="Arial" w:eastAsia="Times New Roman" w:hAnsi="Arial" w:cs="Arial"/>
          <w:color w:val="333333"/>
          <w:kern w:val="0"/>
          <w:sz w:val="24"/>
          <w:szCs w:val="24"/>
          <w:lang w:eastAsia="es-UY"/>
          <w14:ligatures w14:val="none"/>
        </w:rPr>
        <w:t> con la ilusoria creencia de que servirían como base legal y política para la construcción del reino social de </w:t>
      </w:r>
      <w:r w:rsidRPr="00422B5F">
        <w:rPr>
          <w:rFonts w:ascii="Arial" w:eastAsia="Times New Roman" w:hAnsi="Arial" w:cs="Arial"/>
          <w:b/>
          <w:bCs/>
          <w:color w:val="333333"/>
          <w:kern w:val="0"/>
          <w:sz w:val="24"/>
          <w:szCs w:val="24"/>
          <w:lang w:eastAsia="es-UY"/>
          <w14:ligatures w14:val="none"/>
        </w:rPr>
        <w:t>Cristo</w:t>
      </w:r>
      <w:r w:rsidRPr="00422B5F">
        <w:rPr>
          <w:rFonts w:ascii="Arial" w:eastAsia="Times New Roman" w:hAnsi="Arial" w:cs="Arial"/>
          <w:color w:val="333333"/>
          <w:kern w:val="0"/>
          <w:sz w:val="24"/>
          <w:szCs w:val="24"/>
          <w:lang w:eastAsia="es-UY"/>
          <w14:ligatures w14:val="none"/>
        </w:rPr>
        <w:t> en la Península Ibérica. Dichos acuerdos también regulaban el </w:t>
      </w:r>
      <w:proofErr w:type="spellStart"/>
      <w:r w:rsidRPr="00422B5F">
        <w:rPr>
          <w:rFonts w:ascii="Arial" w:eastAsia="Times New Roman" w:hAnsi="Arial" w:cs="Arial"/>
          <w:b/>
          <w:bCs/>
          <w:color w:val="333333"/>
          <w:kern w:val="0"/>
          <w:sz w:val="24"/>
          <w:szCs w:val="24"/>
          <w:lang w:eastAsia="es-UY"/>
          <w14:ligatures w14:val="none"/>
        </w:rPr>
        <w:t>Ordinariato</w:t>
      </w:r>
      <w:proofErr w:type="spellEnd"/>
      <w:r w:rsidRPr="00422B5F">
        <w:rPr>
          <w:rFonts w:ascii="Arial" w:eastAsia="Times New Roman" w:hAnsi="Arial" w:cs="Arial"/>
          <w:color w:val="333333"/>
          <w:kern w:val="0"/>
          <w:sz w:val="24"/>
          <w:szCs w:val="24"/>
          <w:lang w:eastAsia="es-UY"/>
          <w14:ligatures w14:val="none"/>
        </w:rPr>
        <w:t> , con un conjunto de normas que la revisión del </w:t>
      </w:r>
      <w:r w:rsidRPr="00422B5F">
        <w:rPr>
          <w:rFonts w:ascii="Arial" w:eastAsia="Times New Roman" w:hAnsi="Arial" w:cs="Arial"/>
          <w:b/>
          <w:bCs/>
          <w:color w:val="333333"/>
          <w:kern w:val="0"/>
          <w:sz w:val="24"/>
          <w:szCs w:val="24"/>
          <w:lang w:eastAsia="es-UY"/>
          <w14:ligatures w14:val="none"/>
        </w:rPr>
        <w:t>Concordato de 1984</w:t>
      </w:r>
      <w:r w:rsidRPr="00422B5F">
        <w:rPr>
          <w:rFonts w:ascii="Arial" w:eastAsia="Times New Roman" w:hAnsi="Arial" w:cs="Arial"/>
          <w:color w:val="333333"/>
          <w:kern w:val="0"/>
          <w:sz w:val="24"/>
          <w:szCs w:val="24"/>
          <w:lang w:eastAsia="es-UY"/>
          <w14:ligatures w14:val="none"/>
        </w:rPr>
        <w:t> no modificó.</w:t>
      </w:r>
    </w:p>
    <w:p w14:paraId="66440279"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299D1F0E"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Las celebraciones del centenario culminaron con un encuentro con el </w:t>
      </w:r>
      <w:r w:rsidRPr="00422B5F">
        <w:rPr>
          <w:rFonts w:ascii="Arial" w:eastAsia="Times New Roman" w:hAnsi="Arial" w:cs="Arial"/>
          <w:b/>
          <w:bCs/>
          <w:color w:val="333333"/>
          <w:kern w:val="0"/>
          <w:sz w:val="24"/>
          <w:szCs w:val="24"/>
          <w:lang w:eastAsia="es-UY"/>
          <w14:ligatures w14:val="none"/>
        </w:rPr>
        <w:t>Papa</w:t>
      </w:r>
      <w:r w:rsidRPr="00422B5F">
        <w:rPr>
          <w:rFonts w:ascii="Arial" w:eastAsia="Times New Roman" w:hAnsi="Arial" w:cs="Arial"/>
          <w:color w:val="333333"/>
          <w:kern w:val="0"/>
          <w:sz w:val="24"/>
          <w:szCs w:val="24"/>
          <w:lang w:eastAsia="es-UY"/>
          <w14:ligatures w14:val="none"/>
        </w:rPr>
        <w:t> el 7 de marzo. El contexto internacional, marcado por la guerra lanzada por </w:t>
      </w:r>
      <w:r w:rsidRPr="00422B5F">
        <w:rPr>
          <w:rFonts w:ascii="Arial" w:eastAsia="Times New Roman" w:hAnsi="Arial" w:cs="Arial"/>
          <w:b/>
          <w:bCs/>
          <w:color w:val="333333"/>
          <w:kern w:val="0"/>
          <w:sz w:val="24"/>
          <w:szCs w:val="24"/>
          <w:lang w:eastAsia="es-UY"/>
          <w14:ligatures w14:val="none"/>
        </w:rPr>
        <w:t>Estados Unidos</w:t>
      </w:r>
      <w:r w:rsidRPr="00422B5F">
        <w:rPr>
          <w:rFonts w:ascii="Arial" w:eastAsia="Times New Roman" w:hAnsi="Arial" w:cs="Arial"/>
          <w:color w:val="333333"/>
          <w:kern w:val="0"/>
          <w:sz w:val="24"/>
          <w:szCs w:val="24"/>
          <w:lang w:eastAsia="es-UY"/>
          <w14:ligatures w14:val="none"/>
        </w:rPr>
        <w:t> e </w:t>
      </w:r>
      <w:r w:rsidRPr="00422B5F">
        <w:rPr>
          <w:rFonts w:ascii="Arial" w:eastAsia="Times New Roman" w:hAnsi="Arial" w:cs="Arial"/>
          <w:b/>
          <w:bCs/>
          <w:color w:val="333333"/>
          <w:kern w:val="0"/>
          <w:sz w:val="24"/>
          <w:szCs w:val="24"/>
          <w:lang w:eastAsia="es-UY"/>
          <w14:ligatures w14:val="none"/>
        </w:rPr>
        <w:t>Israel</w:t>
      </w:r>
      <w:r w:rsidRPr="00422B5F">
        <w:rPr>
          <w:rFonts w:ascii="Arial" w:eastAsia="Times New Roman" w:hAnsi="Arial" w:cs="Arial"/>
          <w:color w:val="333333"/>
          <w:kern w:val="0"/>
          <w:sz w:val="24"/>
          <w:szCs w:val="24"/>
          <w:lang w:eastAsia="es-UY"/>
          <w14:ligatures w14:val="none"/>
        </w:rPr>
        <w:t> contra la </w:t>
      </w:r>
      <w:r w:rsidRPr="00422B5F">
        <w:rPr>
          <w:rFonts w:ascii="Arial" w:eastAsia="Times New Roman" w:hAnsi="Arial" w:cs="Arial"/>
          <w:b/>
          <w:bCs/>
          <w:color w:val="333333"/>
          <w:kern w:val="0"/>
          <w:sz w:val="24"/>
          <w:szCs w:val="24"/>
          <w:lang w:eastAsia="es-UY"/>
          <w14:ligatures w14:val="none"/>
        </w:rPr>
        <w:t>República Islámica de Irán</w:t>
      </w:r>
      <w:r w:rsidRPr="00422B5F">
        <w:rPr>
          <w:rFonts w:ascii="Arial" w:eastAsia="Times New Roman" w:hAnsi="Arial" w:cs="Arial"/>
          <w:color w:val="333333"/>
          <w:kern w:val="0"/>
          <w:sz w:val="24"/>
          <w:szCs w:val="24"/>
          <w:lang w:eastAsia="es-UY"/>
          <w14:ligatures w14:val="none"/>
        </w:rPr>
        <w:t> —con la participación de otros países </w:t>
      </w:r>
      <w:r w:rsidRPr="00422B5F">
        <w:rPr>
          <w:rFonts w:ascii="Arial" w:eastAsia="Times New Roman" w:hAnsi="Arial" w:cs="Arial"/>
          <w:b/>
          <w:bCs/>
          <w:color w:val="333333"/>
          <w:kern w:val="0"/>
          <w:sz w:val="24"/>
          <w:szCs w:val="24"/>
          <w:lang w:eastAsia="es-UY"/>
          <w14:ligatures w14:val="none"/>
        </w:rPr>
        <w:t>de Oriente Medio—</w:t>
      </w:r>
      <w:r w:rsidRPr="00422B5F">
        <w:rPr>
          <w:rFonts w:ascii="Arial" w:eastAsia="Times New Roman" w:hAnsi="Arial" w:cs="Arial"/>
          <w:color w:val="333333"/>
          <w:kern w:val="0"/>
          <w:sz w:val="24"/>
          <w:szCs w:val="24"/>
          <w:lang w:eastAsia="es-UY"/>
          <w14:ligatures w14:val="none"/>
        </w:rPr>
        <w:t> , hizo que la ocasión fuera particularmente oportuna para aclarar la posición del </w:t>
      </w:r>
      <w:r w:rsidRPr="00422B5F">
        <w:rPr>
          <w:rFonts w:ascii="Arial" w:eastAsia="Times New Roman" w:hAnsi="Arial" w:cs="Arial"/>
          <w:b/>
          <w:bCs/>
          <w:color w:val="333333"/>
          <w:kern w:val="0"/>
          <w:sz w:val="24"/>
          <w:szCs w:val="24"/>
          <w:lang w:eastAsia="es-UY"/>
          <w14:ligatures w14:val="none"/>
        </w:rPr>
        <w:t>Vaticano</w:t>
      </w:r>
      <w:r w:rsidRPr="00422B5F">
        <w:rPr>
          <w:rFonts w:ascii="Arial" w:eastAsia="Times New Roman" w:hAnsi="Arial" w:cs="Arial"/>
          <w:color w:val="333333"/>
          <w:kern w:val="0"/>
          <w:sz w:val="24"/>
          <w:szCs w:val="24"/>
          <w:lang w:eastAsia="es-UY"/>
          <w14:ligatures w14:val="none"/>
        </w:rPr>
        <w:t> sobre los conflictos en curso.</w:t>
      </w:r>
    </w:p>
    <w:p w14:paraId="0F0C7396"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0BBD24B2"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De hecho, es difícil no relacionarlo con la entrevista concedida el pasado enero por el </w:t>
      </w:r>
      <w:r w:rsidRPr="00422B5F">
        <w:rPr>
          <w:rFonts w:ascii="Arial" w:eastAsia="Times New Roman" w:hAnsi="Arial" w:cs="Arial"/>
          <w:b/>
          <w:bCs/>
          <w:color w:val="333333"/>
          <w:kern w:val="0"/>
          <w:sz w:val="24"/>
          <w:szCs w:val="24"/>
          <w:lang w:eastAsia="es-UY"/>
          <w14:ligatures w14:val="none"/>
        </w:rPr>
        <w:t>obispo militar estadounidense </w:t>
      </w:r>
      <w:hyperlink r:id="rId7" w:tgtFrame="_blank" w:history="1">
        <w:r w:rsidRPr="00422B5F">
          <w:rPr>
            <w:rFonts w:ascii="Arial" w:eastAsia="Times New Roman" w:hAnsi="Arial" w:cs="Arial"/>
            <w:color w:val="FC6B01"/>
            <w:kern w:val="0"/>
            <w:sz w:val="24"/>
            <w:szCs w:val="24"/>
            <w:u w:val="single"/>
            <w:lang w:eastAsia="es-UY"/>
            <w14:ligatures w14:val="none"/>
          </w:rPr>
          <w:t>Timothy Broglio</w:t>
        </w:r>
      </w:hyperlink>
      <w:r w:rsidRPr="00422B5F">
        <w:rPr>
          <w:rFonts w:ascii="Arial" w:eastAsia="Times New Roman" w:hAnsi="Arial" w:cs="Arial"/>
          <w:color w:val="333333"/>
          <w:kern w:val="0"/>
          <w:sz w:val="24"/>
          <w:szCs w:val="24"/>
          <w:lang w:eastAsia="es-UY"/>
          <w14:ligatures w14:val="none"/>
        </w:rPr>
        <w:t> , cuya autoridad está avalada por el hecho de que recientemente había finalizado su mandato como presidente de la </w:t>
      </w:r>
      <w:r w:rsidRPr="00422B5F">
        <w:rPr>
          <w:rFonts w:ascii="Arial" w:eastAsia="Times New Roman" w:hAnsi="Arial" w:cs="Arial"/>
          <w:b/>
          <w:bCs/>
          <w:color w:val="333333"/>
          <w:kern w:val="0"/>
          <w:sz w:val="24"/>
          <w:szCs w:val="24"/>
          <w:lang w:eastAsia="es-UY"/>
          <w14:ligatures w14:val="none"/>
        </w:rPr>
        <w:t>Conferencia de Obispos Católicos de Estados Unidos</w:t>
      </w:r>
      <w:r w:rsidRPr="00422B5F">
        <w:rPr>
          <w:rFonts w:ascii="Arial" w:eastAsia="Times New Roman" w:hAnsi="Arial" w:cs="Arial"/>
          <w:color w:val="333333"/>
          <w:kern w:val="0"/>
          <w:sz w:val="24"/>
          <w:szCs w:val="24"/>
          <w:lang w:eastAsia="es-UY"/>
          <w14:ligatures w14:val="none"/>
        </w:rPr>
        <w:t> . En aquel momento, el presidente </w:t>
      </w:r>
      <w:r w:rsidRPr="00422B5F">
        <w:rPr>
          <w:rFonts w:ascii="Arial" w:eastAsia="Times New Roman" w:hAnsi="Arial" w:cs="Arial"/>
          <w:b/>
          <w:bCs/>
          <w:color w:val="333333"/>
          <w:kern w:val="0"/>
          <w:sz w:val="24"/>
          <w:szCs w:val="24"/>
          <w:lang w:eastAsia="es-UY"/>
          <w14:ligatures w14:val="none"/>
        </w:rPr>
        <w:t>Trump</w:t>
      </w:r>
      <w:r w:rsidRPr="00422B5F">
        <w:rPr>
          <w:rFonts w:ascii="Arial" w:eastAsia="Times New Roman" w:hAnsi="Arial" w:cs="Arial"/>
          <w:color w:val="333333"/>
          <w:kern w:val="0"/>
          <w:sz w:val="24"/>
          <w:szCs w:val="24"/>
          <w:lang w:eastAsia="es-UY"/>
          <w14:ligatures w14:val="none"/>
        </w:rPr>
        <w:t> amenazaba con invadir </w:t>
      </w:r>
      <w:r w:rsidRPr="00422B5F">
        <w:rPr>
          <w:rFonts w:ascii="Arial" w:eastAsia="Times New Roman" w:hAnsi="Arial" w:cs="Arial"/>
          <w:b/>
          <w:bCs/>
          <w:color w:val="333333"/>
          <w:kern w:val="0"/>
          <w:sz w:val="24"/>
          <w:szCs w:val="24"/>
          <w:lang w:eastAsia="es-UY"/>
          <w14:ligatures w14:val="none"/>
        </w:rPr>
        <w:t>Groenlandia</w:t>
      </w:r>
      <w:r w:rsidRPr="00422B5F">
        <w:rPr>
          <w:rFonts w:ascii="Arial" w:eastAsia="Times New Roman" w:hAnsi="Arial" w:cs="Arial"/>
          <w:color w:val="333333"/>
          <w:kern w:val="0"/>
          <w:sz w:val="24"/>
          <w:szCs w:val="24"/>
          <w:lang w:eastAsia="es-UY"/>
          <w14:ligatures w14:val="none"/>
        </w:rPr>
        <w:t> .</w:t>
      </w:r>
    </w:p>
    <w:p w14:paraId="7C9CD38D"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72357483"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lastRenderedPageBreak/>
        <w:t>El arzobispo recordó entonces que era lícito para un soldado cristiano —a pesar de las evidentes dificultades que enfrentaría— desobedecer órdenes inmorales. Presentando el ataque militar a la isla danesa como un ejemplo de ello, </w:t>
      </w:r>
      <w:r w:rsidRPr="00422B5F">
        <w:rPr>
          <w:rFonts w:ascii="Arial" w:eastAsia="Times New Roman" w:hAnsi="Arial" w:cs="Arial"/>
          <w:b/>
          <w:bCs/>
          <w:color w:val="333333"/>
          <w:kern w:val="0"/>
          <w:sz w:val="24"/>
          <w:szCs w:val="24"/>
          <w:lang w:eastAsia="es-UY"/>
          <w14:ligatures w14:val="none"/>
        </w:rPr>
        <w:t>Broglio</w:t>
      </w:r>
      <w:r w:rsidRPr="00422B5F">
        <w:rPr>
          <w:rFonts w:ascii="Arial" w:eastAsia="Times New Roman" w:hAnsi="Arial" w:cs="Arial"/>
          <w:color w:val="333333"/>
          <w:kern w:val="0"/>
          <w:sz w:val="24"/>
          <w:szCs w:val="24"/>
          <w:lang w:eastAsia="es-UY"/>
          <w14:ligatures w14:val="none"/>
        </w:rPr>
        <w:t> ofreció una interpretación amplia del artículo 2313 del </w:t>
      </w:r>
      <w:r w:rsidRPr="00422B5F">
        <w:rPr>
          <w:rFonts w:ascii="Arial" w:eastAsia="Times New Roman" w:hAnsi="Arial" w:cs="Arial"/>
          <w:b/>
          <w:bCs/>
          <w:color w:val="333333"/>
          <w:kern w:val="0"/>
          <w:sz w:val="24"/>
          <w:szCs w:val="24"/>
          <w:lang w:eastAsia="es-UY"/>
          <w14:ligatures w14:val="none"/>
        </w:rPr>
        <w:t>Catecismo de la Iglesia Católica</w:t>
      </w:r>
      <w:r w:rsidRPr="00422B5F">
        <w:rPr>
          <w:rFonts w:ascii="Arial" w:eastAsia="Times New Roman" w:hAnsi="Arial" w:cs="Arial"/>
          <w:color w:val="333333"/>
          <w:kern w:val="0"/>
          <w:sz w:val="24"/>
          <w:szCs w:val="24"/>
          <w:lang w:eastAsia="es-UY"/>
          <w14:ligatures w14:val="none"/>
        </w:rPr>
        <w:t> , publicado en 1997. Este artículo estipulaba, en el contexto de la «guerra justa», que un soldado creyente debía negarse a obedecer a sus superiores cuando se le ordenara realizar «acciones deliberadamente contrarias a la ley de los pueblos y a sus principios universales».</w:t>
      </w:r>
    </w:p>
    <w:p w14:paraId="1004B55F"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07C3BA1B"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Como se desprendía del contexto, la referencia aludía al derecho internacional humanitario (atacar a no combatientes, heridos o prisioneros; exterminar a un pueblo, una nación o una minoría étnica; destruir una ciudad o región entera).</w:t>
      </w:r>
    </w:p>
    <w:p w14:paraId="7AC762AA"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El </w:t>
      </w:r>
      <w:r w:rsidRPr="00422B5F">
        <w:rPr>
          <w:rFonts w:ascii="Arial" w:eastAsia="Times New Roman" w:hAnsi="Arial" w:cs="Arial"/>
          <w:b/>
          <w:bCs/>
          <w:color w:val="333333"/>
          <w:kern w:val="0"/>
          <w:sz w:val="24"/>
          <w:szCs w:val="24"/>
          <w:lang w:eastAsia="es-UY"/>
          <w14:ligatures w14:val="none"/>
        </w:rPr>
        <w:t>ortodoxo</w:t>
      </w:r>
      <w:r w:rsidRPr="00422B5F">
        <w:rPr>
          <w:rFonts w:ascii="Arial" w:eastAsia="Times New Roman" w:hAnsi="Arial" w:cs="Arial"/>
          <w:color w:val="333333"/>
          <w:kern w:val="0"/>
          <w:sz w:val="24"/>
          <w:szCs w:val="24"/>
          <w:lang w:eastAsia="es-UY"/>
          <w14:ligatures w14:val="none"/>
        </w:rPr>
        <w:t> estadounidense añadió un matiz a este argumento: la violación del derecho internacional constituía también un acto éticamente ilícito, susceptible de desobediencia. Si bien es cierto que su discurso introducía un límite, puesto que la inmoralidad se relacionaba con un caso específico: la invasión de un Estado soberano y aliado, como recordaba </w:t>
      </w:r>
      <w:hyperlink r:id="rId8" w:tgtFrame="_blank" w:history="1">
        <w:r w:rsidRPr="00422B5F">
          <w:rPr>
            <w:rFonts w:ascii="Arial" w:eastAsia="Times New Roman" w:hAnsi="Arial" w:cs="Arial"/>
            <w:color w:val="FC6B01"/>
            <w:kern w:val="0"/>
            <w:sz w:val="24"/>
            <w:szCs w:val="24"/>
            <w:u w:val="single"/>
            <w:lang w:eastAsia="es-UY"/>
            <w14:ligatures w14:val="none"/>
          </w:rPr>
          <w:t>Severino Dianich</w:t>
        </w:r>
      </w:hyperlink>
      <w:r w:rsidRPr="00422B5F">
        <w:rPr>
          <w:rFonts w:ascii="Arial" w:eastAsia="Times New Roman" w:hAnsi="Arial" w:cs="Arial"/>
          <w:color w:val="333333"/>
          <w:kern w:val="0"/>
          <w:sz w:val="24"/>
          <w:szCs w:val="24"/>
          <w:lang w:eastAsia="es-UY"/>
          <w14:ligatures w14:val="none"/>
        </w:rPr>
        <w:t> en estas mismas páginas, el discurso tenía inevitablemente un valor general. Se aplicaba a todas las guerras de agresión.</w:t>
      </w:r>
    </w:p>
    <w:p w14:paraId="0A5B9C03"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4E211130"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Los medios oficiales de la </w:t>
      </w:r>
      <w:r w:rsidRPr="00422B5F">
        <w:rPr>
          <w:rFonts w:ascii="Arial" w:eastAsia="Times New Roman" w:hAnsi="Arial" w:cs="Arial"/>
          <w:b/>
          <w:bCs/>
          <w:color w:val="333333"/>
          <w:kern w:val="0"/>
          <w:sz w:val="24"/>
          <w:szCs w:val="24"/>
          <w:lang w:eastAsia="es-UY"/>
          <w14:ligatures w14:val="none"/>
        </w:rPr>
        <w:t>Santa Sede</w:t>
      </w:r>
      <w:r w:rsidRPr="00422B5F">
        <w:rPr>
          <w:rFonts w:ascii="Arial" w:eastAsia="Times New Roman" w:hAnsi="Arial" w:cs="Arial"/>
          <w:color w:val="333333"/>
          <w:kern w:val="0"/>
          <w:sz w:val="24"/>
          <w:szCs w:val="24"/>
          <w:lang w:eastAsia="es-UY"/>
          <w14:ligatures w14:val="none"/>
        </w:rPr>
        <w:t> , si bien no dieron especial relevancia a la entrevista de </w:t>
      </w:r>
      <w:r w:rsidRPr="00422B5F">
        <w:rPr>
          <w:rFonts w:ascii="Arial" w:eastAsia="Times New Roman" w:hAnsi="Arial" w:cs="Arial"/>
          <w:b/>
          <w:bCs/>
          <w:color w:val="333333"/>
          <w:kern w:val="0"/>
          <w:sz w:val="24"/>
          <w:szCs w:val="24"/>
          <w:lang w:eastAsia="es-UY"/>
          <w14:ligatures w14:val="none"/>
        </w:rPr>
        <w:t>Broglio</w:t>
      </w:r>
      <w:r w:rsidRPr="00422B5F">
        <w:rPr>
          <w:rFonts w:ascii="Arial" w:eastAsia="Times New Roman" w:hAnsi="Arial" w:cs="Arial"/>
          <w:color w:val="333333"/>
          <w:kern w:val="0"/>
          <w:sz w:val="24"/>
          <w:szCs w:val="24"/>
          <w:lang w:eastAsia="es-UY"/>
          <w14:ligatures w14:val="none"/>
        </w:rPr>
        <w:t> , sí la transmitieron. Esto plantea la cuestión de comprender la postura del </w:t>
      </w:r>
      <w:r w:rsidRPr="00422B5F">
        <w:rPr>
          <w:rFonts w:ascii="Arial" w:eastAsia="Times New Roman" w:hAnsi="Arial" w:cs="Arial"/>
          <w:b/>
          <w:bCs/>
          <w:color w:val="333333"/>
          <w:kern w:val="0"/>
          <w:sz w:val="24"/>
          <w:szCs w:val="24"/>
          <w:lang w:eastAsia="es-UY"/>
          <w14:ligatures w14:val="none"/>
        </w:rPr>
        <w:t>Vaticano</w:t>
      </w:r>
      <w:r w:rsidRPr="00422B5F">
        <w:rPr>
          <w:rFonts w:ascii="Arial" w:eastAsia="Times New Roman" w:hAnsi="Arial" w:cs="Arial"/>
          <w:color w:val="333333"/>
          <w:kern w:val="0"/>
          <w:sz w:val="24"/>
          <w:szCs w:val="24"/>
          <w:lang w:eastAsia="es-UY"/>
          <w14:ligatures w14:val="none"/>
        </w:rPr>
        <w:t> sobre la guerra iniciada recientemente por </w:t>
      </w:r>
      <w:hyperlink r:id="rId9" w:tgtFrame="_blank" w:history="1">
        <w:r w:rsidRPr="00422B5F">
          <w:rPr>
            <w:rFonts w:ascii="Arial" w:eastAsia="Times New Roman" w:hAnsi="Arial" w:cs="Arial"/>
            <w:color w:val="FC6B01"/>
            <w:kern w:val="0"/>
            <w:sz w:val="24"/>
            <w:szCs w:val="24"/>
            <w:u w:val="single"/>
            <w:lang w:eastAsia="es-UY"/>
            <w14:ligatures w14:val="none"/>
          </w:rPr>
          <w:t>Trump contra Irán</w:t>
        </w:r>
      </w:hyperlink>
      <w:r w:rsidRPr="00422B5F">
        <w:rPr>
          <w:rFonts w:ascii="Arial" w:eastAsia="Times New Roman" w:hAnsi="Arial" w:cs="Arial"/>
          <w:color w:val="333333"/>
          <w:kern w:val="0"/>
          <w:sz w:val="24"/>
          <w:szCs w:val="24"/>
          <w:lang w:eastAsia="es-UY"/>
          <w14:ligatures w14:val="none"/>
        </w:rPr>
        <w:t> . Esta postura se puede deducir de una entrevista concedida el 4 de marzo por el Secretario de Estado, </w:t>
      </w:r>
      <w:hyperlink r:id="rId10" w:tgtFrame="_blank" w:history="1">
        <w:r w:rsidRPr="00422B5F">
          <w:rPr>
            <w:rFonts w:ascii="Arial" w:eastAsia="Times New Roman" w:hAnsi="Arial" w:cs="Arial"/>
            <w:color w:val="FC6B01"/>
            <w:kern w:val="0"/>
            <w:sz w:val="24"/>
            <w:szCs w:val="24"/>
            <w:u w:val="single"/>
            <w:lang w:eastAsia="es-UY"/>
            <w14:ligatures w14:val="none"/>
          </w:rPr>
          <w:t>el Cardenal Parolin</w:t>
        </w:r>
      </w:hyperlink>
      <w:r w:rsidRPr="00422B5F">
        <w:rPr>
          <w:rFonts w:ascii="Arial" w:eastAsia="Times New Roman" w:hAnsi="Arial" w:cs="Arial"/>
          <w:color w:val="333333"/>
          <w:kern w:val="0"/>
          <w:sz w:val="24"/>
          <w:szCs w:val="24"/>
          <w:lang w:eastAsia="es-UY"/>
          <w14:ligatures w14:val="none"/>
        </w:rPr>
        <w:t> , al editor de </w:t>
      </w:r>
      <w:proofErr w:type="spellStart"/>
      <w:r w:rsidRPr="00422B5F">
        <w:rPr>
          <w:rFonts w:ascii="Arial" w:eastAsia="Times New Roman" w:hAnsi="Arial" w:cs="Arial"/>
          <w:b/>
          <w:bCs/>
          <w:color w:val="333333"/>
          <w:kern w:val="0"/>
          <w:sz w:val="24"/>
          <w:szCs w:val="24"/>
          <w:lang w:eastAsia="es-UY"/>
          <w14:ligatures w14:val="none"/>
        </w:rPr>
        <w:t>L'Osservatore</w:t>
      </w:r>
      <w:proofErr w:type="spellEnd"/>
      <w:r w:rsidRPr="00422B5F">
        <w:rPr>
          <w:rFonts w:ascii="Arial" w:eastAsia="Times New Roman" w:hAnsi="Arial" w:cs="Arial"/>
          <w:b/>
          <w:bCs/>
          <w:color w:val="333333"/>
          <w:kern w:val="0"/>
          <w:sz w:val="24"/>
          <w:szCs w:val="24"/>
          <w:lang w:eastAsia="es-UY"/>
          <w14:ligatures w14:val="none"/>
        </w:rPr>
        <w:t xml:space="preserve"> Romano</w:t>
      </w:r>
      <w:r w:rsidRPr="00422B5F">
        <w:rPr>
          <w:rFonts w:ascii="Arial" w:eastAsia="Times New Roman" w:hAnsi="Arial" w:cs="Arial"/>
          <w:color w:val="333333"/>
          <w:kern w:val="0"/>
          <w:sz w:val="24"/>
          <w:szCs w:val="24"/>
          <w:lang w:eastAsia="es-UY"/>
          <w14:ligatures w14:val="none"/>
        </w:rPr>
        <w:t> . En aquel momento, el gobierno estadounidense justificó el inicio de las hostilidades como una respuesta necesaria a la negativa de </w:t>
      </w:r>
      <w:r w:rsidRPr="00422B5F">
        <w:rPr>
          <w:rFonts w:ascii="Arial" w:eastAsia="Times New Roman" w:hAnsi="Arial" w:cs="Arial"/>
          <w:b/>
          <w:bCs/>
          <w:color w:val="333333"/>
          <w:kern w:val="0"/>
          <w:sz w:val="24"/>
          <w:szCs w:val="24"/>
          <w:lang w:eastAsia="es-UY"/>
          <w14:ligatures w14:val="none"/>
        </w:rPr>
        <w:t>Irán</w:t>
      </w:r>
      <w:r w:rsidRPr="00422B5F">
        <w:rPr>
          <w:rFonts w:ascii="Arial" w:eastAsia="Times New Roman" w:hAnsi="Arial" w:cs="Arial"/>
          <w:color w:val="333333"/>
          <w:kern w:val="0"/>
          <w:sz w:val="24"/>
          <w:szCs w:val="24"/>
          <w:lang w:eastAsia="es-UY"/>
          <w14:ligatures w14:val="none"/>
        </w:rPr>
        <w:t> a negociar la producción de misiles balísticos.</w:t>
      </w:r>
    </w:p>
    <w:p w14:paraId="659D3AF9"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En consonancia con las posturas expresadas sobre el tema por </w:t>
      </w:r>
      <w:r w:rsidRPr="00422B5F">
        <w:rPr>
          <w:rFonts w:ascii="Arial" w:eastAsia="Times New Roman" w:hAnsi="Arial" w:cs="Arial"/>
          <w:b/>
          <w:bCs/>
          <w:color w:val="333333"/>
          <w:kern w:val="0"/>
          <w:sz w:val="24"/>
          <w:szCs w:val="24"/>
          <w:lang w:eastAsia="es-UY"/>
          <w14:ligatures w14:val="none"/>
        </w:rPr>
        <w:t>Juan Pablo II</w:t>
      </w:r>
      <w:r w:rsidRPr="00422B5F">
        <w:rPr>
          <w:rFonts w:ascii="Arial" w:eastAsia="Times New Roman" w:hAnsi="Arial" w:cs="Arial"/>
          <w:color w:val="333333"/>
          <w:kern w:val="0"/>
          <w:sz w:val="24"/>
          <w:szCs w:val="24"/>
          <w:lang w:eastAsia="es-UY"/>
          <w14:ligatures w14:val="none"/>
        </w:rPr>
        <w:t> , el cardenal declaró que cualquier guerra preventiva es inmoral.</w:t>
      </w:r>
    </w:p>
    <w:p w14:paraId="08878ECB"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5BEC48CF"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Pero también presentó un criterio más amplio para evaluar la guerra. Sostuvo que demostraba el fracaso del intento, gestado tras la </w:t>
      </w:r>
      <w:r w:rsidRPr="00422B5F">
        <w:rPr>
          <w:rFonts w:ascii="Arial" w:eastAsia="Times New Roman" w:hAnsi="Arial" w:cs="Arial"/>
          <w:b/>
          <w:bCs/>
          <w:color w:val="333333"/>
          <w:kern w:val="0"/>
          <w:sz w:val="24"/>
          <w:szCs w:val="24"/>
          <w:lang w:eastAsia="es-UY"/>
          <w14:ligatures w14:val="none"/>
        </w:rPr>
        <w:t>Segunda Guerra Mundial</w:t>
      </w:r>
      <w:r w:rsidRPr="00422B5F">
        <w:rPr>
          <w:rFonts w:ascii="Arial" w:eastAsia="Times New Roman" w:hAnsi="Arial" w:cs="Arial"/>
          <w:color w:val="333333"/>
          <w:kern w:val="0"/>
          <w:sz w:val="24"/>
          <w:szCs w:val="24"/>
          <w:lang w:eastAsia="es-UY"/>
          <w14:ligatures w14:val="none"/>
        </w:rPr>
        <w:t> , de transformar las </w:t>
      </w:r>
      <w:r w:rsidRPr="00422B5F">
        <w:rPr>
          <w:rFonts w:ascii="Arial" w:eastAsia="Times New Roman" w:hAnsi="Arial" w:cs="Arial"/>
          <w:b/>
          <w:bCs/>
          <w:color w:val="333333"/>
          <w:kern w:val="0"/>
          <w:sz w:val="24"/>
          <w:szCs w:val="24"/>
          <w:lang w:eastAsia="es-UY"/>
          <w14:ligatures w14:val="none"/>
        </w:rPr>
        <w:t>Naciones Unidas</w:t>
      </w:r>
      <w:r w:rsidRPr="00422B5F">
        <w:rPr>
          <w:rFonts w:ascii="Arial" w:eastAsia="Times New Roman" w:hAnsi="Arial" w:cs="Arial"/>
          <w:color w:val="333333"/>
          <w:kern w:val="0"/>
          <w:sz w:val="24"/>
          <w:szCs w:val="24"/>
          <w:lang w:eastAsia="es-UY"/>
          <w14:ligatures w14:val="none"/>
        </w:rPr>
        <w:t> en un foro para la resolución pacífica de controversias entre Estados. El uso de la fuerza militar había sustituido a la justicia y al derecho internacional, bajo la convicción de que la paz solo puede alcanzarse tras la aniquilación del enemigo.</w:t>
      </w:r>
    </w:p>
    <w:p w14:paraId="1A4D49FC"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12B20BB0"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La portavoz del presidente </w:t>
      </w:r>
      <w:r w:rsidRPr="00422B5F">
        <w:rPr>
          <w:rFonts w:ascii="Arial" w:eastAsia="Times New Roman" w:hAnsi="Arial" w:cs="Arial"/>
          <w:b/>
          <w:bCs/>
          <w:color w:val="333333"/>
          <w:kern w:val="0"/>
          <w:sz w:val="24"/>
          <w:szCs w:val="24"/>
          <w:lang w:eastAsia="es-UY"/>
          <w14:ligatures w14:val="none"/>
        </w:rPr>
        <w:t>estadounidense</w:t>
      </w:r>
      <w:r w:rsidRPr="00422B5F">
        <w:rPr>
          <w:rFonts w:ascii="Arial" w:eastAsia="Times New Roman" w:hAnsi="Arial" w:cs="Arial"/>
          <w:color w:val="333333"/>
          <w:kern w:val="0"/>
          <w:sz w:val="24"/>
          <w:szCs w:val="24"/>
          <w:lang w:eastAsia="es-UY"/>
          <w14:ligatures w14:val="none"/>
        </w:rPr>
        <w:t> , fiel al estilo fluctuante y contradictorio que se ha vuelto habitual en sus declaraciones públicas, ofreció una explicación sesgada y a la defensiva sobre la guerra. Según ella, era necesaria para evitar que se repitieran los asesinatos de conciudadanos perpetrados durante años por el régimen </w:t>
      </w:r>
      <w:r w:rsidRPr="00422B5F">
        <w:rPr>
          <w:rFonts w:ascii="Arial" w:eastAsia="Times New Roman" w:hAnsi="Arial" w:cs="Arial"/>
          <w:b/>
          <w:bCs/>
          <w:color w:val="333333"/>
          <w:kern w:val="0"/>
          <w:sz w:val="24"/>
          <w:szCs w:val="24"/>
          <w:lang w:eastAsia="es-UY"/>
          <w14:ligatures w14:val="none"/>
        </w:rPr>
        <w:t>de Teherán</w:t>
      </w:r>
      <w:r w:rsidRPr="00422B5F">
        <w:rPr>
          <w:rFonts w:ascii="Arial" w:eastAsia="Times New Roman" w:hAnsi="Arial" w:cs="Arial"/>
          <w:color w:val="333333"/>
          <w:kern w:val="0"/>
          <w:sz w:val="24"/>
          <w:szCs w:val="24"/>
          <w:lang w:eastAsia="es-UY"/>
          <w14:ligatures w14:val="none"/>
        </w:rPr>
        <w:t> . Este intento de enmarcar las operaciones militares en </w:t>
      </w:r>
      <w:r w:rsidRPr="00422B5F">
        <w:rPr>
          <w:rFonts w:ascii="Arial" w:eastAsia="Times New Roman" w:hAnsi="Arial" w:cs="Arial"/>
          <w:b/>
          <w:bCs/>
          <w:color w:val="333333"/>
          <w:kern w:val="0"/>
          <w:sz w:val="24"/>
          <w:szCs w:val="24"/>
          <w:lang w:eastAsia="es-UY"/>
          <w14:ligatures w14:val="none"/>
        </w:rPr>
        <w:t>Irán</w:t>
      </w:r>
      <w:r w:rsidRPr="00422B5F">
        <w:rPr>
          <w:rFonts w:ascii="Arial" w:eastAsia="Times New Roman" w:hAnsi="Arial" w:cs="Arial"/>
          <w:color w:val="333333"/>
          <w:kern w:val="0"/>
          <w:sz w:val="24"/>
          <w:szCs w:val="24"/>
          <w:lang w:eastAsia="es-UY"/>
          <w14:ligatures w14:val="none"/>
        </w:rPr>
        <w:t> dentro de los cánones de la "guerra justa" resulta bastante torpe, considerando la beligerancia desmedida de los discursos presidenciales. Nos enfrentamos —como también afirmó el </w:t>
      </w:r>
      <w:r w:rsidRPr="00422B5F">
        <w:rPr>
          <w:rFonts w:ascii="Arial" w:eastAsia="Times New Roman" w:hAnsi="Arial" w:cs="Arial"/>
          <w:b/>
          <w:bCs/>
          <w:color w:val="333333"/>
          <w:kern w:val="0"/>
          <w:sz w:val="24"/>
          <w:szCs w:val="24"/>
          <w:lang w:eastAsia="es-UY"/>
          <w14:ligatures w14:val="none"/>
        </w:rPr>
        <w:t>ministro de Defensa italiano—</w:t>
      </w:r>
      <w:r w:rsidRPr="00422B5F">
        <w:rPr>
          <w:rFonts w:ascii="Arial" w:eastAsia="Times New Roman" w:hAnsi="Arial" w:cs="Arial"/>
          <w:color w:val="333333"/>
          <w:kern w:val="0"/>
          <w:sz w:val="24"/>
          <w:szCs w:val="24"/>
          <w:lang w:eastAsia="es-UY"/>
          <w14:ligatures w14:val="none"/>
        </w:rPr>
        <w:t> a una flagrante violación del derecho internacional, es decir, a una guerra que la </w:t>
      </w:r>
      <w:r w:rsidRPr="00422B5F">
        <w:rPr>
          <w:rFonts w:ascii="Arial" w:eastAsia="Times New Roman" w:hAnsi="Arial" w:cs="Arial"/>
          <w:b/>
          <w:bCs/>
          <w:color w:val="333333"/>
          <w:kern w:val="0"/>
          <w:sz w:val="24"/>
          <w:szCs w:val="24"/>
          <w:lang w:eastAsia="es-UY"/>
          <w14:ligatures w14:val="none"/>
        </w:rPr>
        <w:t>Santa Sede</w:t>
      </w:r>
      <w:r w:rsidRPr="00422B5F">
        <w:rPr>
          <w:rFonts w:ascii="Arial" w:eastAsia="Times New Roman" w:hAnsi="Arial" w:cs="Arial"/>
          <w:color w:val="333333"/>
          <w:kern w:val="0"/>
          <w:sz w:val="24"/>
          <w:szCs w:val="24"/>
          <w:lang w:eastAsia="es-UY"/>
          <w14:ligatures w14:val="none"/>
        </w:rPr>
        <w:t> considera ilícita.</w:t>
      </w:r>
    </w:p>
    <w:p w14:paraId="25E84C21"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53771449"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b/>
          <w:bCs/>
          <w:color w:val="333333"/>
          <w:kern w:val="0"/>
          <w:sz w:val="24"/>
          <w:szCs w:val="24"/>
          <w:lang w:eastAsia="es-UY"/>
          <w14:ligatures w14:val="none"/>
        </w:rPr>
        <w:lastRenderedPageBreak/>
        <w:t>¿Sería aplicable la postura de Broglio</w:t>
      </w:r>
      <w:r w:rsidRPr="00422B5F">
        <w:rPr>
          <w:rFonts w:ascii="Arial" w:eastAsia="Times New Roman" w:hAnsi="Arial" w:cs="Arial"/>
          <w:color w:val="333333"/>
          <w:kern w:val="0"/>
          <w:sz w:val="24"/>
          <w:szCs w:val="24"/>
          <w:lang w:eastAsia="es-UY"/>
          <w14:ligatures w14:val="none"/>
        </w:rPr>
        <w:t> sobre la negativa a obedecer órdenes inmorales al conflicto actual ? La postura actual del </w:t>
      </w:r>
      <w:r w:rsidRPr="00422B5F">
        <w:rPr>
          <w:rFonts w:ascii="Arial" w:eastAsia="Times New Roman" w:hAnsi="Arial" w:cs="Arial"/>
          <w:b/>
          <w:bCs/>
          <w:color w:val="333333"/>
          <w:kern w:val="0"/>
          <w:sz w:val="24"/>
          <w:szCs w:val="24"/>
          <w:lang w:eastAsia="es-UY"/>
          <w14:ligatures w14:val="none"/>
        </w:rPr>
        <w:t>Vaticano</w:t>
      </w:r>
      <w:r w:rsidRPr="00422B5F">
        <w:rPr>
          <w:rFonts w:ascii="Arial" w:eastAsia="Times New Roman" w:hAnsi="Arial" w:cs="Arial"/>
          <w:color w:val="333333"/>
          <w:kern w:val="0"/>
          <w:sz w:val="24"/>
          <w:szCs w:val="24"/>
          <w:lang w:eastAsia="es-UY"/>
          <w14:ligatures w14:val="none"/>
        </w:rPr>
        <w:t> sobre la objeción de conciencia se refleja en la homilía del </w:t>
      </w:r>
      <w:hyperlink r:id="rId11" w:tgtFrame="_blank" w:history="1">
        <w:r w:rsidRPr="00422B5F">
          <w:rPr>
            <w:rFonts w:ascii="Arial" w:eastAsia="Times New Roman" w:hAnsi="Arial" w:cs="Arial"/>
            <w:color w:val="FC6B01"/>
            <w:kern w:val="0"/>
            <w:sz w:val="24"/>
            <w:szCs w:val="24"/>
            <w:u w:val="single"/>
            <w:lang w:eastAsia="es-UY"/>
            <w14:ligatures w14:val="none"/>
          </w:rPr>
          <w:t>cardenal Parolin</w:t>
        </w:r>
      </w:hyperlink>
      <w:r w:rsidRPr="00422B5F">
        <w:rPr>
          <w:rFonts w:ascii="Arial" w:eastAsia="Times New Roman" w:hAnsi="Arial" w:cs="Arial"/>
          <w:color w:val="333333"/>
          <w:kern w:val="0"/>
          <w:sz w:val="24"/>
          <w:szCs w:val="24"/>
          <w:lang w:eastAsia="es-UY"/>
          <w14:ligatures w14:val="none"/>
        </w:rPr>
        <w:t> , pronunciada el 3 de marzo, precisamente en la misa celebrada por el centenario del </w:t>
      </w:r>
      <w:proofErr w:type="spellStart"/>
      <w:r w:rsidRPr="00422B5F">
        <w:rPr>
          <w:rFonts w:ascii="Arial" w:eastAsia="Times New Roman" w:hAnsi="Arial" w:cs="Arial"/>
          <w:b/>
          <w:bCs/>
          <w:color w:val="333333"/>
          <w:kern w:val="0"/>
          <w:sz w:val="24"/>
          <w:szCs w:val="24"/>
          <w:lang w:eastAsia="es-UY"/>
          <w14:ligatures w14:val="none"/>
        </w:rPr>
        <w:t>Ordinariato</w:t>
      </w:r>
      <w:proofErr w:type="spellEnd"/>
      <w:r w:rsidRPr="00422B5F">
        <w:rPr>
          <w:rFonts w:ascii="Arial" w:eastAsia="Times New Roman" w:hAnsi="Arial" w:cs="Arial"/>
          <w:b/>
          <w:bCs/>
          <w:color w:val="333333"/>
          <w:kern w:val="0"/>
          <w:sz w:val="24"/>
          <w:szCs w:val="24"/>
          <w:lang w:eastAsia="es-UY"/>
          <w14:ligatures w14:val="none"/>
        </w:rPr>
        <w:t xml:space="preserve"> Militar Italiano</w:t>
      </w:r>
      <w:r w:rsidRPr="00422B5F">
        <w:rPr>
          <w:rFonts w:ascii="Arial" w:eastAsia="Times New Roman" w:hAnsi="Arial" w:cs="Arial"/>
          <w:color w:val="333333"/>
          <w:kern w:val="0"/>
          <w:sz w:val="24"/>
          <w:szCs w:val="24"/>
          <w:lang w:eastAsia="es-UY"/>
          <w14:ligatures w14:val="none"/>
        </w:rPr>
        <w:t> .</w:t>
      </w:r>
    </w:p>
    <w:p w14:paraId="0B7BCABE"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1A521AF3"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En aquella ocasión, afirmó que, en cualquier escenario bélico, el deber de sus miembros es mantener viva la «conciencia militar» del soldado, pues es en este ámbito donde se pone en juego el discernimiento de los valores cristianos fundamentales. La </w:t>
      </w:r>
      <w:r w:rsidRPr="00422B5F">
        <w:rPr>
          <w:rFonts w:ascii="Arial" w:eastAsia="Times New Roman" w:hAnsi="Arial" w:cs="Arial"/>
          <w:b/>
          <w:bCs/>
          <w:color w:val="333333"/>
          <w:kern w:val="0"/>
          <w:sz w:val="24"/>
          <w:szCs w:val="24"/>
          <w:lang w:eastAsia="es-UY"/>
          <w14:ligatures w14:val="none"/>
        </w:rPr>
        <w:t>Iglesia</w:t>
      </w:r>
      <w:r w:rsidRPr="00422B5F">
        <w:rPr>
          <w:rFonts w:ascii="Arial" w:eastAsia="Times New Roman" w:hAnsi="Arial" w:cs="Arial"/>
          <w:color w:val="333333"/>
          <w:kern w:val="0"/>
          <w:sz w:val="24"/>
          <w:szCs w:val="24"/>
          <w:lang w:eastAsia="es-UY"/>
          <w14:ligatures w14:val="none"/>
        </w:rPr>
        <w:t> incluye la lealtad al Estado, pero su máxima prioridad es el respeto a la dignidad humana. El cardenal, al parecer, se adhirió a los preceptos del </w:t>
      </w:r>
      <w:r w:rsidRPr="00422B5F">
        <w:rPr>
          <w:rFonts w:ascii="Arial" w:eastAsia="Times New Roman" w:hAnsi="Arial" w:cs="Arial"/>
          <w:b/>
          <w:bCs/>
          <w:color w:val="333333"/>
          <w:kern w:val="0"/>
          <w:sz w:val="24"/>
          <w:szCs w:val="24"/>
          <w:lang w:eastAsia="es-UY"/>
          <w14:ligatures w14:val="none"/>
        </w:rPr>
        <w:t>Catecismo</w:t>
      </w:r>
      <w:r w:rsidRPr="00422B5F">
        <w:rPr>
          <w:rFonts w:ascii="Arial" w:eastAsia="Times New Roman" w:hAnsi="Arial" w:cs="Arial"/>
          <w:color w:val="333333"/>
          <w:kern w:val="0"/>
          <w:sz w:val="24"/>
          <w:szCs w:val="24"/>
          <w:lang w:eastAsia="es-UY"/>
          <w14:ligatures w14:val="none"/>
        </w:rPr>
        <w:t> : la objeción de conciencia se refiere a las violaciones del derecho internacional humanitario.</w:t>
      </w:r>
    </w:p>
    <w:p w14:paraId="36DBF48C"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5AE09B5E"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El discurso de </w:t>
      </w:r>
      <w:r w:rsidRPr="00422B5F">
        <w:rPr>
          <w:rFonts w:ascii="Arial" w:eastAsia="Times New Roman" w:hAnsi="Arial" w:cs="Arial"/>
          <w:b/>
          <w:bCs/>
          <w:color w:val="333333"/>
          <w:kern w:val="0"/>
          <w:sz w:val="24"/>
          <w:szCs w:val="24"/>
          <w:lang w:eastAsia="es-UY"/>
          <w14:ligatures w14:val="none"/>
        </w:rPr>
        <w:t>León XIV</w:t>
      </w:r>
      <w:r w:rsidRPr="00422B5F">
        <w:rPr>
          <w:rFonts w:ascii="Arial" w:eastAsia="Times New Roman" w:hAnsi="Arial" w:cs="Arial"/>
          <w:color w:val="333333"/>
          <w:kern w:val="0"/>
          <w:sz w:val="24"/>
          <w:szCs w:val="24"/>
          <w:lang w:eastAsia="es-UY"/>
          <w14:ligatures w14:val="none"/>
        </w:rPr>
        <w:t xml:space="preserve"> a los representantes del </w:t>
      </w:r>
      <w:proofErr w:type="spellStart"/>
      <w:r w:rsidRPr="00422B5F">
        <w:rPr>
          <w:rFonts w:ascii="Arial" w:eastAsia="Times New Roman" w:hAnsi="Arial" w:cs="Arial"/>
          <w:color w:val="333333"/>
          <w:kern w:val="0"/>
          <w:sz w:val="24"/>
          <w:szCs w:val="24"/>
          <w:lang w:eastAsia="es-UY"/>
          <w14:ligatures w14:val="none"/>
        </w:rPr>
        <w:t>Ordinariato</w:t>
      </w:r>
      <w:proofErr w:type="spellEnd"/>
      <w:r w:rsidRPr="00422B5F">
        <w:rPr>
          <w:rFonts w:ascii="Arial" w:eastAsia="Times New Roman" w:hAnsi="Arial" w:cs="Arial"/>
          <w:color w:val="333333"/>
          <w:kern w:val="0"/>
          <w:sz w:val="24"/>
          <w:szCs w:val="24"/>
          <w:lang w:eastAsia="es-UY"/>
          <w14:ligatures w14:val="none"/>
        </w:rPr>
        <w:t>, sin embargo, no abordó la cuestión de la conciencia. El </w:t>
      </w:r>
      <w:r w:rsidRPr="00422B5F">
        <w:rPr>
          <w:rFonts w:ascii="Arial" w:eastAsia="Times New Roman" w:hAnsi="Arial" w:cs="Arial"/>
          <w:b/>
          <w:bCs/>
          <w:color w:val="333333"/>
          <w:kern w:val="0"/>
          <w:sz w:val="24"/>
          <w:szCs w:val="24"/>
          <w:lang w:eastAsia="es-UY"/>
          <w14:ligatures w14:val="none"/>
        </w:rPr>
        <w:t>Papa</w:t>
      </w:r>
      <w:r w:rsidRPr="00422B5F">
        <w:rPr>
          <w:rFonts w:ascii="Arial" w:eastAsia="Times New Roman" w:hAnsi="Arial" w:cs="Arial"/>
          <w:color w:val="333333"/>
          <w:kern w:val="0"/>
          <w:sz w:val="24"/>
          <w:szCs w:val="24"/>
          <w:lang w:eastAsia="es-UY"/>
          <w14:ligatures w14:val="none"/>
        </w:rPr>
        <w:t> argumentó que la guerra es inevitable debido al pecado en el que viven los hombres, añadiendo, no obstante, que gracias a la venida de Cristo, la violencia puede superarse. E indicó a los capellanes cómo alcanzar este objetivo: «Proteger la convivencia pacífica, intervenir en las calamidades, actuar en misiones internacionales para preservar la paz y restablecer el orden».</w:t>
      </w:r>
    </w:p>
    <w:p w14:paraId="7E1678D1"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75B53CBD"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Se trata de una postura innovadora, ya que el pontífice —si bien no mencionó la sacralización de la violencia bélica, práctica común entre los capellanes militares durante las dos guerras mundiales— evitó cuidadosamente cualquier posible legitimación de ese nacionalcatolicismo que constituía la ideología de referencia del </w:t>
      </w:r>
      <w:proofErr w:type="spellStart"/>
      <w:r w:rsidRPr="00422B5F">
        <w:rPr>
          <w:rFonts w:ascii="Arial" w:eastAsia="Times New Roman" w:hAnsi="Arial" w:cs="Arial"/>
          <w:b/>
          <w:bCs/>
          <w:color w:val="333333"/>
          <w:kern w:val="0"/>
          <w:sz w:val="24"/>
          <w:szCs w:val="24"/>
          <w:lang w:eastAsia="es-UY"/>
          <w14:ligatures w14:val="none"/>
        </w:rPr>
        <w:t>Ordinariato</w:t>
      </w:r>
      <w:proofErr w:type="spellEnd"/>
      <w:r w:rsidRPr="00422B5F">
        <w:rPr>
          <w:rFonts w:ascii="Arial" w:eastAsia="Times New Roman" w:hAnsi="Arial" w:cs="Arial"/>
          <w:b/>
          <w:bCs/>
          <w:color w:val="333333"/>
          <w:kern w:val="0"/>
          <w:sz w:val="24"/>
          <w:szCs w:val="24"/>
          <w:lang w:eastAsia="es-UY"/>
          <w14:ligatures w14:val="none"/>
        </w:rPr>
        <w:t xml:space="preserve"> Militar en Italia</w:t>
      </w:r>
      <w:r w:rsidRPr="00422B5F">
        <w:rPr>
          <w:rFonts w:ascii="Arial" w:eastAsia="Times New Roman" w:hAnsi="Arial" w:cs="Arial"/>
          <w:color w:val="333333"/>
          <w:kern w:val="0"/>
          <w:sz w:val="24"/>
          <w:szCs w:val="24"/>
          <w:lang w:eastAsia="es-UY"/>
          <w14:ligatures w14:val="none"/>
        </w:rPr>
        <w:t> y en diversos países del mundo. Actualmente, los capellanes están al servicio de las intervenciones humanitarias lideradas por las </w:t>
      </w:r>
      <w:r w:rsidRPr="00422B5F">
        <w:rPr>
          <w:rFonts w:ascii="Arial" w:eastAsia="Times New Roman" w:hAnsi="Arial" w:cs="Arial"/>
          <w:b/>
          <w:bCs/>
          <w:color w:val="333333"/>
          <w:kern w:val="0"/>
          <w:sz w:val="24"/>
          <w:szCs w:val="24"/>
          <w:lang w:eastAsia="es-UY"/>
          <w14:ligatures w14:val="none"/>
        </w:rPr>
        <w:t>Naciones Unidas</w:t>
      </w:r>
      <w:r w:rsidRPr="00422B5F">
        <w:rPr>
          <w:rFonts w:ascii="Arial" w:eastAsia="Times New Roman" w:hAnsi="Arial" w:cs="Arial"/>
          <w:color w:val="333333"/>
          <w:kern w:val="0"/>
          <w:sz w:val="24"/>
          <w:szCs w:val="24"/>
          <w:lang w:eastAsia="es-UY"/>
          <w14:ligatures w14:val="none"/>
        </w:rPr>
        <w:t> .</w:t>
      </w:r>
    </w:p>
    <w:p w14:paraId="2B3AD541"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44E80576" w14:textId="77777777" w:rsid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¿Debemos concluir, entonces, que la </w:t>
      </w:r>
      <w:r w:rsidRPr="00422B5F">
        <w:rPr>
          <w:rFonts w:ascii="Arial" w:eastAsia="Times New Roman" w:hAnsi="Arial" w:cs="Arial"/>
          <w:b/>
          <w:bCs/>
          <w:color w:val="333333"/>
          <w:kern w:val="0"/>
          <w:sz w:val="24"/>
          <w:szCs w:val="24"/>
          <w:lang w:eastAsia="es-UY"/>
          <w14:ligatures w14:val="none"/>
        </w:rPr>
        <w:t>Santa Sede</w:t>
      </w:r>
      <w:r w:rsidRPr="00422B5F">
        <w:rPr>
          <w:rFonts w:ascii="Arial" w:eastAsia="Times New Roman" w:hAnsi="Arial" w:cs="Arial"/>
          <w:color w:val="333333"/>
          <w:kern w:val="0"/>
          <w:sz w:val="24"/>
          <w:szCs w:val="24"/>
          <w:lang w:eastAsia="es-UY"/>
          <w14:ligatures w14:val="none"/>
        </w:rPr>
        <w:t> aún no está preparada para la integración en el </w:t>
      </w:r>
      <w:r w:rsidRPr="00422B5F">
        <w:rPr>
          <w:rFonts w:ascii="Arial" w:eastAsia="Times New Roman" w:hAnsi="Arial" w:cs="Arial"/>
          <w:b/>
          <w:bCs/>
          <w:color w:val="333333"/>
          <w:kern w:val="0"/>
          <w:sz w:val="24"/>
          <w:szCs w:val="24"/>
          <w:lang w:eastAsia="es-UY"/>
          <w14:ligatures w14:val="none"/>
        </w:rPr>
        <w:t>Catecismo</w:t>
      </w:r>
      <w:r w:rsidRPr="00422B5F">
        <w:rPr>
          <w:rFonts w:ascii="Arial" w:eastAsia="Times New Roman" w:hAnsi="Arial" w:cs="Arial"/>
          <w:color w:val="333333"/>
          <w:kern w:val="0"/>
          <w:sz w:val="24"/>
          <w:szCs w:val="24"/>
          <w:lang w:eastAsia="es-UY"/>
          <w14:ligatures w14:val="none"/>
        </w:rPr>
        <w:t> llevada a cabo por el </w:t>
      </w:r>
      <w:r w:rsidRPr="00422B5F">
        <w:rPr>
          <w:rFonts w:ascii="Arial" w:eastAsia="Times New Roman" w:hAnsi="Arial" w:cs="Arial"/>
          <w:b/>
          <w:bCs/>
          <w:color w:val="333333"/>
          <w:kern w:val="0"/>
          <w:sz w:val="24"/>
          <w:szCs w:val="24"/>
          <w:lang w:eastAsia="es-UY"/>
          <w14:ligatures w14:val="none"/>
        </w:rPr>
        <w:t>Ordinario Militar de EE. UU</w:t>
      </w:r>
      <w:r w:rsidRPr="00422B5F">
        <w:rPr>
          <w:rFonts w:ascii="Arial" w:eastAsia="Times New Roman" w:hAnsi="Arial" w:cs="Arial"/>
          <w:color w:val="333333"/>
          <w:kern w:val="0"/>
          <w:sz w:val="24"/>
          <w:szCs w:val="24"/>
          <w:lang w:eastAsia="es-UY"/>
          <w14:ligatures w14:val="none"/>
        </w:rPr>
        <w:t> .? Como demuestran numerosas declaraciones, la principal preocupación de </w:t>
      </w:r>
      <w:r w:rsidRPr="00422B5F">
        <w:rPr>
          <w:rFonts w:ascii="Arial" w:eastAsia="Times New Roman" w:hAnsi="Arial" w:cs="Arial"/>
          <w:b/>
          <w:bCs/>
          <w:color w:val="333333"/>
          <w:kern w:val="0"/>
          <w:sz w:val="24"/>
          <w:szCs w:val="24"/>
          <w:lang w:eastAsia="es-UY"/>
          <w14:ligatures w14:val="none"/>
        </w:rPr>
        <w:t>Prevost</w:t>
      </w:r>
      <w:r w:rsidRPr="00422B5F">
        <w:rPr>
          <w:rFonts w:ascii="Arial" w:eastAsia="Times New Roman" w:hAnsi="Arial" w:cs="Arial"/>
          <w:color w:val="333333"/>
          <w:kern w:val="0"/>
          <w:sz w:val="24"/>
          <w:szCs w:val="24"/>
          <w:lang w:eastAsia="es-UY"/>
          <w14:ligatures w14:val="none"/>
        </w:rPr>
        <w:t> es promover una pedagogía adecuada de la no violencia dentro de la Iglesia. Me parece que las intervenciones de la </w:t>
      </w:r>
      <w:r w:rsidRPr="00422B5F">
        <w:rPr>
          <w:rFonts w:ascii="Arial" w:eastAsia="Times New Roman" w:hAnsi="Arial" w:cs="Arial"/>
          <w:b/>
          <w:bCs/>
          <w:color w:val="333333"/>
          <w:kern w:val="0"/>
          <w:sz w:val="24"/>
          <w:szCs w:val="24"/>
          <w:lang w:eastAsia="es-UY"/>
          <w14:ligatures w14:val="none"/>
        </w:rPr>
        <w:t>Santa Sede</w:t>
      </w:r>
      <w:r w:rsidRPr="00422B5F">
        <w:rPr>
          <w:rFonts w:ascii="Arial" w:eastAsia="Times New Roman" w:hAnsi="Arial" w:cs="Arial"/>
          <w:color w:val="333333"/>
          <w:kern w:val="0"/>
          <w:sz w:val="24"/>
          <w:szCs w:val="24"/>
          <w:lang w:eastAsia="es-UY"/>
          <w14:ligatures w14:val="none"/>
        </w:rPr>
        <w:t> pueden interpretarse desde esta perspectiva. Por ahora, se trata de adherirse al Catecismo, mientras se espera que todos los fieles maduren en su comprensión del vínculo inseparable entre la paz y el </w:t>
      </w:r>
      <w:r w:rsidRPr="00422B5F">
        <w:rPr>
          <w:rFonts w:ascii="Arial" w:eastAsia="Times New Roman" w:hAnsi="Arial" w:cs="Arial"/>
          <w:b/>
          <w:bCs/>
          <w:color w:val="333333"/>
          <w:kern w:val="0"/>
          <w:sz w:val="24"/>
          <w:szCs w:val="24"/>
          <w:lang w:eastAsia="es-UY"/>
          <w14:ligatures w14:val="none"/>
        </w:rPr>
        <w:t>Evangelio</w:t>
      </w:r>
      <w:r w:rsidRPr="00422B5F">
        <w:rPr>
          <w:rFonts w:ascii="Arial" w:eastAsia="Times New Roman" w:hAnsi="Arial" w:cs="Arial"/>
          <w:color w:val="333333"/>
          <w:kern w:val="0"/>
          <w:sz w:val="24"/>
          <w:szCs w:val="24"/>
          <w:lang w:eastAsia="es-UY"/>
          <w14:ligatures w14:val="none"/>
        </w:rPr>
        <w:t> . Solo entonces será posible vislumbrar el rechazo del creyente no solo a las órdenes que violan el derecho humanitario, sino también a las que violan el derecho internacional.</w:t>
      </w:r>
    </w:p>
    <w:p w14:paraId="188867CE"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p>
    <w:p w14:paraId="142661CD" w14:textId="77777777" w:rsidR="00422B5F" w:rsidRPr="00422B5F" w:rsidRDefault="00422B5F" w:rsidP="00422B5F">
      <w:pPr>
        <w:spacing w:after="0" w:line="240" w:lineRule="auto"/>
        <w:jc w:val="both"/>
        <w:rPr>
          <w:rFonts w:ascii="Arial" w:eastAsia="Times New Roman" w:hAnsi="Arial" w:cs="Arial"/>
          <w:color w:val="333333"/>
          <w:kern w:val="0"/>
          <w:sz w:val="24"/>
          <w:szCs w:val="24"/>
          <w:lang w:eastAsia="es-UY"/>
          <w14:ligatures w14:val="none"/>
        </w:rPr>
      </w:pPr>
      <w:r w:rsidRPr="00422B5F">
        <w:rPr>
          <w:rFonts w:ascii="Arial" w:eastAsia="Times New Roman" w:hAnsi="Arial" w:cs="Arial"/>
          <w:color w:val="333333"/>
          <w:kern w:val="0"/>
          <w:sz w:val="24"/>
          <w:szCs w:val="24"/>
          <w:lang w:eastAsia="es-UY"/>
          <w14:ligatures w14:val="none"/>
        </w:rPr>
        <w:t>Mientras tanto, el propio </w:t>
      </w:r>
      <w:r w:rsidRPr="00422B5F">
        <w:rPr>
          <w:rFonts w:ascii="Arial" w:eastAsia="Times New Roman" w:hAnsi="Arial" w:cs="Arial"/>
          <w:b/>
          <w:bCs/>
          <w:color w:val="333333"/>
          <w:kern w:val="0"/>
          <w:sz w:val="24"/>
          <w:szCs w:val="24"/>
          <w:lang w:eastAsia="es-UY"/>
          <w14:ligatures w14:val="none"/>
        </w:rPr>
        <w:t>Papa</w:t>
      </w:r>
      <w:r w:rsidRPr="00422B5F">
        <w:rPr>
          <w:rFonts w:ascii="Arial" w:eastAsia="Times New Roman" w:hAnsi="Arial" w:cs="Arial"/>
          <w:color w:val="333333"/>
          <w:kern w:val="0"/>
          <w:sz w:val="24"/>
          <w:szCs w:val="24"/>
          <w:lang w:eastAsia="es-UY"/>
          <w14:ligatures w14:val="none"/>
        </w:rPr>
        <w:t> , en su discurso al cuerpo diplomático el pasado mes de enero, hizo un enérgico llamamiento a los Estados para que reconocieran el derecho a la objeción de conciencia en su totalidad: "Ya sea la negativa al servicio militar en nombre de la no violencia, o la negación de prácticas como el aborto o la eutanasia por parte de médicos y profesionales sanitarios".</w:t>
      </w:r>
    </w:p>
    <w:p w14:paraId="35397A0D" w14:textId="77777777" w:rsidR="00926044" w:rsidRDefault="00926044"/>
    <w:p w14:paraId="45856C27" w14:textId="09D5EC9B" w:rsidR="00422B5F" w:rsidRDefault="00422B5F">
      <w:hyperlink r:id="rId12" w:history="1">
        <w:r w:rsidRPr="00480330">
          <w:rPr>
            <w:rStyle w:val="Hipervnculo"/>
          </w:rPr>
          <w:t>https://www.ihu.unisinos.br/663659-a-santa-se-as-guerras-de-trump-a-objecao-artigo-de-daniele-menozzi</w:t>
        </w:r>
      </w:hyperlink>
    </w:p>
    <w:p w14:paraId="55DB7CA5" w14:textId="77777777" w:rsidR="00422B5F" w:rsidRDefault="00422B5F"/>
    <w:sectPr w:rsidR="00422B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B5F"/>
    <w:rsid w:val="00096340"/>
    <w:rsid w:val="00422B5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523C"/>
  <w15:chartTrackingRefBased/>
  <w15:docId w15:val="{5CE09781-34DA-441A-BF39-9034C92F4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2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22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22B5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22B5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22B5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22B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22B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22B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22B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2B5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22B5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22B5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22B5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22B5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22B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22B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22B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22B5F"/>
    <w:rPr>
      <w:rFonts w:eastAsiaTheme="majorEastAsia" w:cstheme="majorBidi"/>
      <w:color w:val="272727" w:themeColor="text1" w:themeTint="D8"/>
    </w:rPr>
  </w:style>
  <w:style w:type="paragraph" w:styleId="Ttulo">
    <w:name w:val="Title"/>
    <w:basedOn w:val="Normal"/>
    <w:next w:val="Normal"/>
    <w:link w:val="TtuloCar"/>
    <w:uiPriority w:val="10"/>
    <w:qFormat/>
    <w:rsid w:val="00422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22B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22B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22B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22B5F"/>
    <w:pPr>
      <w:spacing w:before="160"/>
      <w:jc w:val="center"/>
    </w:pPr>
    <w:rPr>
      <w:i/>
      <w:iCs/>
      <w:color w:val="404040" w:themeColor="text1" w:themeTint="BF"/>
    </w:rPr>
  </w:style>
  <w:style w:type="character" w:customStyle="1" w:styleId="CitaCar">
    <w:name w:val="Cita Car"/>
    <w:basedOn w:val="Fuentedeprrafopredeter"/>
    <w:link w:val="Cita"/>
    <w:uiPriority w:val="29"/>
    <w:rsid w:val="00422B5F"/>
    <w:rPr>
      <w:i/>
      <w:iCs/>
      <w:color w:val="404040" w:themeColor="text1" w:themeTint="BF"/>
    </w:rPr>
  </w:style>
  <w:style w:type="paragraph" w:styleId="Prrafodelista">
    <w:name w:val="List Paragraph"/>
    <w:basedOn w:val="Normal"/>
    <w:uiPriority w:val="34"/>
    <w:qFormat/>
    <w:rsid w:val="00422B5F"/>
    <w:pPr>
      <w:ind w:left="720"/>
      <w:contextualSpacing/>
    </w:pPr>
  </w:style>
  <w:style w:type="character" w:styleId="nfasisintenso">
    <w:name w:val="Intense Emphasis"/>
    <w:basedOn w:val="Fuentedeprrafopredeter"/>
    <w:uiPriority w:val="21"/>
    <w:qFormat/>
    <w:rsid w:val="00422B5F"/>
    <w:rPr>
      <w:i/>
      <w:iCs/>
      <w:color w:val="0F4761" w:themeColor="accent1" w:themeShade="BF"/>
    </w:rPr>
  </w:style>
  <w:style w:type="paragraph" w:styleId="Citadestacada">
    <w:name w:val="Intense Quote"/>
    <w:basedOn w:val="Normal"/>
    <w:next w:val="Normal"/>
    <w:link w:val="CitadestacadaCar"/>
    <w:uiPriority w:val="30"/>
    <w:qFormat/>
    <w:rsid w:val="00422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22B5F"/>
    <w:rPr>
      <w:i/>
      <w:iCs/>
      <w:color w:val="0F4761" w:themeColor="accent1" w:themeShade="BF"/>
    </w:rPr>
  </w:style>
  <w:style w:type="character" w:styleId="Referenciaintensa">
    <w:name w:val="Intense Reference"/>
    <w:basedOn w:val="Fuentedeprrafopredeter"/>
    <w:uiPriority w:val="32"/>
    <w:qFormat/>
    <w:rsid w:val="00422B5F"/>
    <w:rPr>
      <w:b/>
      <w:bCs/>
      <w:smallCaps/>
      <w:color w:val="0F4761" w:themeColor="accent1" w:themeShade="BF"/>
      <w:spacing w:val="5"/>
    </w:rPr>
  </w:style>
  <w:style w:type="character" w:styleId="Hipervnculo">
    <w:name w:val="Hyperlink"/>
    <w:basedOn w:val="Fuentedeprrafopredeter"/>
    <w:uiPriority w:val="99"/>
    <w:unhideWhenUsed/>
    <w:rsid w:val="00422B5F"/>
    <w:rPr>
      <w:color w:val="467886" w:themeColor="hyperlink"/>
      <w:u w:val="single"/>
    </w:rPr>
  </w:style>
  <w:style w:type="character" w:styleId="Mencinsinresolver">
    <w:name w:val="Unresolved Mention"/>
    <w:basedOn w:val="Fuentedeprrafopredeter"/>
    <w:uiPriority w:val="99"/>
    <w:semiHidden/>
    <w:unhideWhenUsed/>
    <w:rsid w:val="00422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63486-o-fascinio-infeliz-da-guerra-artigo-de-severino-dianich"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hu.unisinos.br/categorias/645980-dom-timothy-broglio-da-entrevista-chocante-a-midia-conservadora-antes-da-assembleia-dos-bispos-dos-eua-artigo-de-michael-sean-winters" TargetMode="External"/><Relationship Id="rId12" Type="http://schemas.openxmlformats.org/officeDocument/2006/relationships/hyperlink" Target="https://www.ihu.unisinos.br/663659-a-santa-se-as-guerras-de-trump-a-objecao-artigo-de-daniele-menozz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imaloro.com/" TargetMode="External"/><Relationship Id="rId11" Type="http://schemas.openxmlformats.org/officeDocument/2006/relationships/hyperlink" Target="https://ihu.unisinos.br/categorias/651151-papabile-do-dia-cardeal-pietro-parolin" TargetMode="External"/><Relationship Id="rId5" Type="http://schemas.openxmlformats.org/officeDocument/2006/relationships/hyperlink" Target="https://www.ihu.unisinos.br/651697-igreja-mae-nao-professora-o-legado-de-bergoglio-entrevista-com-daniele-menozzi" TargetMode="External"/><Relationship Id="rId10" Type="http://schemas.openxmlformats.org/officeDocument/2006/relationships/hyperlink" Target="https://ihu.unisinos.br/categorias/651151-papabile-do-dia-cardeal-pietro-parolin" TargetMode="External"/><Relationship Id="rId4" Type="http://schemas.openxmlformats.org/officeDocument/2006/relationships/image" Target="media/image1.png"/><Relationship Id="rId9" Type="http://schemas.openxmlformats.org/officeDocument/2006/relationships/hyperlink" Target="https://www.ihu.unisinos.br/categorias/663439-trump-se-vangloria-de-vencer-a-guerra-no-ira-e-ataca-o-regime-que-grande-honra-e-matar-os-lideres-iranianos-desvairados"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1453</Words>
  <Characters>7993</Characters>
  <Application>Microsoft Office Word</Application>
  <DocSecurity>0</DocSecurity>
  <Lines>66</Lines>
  <Paragraphs>18</Paragraphs>
  <ScaleCrop>false</ScaleCrop>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2026-03-18T20:00:00Z</dcterms:created>
  <dcterms:modified xsi:type="dcterms:W3CDTF">2026-03-18T20:03:00Z</dcterms:modified>
</cp:coreProperties>
</file>