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EE760" w14:textId="77777777" w:rsidR="00A174ED" w:rsidRPr="00A174ED" w:rsidRDefault="00A174ED" w:rsidP="00A174ED">
      <w:pPr>
        <w:shd w:val="clear" w:color="auto" w:fill="FFFFFF"/>
        <w:spacing w:before="480" w:after="120" w:line="240" w:lineRule="auto"/>
        <w:jc w:val="both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es-UY"/>
          <w14:ligatures w14:val="none"/>
        </w:rPr>
      </w:pPr>
      <w:r w:rsidRPr="00A174ED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lang w:eastAsia="es-UY"/>
          <w14:ligatures w14:val="none"/>
        </w:rPr>
        <w:t>TikTok invertirá 23.000 millones para asegurar su futuro en la inteligencia artificial</w:t>
      </w:r>
    </w:p>
    <w:p w14:paraId="6D2F23D1" w14:textId="77777777" w:rsidR="00A174ED" w:rsidRPr="00A174ED" w:rsidRDefault="00A174ED" w:rsidP="00A174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A174E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7F75BA51" wp14:editId="6279C463">
            <wp:extent cx="5162550" cy="18542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DEFE1" w14:textId="77777777" w:rsidR="00A174ED" w:rsidRPr="00A174ED" w:rsidRDefault="00A174ED" w:rsidP="00A174E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</w:p>
    <w:p w14:paraId="2E685465" w14:textId="77777777" w:rsidR="00A174ED" w:rsidRPr="00A174ED" w:rsidRDefault="00A174ED" w:rsidP="00A174E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La carrera por la inteligencia artificial ya no se libra solo en el terreno del software. El anuncio de que </w:t>
      </w:r>
      <w:proofErr w:type="spellStart"/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ByteDance</w:t>
      </w:r>
      <w:proofErr w:type="spellEnd"/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, la empresa detrás de la plataforma de </w:t>
      </w:r>
      <w:proofErr w:type="gramStart"/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TikTok,</w:t>
      </w:r>
      <w:proofErr w:type="gramEnd"/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planea destinar hasta 23.000 millones de dólares a infraestructura de IA y desarrollar su propio chip, cuya fabricación negocia con Samsung, confirma un giro estratégico: </w:t>
      </w:r>
      <w:r w:rsidRPr="00A174E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quien controla modelo, datos e infraestructura controla el mercado</w:t>
      </w: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Esta dinámica, visible en el sector tecnológico, empieza a replicarse con fuerza en el energético.</w:t>
      </w:r>
    </w:p>
    <w:p w14:paraId="737A6F5E" w14:textId="77777777" w:rsidR="00A174ED" w:rsidRPr="00A174ED" w:rsidRDefault="00A174ED" w:rsidP="00A174ED">
      <w:pPr>
        <w:shd w:val="clear" w:color="auto" w:fill="FFFFFF"/>
        <w:spacing w:before="360" w:after="80" w:line="240" w:lineRule="auto"/>
        <w:jc w:val="both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UY"/>
          <w14:ligatures w14:val="none"/>
        </w:rPr>
      </w:pPr>
      <w:r w:rsidRPr="00A174E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:lang w:eastAsia="es-UY"/>
          <w14:ligatures w14:val="none"/>
        </w:rPr>
        <w:t>Inversión masiva en chips y centros de datos</w:t>
      </w:r>
    </w:p>
    <w:p w14:paraId="3B0F70B2" w14:textId="77777777" w:rsidR="00A174ED" w:rsidRPr="00A174ED" w:rsidRDefault="00A174ED" w:rsidP="00A174E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El grupo chino, matriz de TikTok, prevé incrementar de forma sustancial su gasto en inteligencia artificial durante 2026, con un desembolso multimillonario orientado a reforzar su capacidad de cómputo y reducir la dependencia de terceros proveedores. La estrategia incluye </w:t>
      </w:r>
      <w:r w:rsidRPr="00A174E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el diseño de un chip propio optimizado para cargas de trabajo de IA</w:t>
      </w: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un movimiento que busca asegurar rendimiento, eficiencia y soberanía tecnológica en un contexto de restricciones comerciales y competencia global, en línea con la creciente interdependencia entre</w:t>
      </w:r>
      <w:hyperlink r:id="rId6" w:tgtFrame="_blank" w:history="1">
        <w:r w:rsidRPr="00A174ED">
          <w:rPr>
            <w:rFonts w:ascii="Arial" w:eastAsia="Times New Roman" w:hAnsi="Arial" w:cs="Arial"/>
            <w:color w:val="000000"/>
            <w:kern w:val="0"/>
            <w:sz w:val="20"/>
            <w:szCs w:val="20"/>
            <w:u w:val="single"/>
            <w:lang w:eastAsia="es-UY"/>
            <w14:ligatures w14:val="none"/>
          </w:rPr>
          <w:t> </w:t>
        </w:r>
        <w:r w:rsidRPr="00A174ED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inteligencia artificial y consumo energético</w:t>
        </w:r>
      </w:hyperlink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</w:t>
      </w:r>
    </w:p>
    <w:p w14:paraId="5A6326C4" w14:textId="77777777" w:rsidR="00A174ED" w:rsidRPr="00A174ED" w:rsidRDefault="00A174ED" w:rsidP="00A174E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La inversión, cifrada en torno a 23.000 millones de dólares según diversas informaciones financieras, se destinará en buena parte a infraestructuras físicas clave:</w:t>
      </w:r>
    </w:p>
    <w:p w14:paraId="28D31FB2" w14:textId="77777777" w:rsidR="00A174ED" w:rsidRPr="00A174ED" w:rsidRDefault="00A174ED" w:rsidP="00A174ED">
      <w:pPr>
        <w:numPr>
          <w:ilvl w:val="0"/>
          <w:numId w:val="1"/>
        </w:numPr>
        <w:spacing w:before="240"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</w:pPr>
      <w:r w:rsidRPr="00A174E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La construcción y ampliación de centros de datos capaces de soportar modelos de gran escala</w:t>
      </w: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con altas exigencias de procesamiento continuo.</w:t>
      </w:r>
    </w:p>
    <w:p w14:paraId="4673B81F" w14:textId="77777777" w:rsidR="00A174ED" w:rsidRPr="00A174ED" w:rsidRDefault="00A174ED" w:rsidP="00A174ED">
      <w:pPr>
        <w:numPr>
          <w:ilvl w:val="0"/>
          <w:numId w:val="1"/>
        </w:numPr>
        <w:spacing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</w:pPr>
      <w:r w:rsidRPr="00A174E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La adquisición de servidores avanzados y capacidad de cómputo dedicada</w:t>
      </w: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orientada a entrenar y desplegar sistemas de inteligencia artificial propios.</w:t>
      </w:r>
    </w:p>
    <w:p w14:paraId="606B4989" w14:textId="77777777" w:rsidR="00A174ED" w:rsidRPr="00A174ED" w:rsidRDefault="00A174ED" w:rsidP="00A174ED">
      <w:pPr>
        <w:numPr>
          <w:ilvl w:val="0"/>
          <w:numId w:val="1"/>
        </w:numPr>
        <w:spacing w:after="24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</w:pPr>
      <w:r w:rsidRPr="00A174E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El aseguramiento de capacidad energética suficiente y estable para sostener operaciones intensivas en electricidad</w:t>
      </w: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imprescindible para mantener competitividad global.</w:t>
      </w:r>
    </w:p>
    <w:p w14:paraId="0EF10987" w14:textId="77777777" w:rsidR="00A174ED" w:rsidRPr="00A174ED" w:rsidRDefault="00A174ED" w:rsidP="00A174ED">
      <w:pPr>
        <w:shd w:val="clear" w:color="auto" w:fill="FFFFFF"/>
        <w:spacing w:before="360" w:after="80" w:line="240" w:lineRule="auto"/>
        <w:jc w:val="both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UY"/>
          <w14:ligatures w14:val="none"/>
        </w:rPr>
      </w:pPr>
      <w:r w:rsidRPr="00A174E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:lang w:eastAsia="es-UY"/>
          <w14:ligatures w14:val="none"/>
        </w:rPr>
        <w:t>Impacto energético y tensión sobre los recursos</w:t>
      </w:r>
    </w:p>
    <w:p w14:paraId="50074414" w14:textId="77777777" w:rsidR="00A174ED" w:rsidRPr="00A174ED" w:rsidRDefault="00A174ED" w:rsidP="00A174E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lastRenderedPageBreak/>
        <w:t>El despliegue acelerado de infraestructuras de IA está elevando la presión sobre las redes eléctricas y sobre el mercado de generación. </w:t>
      </w:r>
      <w:r w:rsidRPr="00A174E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Los grandes centros de datos requieren suministro continuo, contratos a largo plazo y precios competitivos</w:t>
      </w: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lo que traslada la competencia tecnológica al terreno energético y confirma que la transformación digital depende de infraestructuras físicas, tal y como refleja la evolución reciente del sector en el ámbito de la</w:t>
      </w:r>
      <w:hyperlink r:id="rId7" w:tgtFrame="_blank" w:history="1">
        <w:r w:rsidRPr="00A174ED">
          <w:rPr>
            <w:rFonts w:ascii="Arial" w:eastAsia="Times New Roman" w:hAnsi="Arial" w:cs="Arial"/>
            <w:color w:val="000000"/>
            <w:kern w:val="0"/>
            <w:sz w:val="20"/>
            <w:szCs w:val="20"/>
            <w:u w:val="single"/>
            <w:lang w:eastAsia="es-UY"/>
            <w14:ligatures w14:val="none"/>
          </w:rPr>
          <w:t> </w:t>
        </w:r>
        <w:r w:rsidRPr="00A174ED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innovación tecnológica y digitalización</w:t>
        </w:r>
      </w:hyperlink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</w:t>
      </w:r>
    </w:p>
    <w:p w14:paraId="41CB8A68" w14:textId="77777777" w:rsidR="00A174ED" w:rsidRPr="00A174ED" w:rsidRDefault="00A174ED" w:rsidP="00A174E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Este fenómeno conecta con dinámicas ya visibles en el</w:t>
      </w:r>
      <w:hyperlink r:id="rId8" w:tgtFrame="_blank" w:history="1">
        <w:r w:rsidRPr="00A174ED">
          <w:rPr>
            <w:rFonts w:ascii="Arial" w:eastAsia="Times New Roman" w:hAnsi="Arial" w:cs="Arial"/>
            <w:color w:val="000000"/>
            <w:kern w:val="0"/>
            <w:sz w:val="20"/>
            <w:szCs w:val="20"/>
            <w:u w:val="single"/>
            <w:lang w:eastAsia="es-UY"/>
            <w14:ligatures w14:val="none"/>
          </w:rPr>
          <w:t> </w:t>
        </w:r>
        <w:r w:rsidRPr="00A174ED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mercado energético español</w:t>
        </w:r>
      </w:hyperlink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donde las comercializadoras comprenden que </w:t>
      </w:r>
      <w:r w:rsidRPr="00A174E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el acceso a generación y capacidad de distribución determina su posición competitiva</w:t>
      </w: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De forma paralela a las tecnológicas, las energéticas que aseguren contratos estables y capacidad de suministro serán las que concentren poder. En este contexto, la eficiencia también gana peso, con estrategias orientadas a</w:t>
      </w:r>
      <w:hyperlink r:id="rId9" w:tgtFrame="_blank" w:history="1">
        <w:r w:rsidRPr="00A174ED">
          <w:rPr>
            <w:rFonts w:ascii="Arial" w:eastAsia="Times New Roman" w:hAnsi="Arial" w:cs="Arial"/>
            <w:color w:val="000000"/>
            <w:kern w:val="0"/>
            <w:sz w:val="20"/>
            <w:szCs w:val="20"/>
            <w:u w:val="single"/>
            <w:lang w:eastAsia="es-UY"/>
            <w14:ligatures w14:val="none"/>
          </w:rPr>
          <w:t> </w:t>
        </w:r>
        <w:r w:rsidRPr="00A174ED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reducir el consumo energético</w:t>
        </w:r>
      </w:hyperlink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tanto en empresas como en grandes infraestructuras digitales.</w:t>
      </w:r>
    </w:p>
    <w:p w14:paraId="38899B23" w14:textId="77777777" w:rsidR="00A174ED" w:rsidRPr="00A174ED" w:rsidRDefault="00A174ED" w:rsidP="00A174ED">
      <w:pPr>
        <w:shd w:val="clear" w:color="auto" w:fill="FFFFFF"/>
        <w:spacing w:before="360" w:after="80" w:line="240" w:lineRule="auto"/>
        <w:jc w:val="both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UY"/>
          <w14:ligatures w14:val="none"/>
        </w:rPr>
      </w:pPr>
      <w:r w:rsidRPr="00A174E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:lang w:eastAsia="es-UY"/>
          <w14:ligatures w14:val="none"/>
        </w:rPr>
        <w:t>Reconfiguración estratégica del poder económico</w:t>
      </w:r>
    </w:p>
    <w:p w14:paraId="12116203" w14:textId="77777777" w:rsidR="00A174ED" w:rsidRPr="00A174ED" w:rsidRDefault="00A174ED" w:rsidP="00A174E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La apuesta de </w:t>
      </w:r>
      <w:proofErr w:type="spellStart"/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ByteDance</w:t>
      </w:r>
      <w:proofErr w:type="spellEnd"/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por integrar chip, modelo e infraestructura refleja una tendencia estructural: </w:t>
      </w:r>
      <w:r w:rsidRPr="00A174E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la verticalización como blindaje frente a la volatilidad geopolítica y de precios</w:t>
      </w: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No se trata solo de innovar, sino de controlar la cadena completa de valor. Esa lógica, trasladada al sector eléctrico, explica por qué las compañías buscan asegurar acceso directo a generación renovable y contratos bilaterales de largo plazo.</w:t>
      </w:r>
    </w:p>
    <w:p w14:paraId="3FE9CDD4" w14:textId="77777777" w:rsidR="00A174ED" w:rsidRPr="00A174ED" w:rsidRDefault="00A174ED" w:rsidP="00A174E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En ese escenario, herramientas como el</w:t>
      </w:r>
      <w:hyperlink r:id="rId10" w:tgtFrame="_blank" w:history="1">
        <w:r w:rsidRPr="00A174ED">
          <w:rPr>
            <w:rFonts w:ascii="Arial" w:eastAsia="Times New Roman" w:hAnsi="Arial" w:cs="Arial"/>
            <w:color w:val="000000"/>
            <w:kern w:val="0"/>
            <w:sz w:val="20"/>
            <w:szCs w:val="20"/>
            <w:u w:val="single"/>
            <w:lang w:eastAsia="es-UY"/>
            <w14:ligatures w14:val="none"/>
          </w:rPr>
          <w:t> </w:t>
        </w:r>
        <w:r w:rsidRPr="00A174ED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comparador de comercializadoras eléctricas</w:t>
        </w:r>
      </w:hyperlink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ilustran cómo el mercado minorista también se adapta a un entorno donde </w:t>
      </w:r>
      <w:r w:rsidRPr="00A174E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el coste de la energía es estratégico para industrias intensivas en datos</w:t>
      </w: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Tecnología y energía convergen así en una misma conclusión: </w:t>
      </w:r>
      <w:r w:rsidRPr="00A174E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quien domina los recursos críticos redefine el equilibrio de poder económico global</w:t>
      </w: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</w:t>
      </w:r>
    </w:p>
    <w:p w14:paraId="078A1576" w14:textId="77777777" w:rsidR="00A174ED" w:rsidRPr="00A174ED" w:rsidRDefault="00A174ED" w:rsidP="00A174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A174ED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</w:p>
    <w:p w14:paraId="5766025E" w14:textId="77777777" w:rsidR="00A174ED" w:rsidRPr="00A174ED" w:rsidRDefault="00A174ED" w:rsidP="00A174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174ED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Fuente: </w:t>
      </w:r>
      <w:hyperlink r:id="rId11" w:tgtFrame="_blank" w:history="1">
        <w:r w:rsidRPr="00A174ED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papernest.es</w:t>
        </w:r>
      </w:hyperlink>
    </w:p>
    <w:p w14:paraId="7E994EE6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25E92"/>
    <w:multiLevelType w:val="multilevel"/>
    <w:tmpl w:val="65B8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5392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ED"/>
    <w:rsid w:val="00926044"/>
    <w:rsid w:val="00A174ED"/>
    <w:rsid w:val="00BC37D8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EC7F"/>
  <w15:chartTrackingRefBased/>
  <w15:docId w15:val="{3BA5CFC7-2E46-4753-A209-402F3FF3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17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7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74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7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74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74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74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74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74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7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74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7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74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74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74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74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74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74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17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7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7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7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7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74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174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74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7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74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74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pernest.es/info/mercado-energetic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apernest.es/info/tecnologi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apernest.es/info/tecnologia/inteligencia-artificial-energia/" TargetMode="External"/><Relationship Id="rId11" Type="http://schemas.openxmlformats.org/officeDocument/2006/relationships/hyperlink" Target="https://www.papernest.es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papernest.es/comparador-luz/comercializadora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pernest.es/info/reducir-consumo-energetic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2026-03-02T14:05:00Z</dcterms:created>
  <dcterms:modified xsi:type="dcterms:W3CDTF">2026-03-02T14:06:00Z</dcterms:modified>
</cp:coreProperties>
</file>