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BA8D7" w14:textId="77777777" w:rsidR="004F2C1B" w:rsidRPr="004F2C1B" w:rsidRDefault="004F2C1B" w:rsidP="004F2C1B">
      <w:pPr>
        <w:shd w:val="clear" w:color="auto" w:fill="FFCB9E"/>
        <w:spacing w:after="0" w:line="240" w:lineRule="auto"/>
        <w:jc w:val="center"/>
        <w:outlineLvl w:val="1"/>
        <w:rPr>
          <w:rFonts w:ascii="Tahoma" w:eastAsia="Times New Roman" w:hAnsi="Tahoma" w:cs="Tahoma"/>
          <w:b/>
          <w:bCs/>
          <w:color w:val="483D34"/>
          <w:kern w:val="0"/>
          <w:sz w:val="29"/>
          <w:szCs w:val="29"/>
          <w:lang w:eastAsia="es-UY"/>
          <w14:ligatures w14:val="none"/>
        </w:rPr>
      </w:pPr>
      <w:r w:rsidRPr="004F2C1B">
        <w:rPr>
          <w:rFonts w:ascii="Tahoma" w:eastAsia="Times New Roman" w:hAnsi="Tahoma" w:cs="Tahoma"/>
          <w:b/>
          <w:bCs/>
          <w:color w:val="483D34"/>
          <w:kern w:val="0"/>
          <w:sz w:val="29"/>
          <w:szCs w:val="29"/>
          <w:lang w:eastAsia="es-UY"/>
          <w14:ligatures w14:val="none"/>
        </w:rPr>
        <w:t>LEÓN XIV: “P’ALANTE” Y “P’ATRÁS”</w:t>
      </w:r>
    </w:p>
    <w:p w14:paraId="174DFAA2" w14:textId="77777777" w:rsidR="004F2C1B" w:rsidRDefault="004F2C1B" w:rsidP="004F2C1B">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
    <w:p w14:paraId="2D593106" w14:textId="0C07838A" w:rsidR="004F2C1B" w:rsidRPr="004F2C1B" w:rsidRDefault="004F2C1B" w:rsidP="004F2C1B">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4F2C1B">
          <w:rPr>
            <w:rFonts w:ascii="Tahoma" w:eastAsia="Times New Roman" w:hAnsi="Tahoma" w:cs="Tahoma"/>
            <w:b/>
            <w:bCs/>
            <w:color w:val="483D34"/>
            <w:kern w:val="0"/>
            <w:sz w:val="23"/>
            <w:szCs w:val="23"/>
            <w:u w:val="single"/>
            <w:lang w:eastAsia="es-UY"/>
            <w14:ligatures w14:val="none"/>
          </w:rPr>
          <w:t>Jesús Martínez Gordo</w:t>
        </w:r>
      </w:hyperlink>
    </w:p>
    <w:p w14:paraId="0E1D1050" w14:textId="77777777" w:rsid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36D80521" w14:textId="5C6AF3EF"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El pasado 8 de noviembre, sábado, se han cumplido seis meses de la elección del cardenal estadounidense, Rober Francis Prevost, como el Papa León XIV. Es un tiempo suficiente, aunque posiblemente todavía corto, para ofrecer una valoración de lo que puede dar de sí este papado. Sin embargo, creo que tal “premura” no me impide ofrecer, aunque sea de manera provisional, una </w:t>
      </w:r>
      <w:r w:rsidRPr="004F2C1B">
        <w:rPr>
          <w:rFonts w:ascii="Tahoma" w:eastAsia="Times New Roman" w:hAnsi="Tahoma" w:cs="Tahoma"/>
          <w:b/>
          <w:bCs/>
          <w:color w:val="483D34"/>
          <w:kern w:val="0"/>
          <w:sz w:val="24"/>
          <w:szCs w:val="24"/>
          <w:lang w:eastAsia="es-UY"/>
          <w14:ligatures w14:val="none"/>
        </w:rPr>
        <w:t>primera valoración de estos seis primeros meses</w:t>
      </w:r>
      <w:r w:rsidRPr="004F2C1B">
        <w:rPr>
          <w:rFonts w:ascii="Tahoma" w:eastAsia="Times New Roman" w:hAnsi="Tahoma" w:cs="Tahoma"/>
          <w:color w:val="483D34"/>
          <w:kern w:val="0"/>
          <w:sz w:val="24"/>
          <w:szCs w:val="24"/>
          <w:lang w:eastAsia="es-UY"/>
          <w14:ligatures w14:val="none"/>
        </w:rPr>
        <w:t> de su pontificado.</w:t>
      </w:r>
    </w:p>
    <w:p w14:paraId="1849A3A6"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 xml:space="preserve">Es de sobra conocido que muchas personas han estado todo este tiempo comparando su modo de gobernar e impartir magisterio con el de Francisco para concluir, en unos casos, que este Papa no tiene -al menos, de momento- la fuerza comunicativa de su predecesor, ni su empatía, ni sus gestos </w:t>
      </w:r>
      <w:proofErr w:type="spellStart"/>
      <w:r w:rsidRPr="004F2C1B">
        <w:rPr>
          <w:rFonts w:ascii="Tahoma" w:eastAsia="Times New Roman" w:hAnsi="Tahoma" w:cs="Tahoma"/>
          <w:color w:val="483D34"/>
          <w:kern w:val="0"/>
          <w:sz w:val="24"/>
          <w:szCs w:val="24"/>
          <w:lang w:eastAsia="es-UY"/>
          <w14:ligatures w14:val="none"/>
        </w:rPr>
        <w:t>descolocantes</w:t>
      </w:r>
      <w:proofErr w:type="spellEnd"/>
      <w:r w:rsidRPr="004F2C1B">
        <w:rPr>
          <w:rFonts w:ascii="Tahoma" w:eastAsia="Times New Roman" w:hAnsi="Tahoma" w:cs="Tahoma"/>
          <w:color w:val="483D34"/>
          <w:kern w:val="0"/>
          <w:sz w:val="24"/>
          <w:szCs w:val="24"/>
          <w:lang w:eastAsia="es-UY"/>
          <w14:ligatures w14:val="none"/>
        </w:rPr>
        <w:t xml:space="preserve"> ni su espontaneidad. Y, en otros casos, no han faltado quienes han venido sosteniendo que ¡por fin! se empieza a recuperar el sosiego, la tranquilidad y, sobre todo, la previsibilidad que, al parecer, tendrían que ser el santo y seña de todo papado. Como en botica, </w:t>
      </w:r>
      <w:r w:rsidRPr="004F2C1B">
        <w:rPr>
          <w:rFonts w:ascii="Tahoma" w:eastAsia="Times New Roman" w:hAnsi="Tahoma" w:cs="Tahoma"/>
          <w:b/>
          <w:bCs/>
          <w:color w:val="483D34"/>
          <w:kern w:val="0"/>
          <w:sz w:val="24"/>
          <w:szCs w:val="24"/>
          <w:lang w:eastAsia="es-UY"/>
          <w14:ligatures w14:val="none"/>
        </w:rPr>
        <w:t>hay para todos los gustos</w:t>
      </w:r>
      <w:r w:rsidRPr="004F2C1B">
        <w:rPr>
          <w:rFonts w:ascii="Tahoma" w:eastAsia="Times New Roman" w:hAnsi="Tahoma" w:cs="Tahoma"/>
          <w:color w:val="483D34"/>
          <w:kern w:val="0"/>
          <w:sz w:val="24"/>
          <w:szCs w:val="24"/>
          <w:lang w:eastAsia="es-UY"/>
          <w14:ligatures w14:val="none"/>
        </w:rPr>
        <w:t>.</w:t>
      </w:r>
    </w:p>
    <w:p w14:paraId="5C17E262"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Por mi parte, creo percibir, tanto en Francisco como en León XIV, una </w:t>
      </w:r>
      <w:r w:rsidRPr="004F2C1B">
        <w:rPr>
          <w:rFonts w:ascii="Tahoma" w:eastAsia="Times New Roman" w:hAnsi="Tahoma" w:cs="Tahoma"/>
          <w:b/>
          <w:bCs/>
          <w:color w:val="483D34"/>
          <w:kern w:val="0"/>
          <w:sz w:val="24"/>
          <w:szCs w:val="24"/>
          <w:lang w:eastAsia="es-UY"/>
          <w14:ligatures w14:val="none"/>
        </w:rPr>
        <w:t>común referencia al papado de Pablo VI</w:t>
      </w:r>
      <w:r w:rsidRPr="004F2C1B">
        <w:rPr>
          <w:rFonts w:ascii="Tahoma" w:eastAsia="Times New Roman" w:hAnsi="Tahoma" w:cs="Tahoma"/>
          <w:color w:val="483D34"/>
          <w:kern w:val="0"/>
          <w:sz w:val="24"/>
          <w:szCs w:val="24"/>
          <w:lang w:eastAsia="es-UY"/>
          <w14:ligatures w14:val="none"/>
        </w:rPr>
        <w:t xml:space="preserve"> (1963-1978) a quien, en alguna ocasión, se le llegó a llamar -amigable y, a la vez, críticamente- “la </w:t>
      </w:r>
      <w:proofErr w:type="spellStart"/>
      <w:r w:rsidRPr="004F2C1B">
        <w:rPr>
          <w:rFonts w:ascii="Tahoma" w:eastAsia="Times New Roman" w:hAnsi="Tahoma" w:cs="Tahoma"/>
          <w:color w:val="483D34"/>
          <w:kern w:val="0"/>
          <w:sz w:val="24"/>
          <w:szCs w:val="24"/>
          <w:lang w:eastAsia="es-UY"/>
          <w14:ligatures w14:val="none"/>
        </w:rPr>
        <w:t>Yenka</w:t>
      </w:r>
      <w:proofErr w:type="spellEnd"/>
      <w:r w:rsidRPr="004F2C1B">
        <w:rPr>
          <w:rFonts w:ascii="Tahoma" w:eastAsia="Times New Roman" w:hAnsi="Tahoma" w:cs="Tahoma"/>
          <w:color w:val="483D34"/>
          <w:kern w:val="0"/>
          <w:sz w:val="24"/>
          <w:szCs w:val="24"/>
          <w:lang w:eastAsia="es-UY"/>
          <w14:ligatures w14:val="none"/>
        </w:rPr>
        <w:t>”. Ésta es una canción de la década de los sesenta que alcanzó una enorme popularidad en la de los ochenta y en cuya letra se invitaba a mover la pierna o a desplazarse sucesivamente a la izquierda, a la derecha, adelante y atrás.</w:t>
      </w:r>
    </w:p>
    <w:p w14:paraId="1B54A398"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 xml:space="preserve">Había quienes llamaban “la </w:t>
      </w:r>
      <w:proofErr w:type="spellStart"/>
      <w:r w:rsidRPr="004F2C1B">
        <w:rPr>
          <w:rFonts w:ascii="Tahoma" w:eastAsia="Times New Roman" w:hAnsi="Tahoma" w:cs="Tahoma"/>
          <w:color w:val="483D34"/>
          <w:kern w:val="0"/>
          <w:sz w:val="24"/>
          <w:szCs w:val="24"/>
          <w:lang w:eastAsia="es-UY"/>
          <w14:ligatures w14:val="none"/>
        </w:rPr>
        <w:t>Yenka</w:t>
      </w:r>
      <w:proofErr w:type="spellEnd"/>
      <w:r w:rsidRPr="004F2C1B">
        <w:rPr>
          <w:rFonts w:ascii="Tahoma" w:eastAsia="Times New Roman" w:hAnsi="Tahoma" w:cs="Tahoma"/>
          <w:color w:val="483D34"/>
          <w:kern w:val="0"/>
          <w:sz w:val="24"/>
          <w:szCs w:val="24"/>
          <w:lang w:eastAsia="es-UY"/>
          <w14:ligatures w14:val="none"/>
        </w:rPr>
        <w:t>” a Pablo VI porque -según decían- a la vez que ratificó la renovación de la Iglesia, firmando los grandes documentos del Concilio Vaticano II (1962-1965), acabó impulsando una implementación involutiva de los mismos y favoreciendo, por ejemplo, un gobierno unipersonal y una moral sexual solo procreativa, para nada abierta a la mutua comunicación del amor. Pero, </w:t>
      </w:r>
      <w:r w:rsidRPr="004F2C1B">
        <w:rPr>
          <w:rFonts w:ascii="Tahoma" w:eastAsia="Times New Roman" w:hAnsi="Tahoma" w:cs="Tahoma"/>
          <w:b/>
          <w:bCs/>
          <w:color w:val="483D34"/>
          <w:kern w:val="0"/>
          <w:sz w:val="24"/>
          <w:szCs w:val="24"/>
          <w:lang w:eastAsia="es-UY"/>
          <w14:ligatures w14:val="none"/>
        </w:rPr>
        <w:t>a la vez, promovió una moral social, política y económica progresista</w:t>
      </w:r>
      <w:r w:rsidRPr="004F2C1B">
        <w:rPr>
          <w:rFonts w:ascii="Tahoma" w:eastAsia="Times New Roman" w:hAnsi="Tahoma" w:cs="Tahoma"/>
          <w:color w:val="483D34"/>
          <w:kern w:val="0"/>
          <w:sz w:val="24"/>
          <w:szCs w:val="24"/>
          <w:lang w:eastAsia="es-UY"/>
          <w14:ligatures w14:val="none"/>
        </w:rPr>
        <w:t>, propiciando, como resultado de ella, la teología de la liberación. Una de cal y otra de arena. Al fondo de esta estrategia se encontraba -al decir de los estudiosos de su pontificado- la angustia por mantener unida a la Iglesia.</w:t>
      </w:r>
    </w:p>
    <w:p w14:paraId="1914B777"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Para Francisco, Pablo VI fue su Papa de referencia. Y lo fue, poniendo en el centro de su pontificado a los pobres. Y, a la vez, intentando superar las dos implementaciones más involutivas de su predecesor: el gobierno y el magisterio unipersonal (con su </w:t>
      </w:r>
      <w:r w:rsidRPr="004F2C1B">
        <w:rPr>
          <w:rFonts w:ascii="Tahoma" w:eastAsia="Times New Roman" w:hAnsi="Tahoma" w:cs="Tahoma"/>
          <w:b/>
          <w:bCs/>
          <w:color w:val="483D34"/>
          <w:kern w:val="0"/>
          <w:sz w:val="24"/>
          <w:szCs w:val="24"/>
          <w:lang w:eastAsia="es-UY"/>
          <w14:ligatures w14:val="none"/>
        </w:rPr>
        <w:t>propuesta de una iglesia sinodal, corresponsable o más democrática</w:t>
      </w:r>
      <w:r w:rsidRPr="004F2C1B">
        <w:rPr>
          <w:rFonts w:ascii="Tahoma" w:eastAsia="Times New Roman" w:hAnsi="Tahoma" w:cs="Tahoma"/>
          <w:color w:val="483D34"/>
          <w:kern w:val="0"/>
          <w:sz w:val="24"/>
          <w:szCs w:val="24"/>
          <w:lang w:eastAsia="es-UY"/>
          <w14:ligatures w14:val="none"/>
        </w:rPr>
        <w:t>) y una moral sexual más evangélica (cuidando la relación con los divorciados vueltos a casar civilmente, con los homosexuales y facilitando la gratuidad y aceleración de las nulidades matrimoniales, Sínodos de 2014 y 2015).</w:t>
      </w:r>
    </w:p>
    <w:p w14:paraId="4ACF2161"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 xml:space="preserve">El suyo fue un pontificado presidido por la firme voluntad de recibir -de manera creativa- lo mejor de lo aprobado en el Concilio Vaticano II. Pero, a la hora de la verdad, en unos casos -por ejemplo, en lo referente al sacerdocio de la mujer o a los curas casados- no tomó las decisiones que se esperaban. Y, en otros,  tendió </w:t>
      </w:r>
      <w:r w:rsidRPr="004F2C1B">
        <w:rPr>
          <w:rFonts w:ascii="Tahoma" w:eastAsia="Times New Roman" w:hAnsi="Tahoma" w:cs="Tahoma"/>
          <w:color w:val="483D34"/>
          <w:kern w:val="0"/>
          <w:sz w:val="24"/>
          <w:szCs w:val="24"/>
          <w:lang w:eastAsia="es-UY"/>
          <w14:ligatures w14:val="none"/>
        </w:rPr>
        <w:lastRenderedPageBreak/>
        <w:t>a alargar -decía que por falta de “consenso eclesial”- las referidas a un gobierno y magisterio más corresponsable o democrático. </w:t>
      </w:r>
      <w:r w:rsidRPr="004F2C1B">
        <w:rPr>
          <w:rFonts w:ascii="Tahoma" w:eastAsia="Times New Roman" w:hAnsi="Tahoma" w:cs="Tahoma"/>
          <w:b/>
          <w:bCs/>
          <w:color w:val="483D34"/>
          <w:kern w:val="0"/>
          <w:sz w:val="24"/>
          <w:szCs w:val="24"/>
          <w:lang w:eastAsia="es-UY"/>
          <w14:ligatures w14:val="none"/>
        </w:rPr>
        <w:t>De nuevo, como con Pablo VI, irrumpió el miedo a romper la unidad</w:t>
      </w:r>
      <w:r w:rsidRPr="004F2C1B">
        <w:rPr>
          <w:rFonts w:ascii="Tahoma" w:eastAsia="Times New Roman" w:hAnsi="Tahoma" w:cs="Tahoma"/>
          <w:color w:val="483D34"/>
          <w:kern w:val="0"/>
          <w:sz w:val="24"/>
          <w:szCs w:val="24"/>
          <w:lang w:eastAsia="es-UY"/>
          <w14:ligatures w14:val="none"/>
        </w:rPr>
        <w:t xml:space="preserve"> -en este caso, por su lado derecho- de una Iglesia de más de 1.400 millones de católicos. Evidentemente, ello no impide reconocer que el suyo fue un pontificado en el que “la </w:t>
      </w:r>
      <w:proofErr w:type="spellStart"/>
      <w:r w:rsidRPr="004F2C1B">
        <w:rPr>
          <w:rFonts w:ascii="Tahoma" w:eastAsia="Times New Roman" w:hAnsi="Tahoma" w:cs="Tahoma"/>
          <w:color w:val="483D34"/>
          <w:kern w:val="0"/>
          <w:sz w:val="24"/>
          <w:szCs w:val="24"/>
          <w:lang w:eastAsia="es-UY"/>
          <w14:ligatures w14:val="none"/>
        </w:rPr>
        <w:t>Yenka</w:t>
      </w:r>
      <w:proofErr w:type="spellEnd"/>
      <w:r w:rsidRPr="004F2C1B">
        <w:rPr>
          <w:rFonts w:ascii="Tahoma" w:eastAsia="Times New Roman" w:hAnsi="Tahoma" w:cs="Tahoma"/>
          <w:color w:val="483D34"/>
          <w:kern w:val="0"/>
          <w:sz w:val="24"/>
          <w:szCs w:val="24"/>
          <w:lang w:eastAsia="es-UY"/>
          <w14:ligatures w14:val="none"/>
        </w:rPr>
        <w:t>” se bailaba más en compañía de la izquierda y hacia la izquierda que de la derecha eclesial, como había sido lo habitual en los pontificados de Juan Pablo II y Benedicto XVI.</w:t>
      </w:r>
    </w:p>
    <w:p w14:paraId="07405537"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b/>
          <w:bCs/>
          <w:color w:val="483D34"/>
          <w:kern w:val="0"/>
          <w:sz w:val="24"/>
          <w:szCs w:val="24"/>
          <w:lang w:eastAsia="es-UY"/>
          <w14:ligatures w14:val="none"/>
        </w:rPr>
        <w:t>Una herencia complicada </w:t>
      </w:r>
    </w:p>
    <w:p w14:paraId="4A11E3B0"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Por lo visto estos últimos seis meses, creo que </w:t>
      </w:r>
      <w:r w:rsidRPr="004F2C1B">
        <w:rPr>
          <w:rFonts w:ascii="Tahoma" w:eastAsia="Times New Roman" w:hAnsi="Tahoma" w:cs="Tahoma"/>
          <w:b/>
          <w:bCs/>
          <w:color w:val="483D34"/>
          <w:kern w:val="0"/>
          <w:sz w:val="24"/>
          <w:szCs w:val="24"/>
          <w:lang w:eastAsia="es-UY"/>
          <w14:ligatures w14:val="none"/>
        </w:rPr>
        <w:t>León XIV es consciente de haber recibido una herencia complicada</w:t>
      </w:r>
      <w:r w:rsidRPr="004F2C1B">
        <w:rPr>
          <w:rFonts w:ascii="Tahoma" w:eastAsia="Times New Roman" w:hAnsi="Tahoma" w:cs="Tahoma"/>
          <w:color w:val="483D34"/>
          <w:kern w:val="0"/>
          <w:sz w:val="24"/>
          <w:szCs w:val="24"/>
          <w:lang w:eastAsia="es-UY"/>
          <w14:ligatures w14:val="none"/>
        </w:rPr>
        <w:t>, presidida por la irritación de una Iglesia tradicionalista -y de unos colectivos sociales no menos conservadores- pero también por el temor -igualmente preocupante- a que los católicos progresistas puedan acabar marchándose o refugiándose en “exilios interiores”, a la espera de tiempos mejores, en el caso de que la cabeza de la Iglesia no siga transitando por los caminos abiertos en el pontificado de Francisco.</w:t>
      </w:r>
    </w:p>
    <w:p w14:paraId="2B58C66F"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Sospecho que éste es el diagnóstico que tiene delante el Papa Prevost. Creo que es el que explica que haya publicado una magnífica Exhortación Apostólica (“</w:t>
      </w:r>
      <w:proofErr w:type="spellStart"/>
      <w:r w:rsidRPr="004F2C1B">
        <w:rPr>
          <w:rFonts w:ascii="Tahoma" w:eastAsia="Times New Roman" w:hAnsi="Tahoma" w:cs="Tahoma"/>
          <w:color w:val="483D34"/>
          <w:kern w:val="0"/>
          <w:sz w:val="24"/>
          <w:szCs w:val="24"/>
          <w:lang w:eastAsia="es-UY"/>
          <w14:ligatures w14:val="none"/>
        </w:rPr>
        <w:t>Dilexi</w:t>
      </w:r>
      <w:proofErr w:type="spellEnd"/>
      <w:r w:rsidRPr="004F2C1B">
        <w:rPr>
          <w:rFonts w:ascii="Tahoma" w:eastAsia="Times New Roman" w:hAnsi="Tahoma" w:cs="Tahoma"/>
          <w:color w:val="483D34"/>
          <w:kern w:val="0"/>
          <w:sz w:val="24"/>
          <w:szCs w:val="24"/>
          <w:lang w:eastAsia="es-UY"/>
          <w14:ligatures w14:val="none"/>
        </w:rPr>
        <w:t xml:space="preserve"> te”) en la que sostiene que los pobres son “la carne” de Cristo. Indudablemente, un importante paso hacia adelante, en sintonía con lo mejor de Francisco y Pablo VI. Y es el que igualmente explica que, a la vez, haya autorizado al cardenal R. </w:t>
      </w:r>
      <w:proofErr w:type="spellStart"/>
      <w:r w:rsidRPr="004F2C1B">
        <w:rPr>
          <w:rFonts w:ascii="Tahoma" w:eastAsia="Times New Roman" w:hAnsi="Tahoma" w:cs="Tahoma"/>
          <w:color w:val="483D34"/>
          <w:kern w:val="0"/>
          <w:sz w:val="24"/>
          <w:szCs w:val="24"/>
          <w:lang w:eastAsia="es-UY"/>
          <w14:ligatures w14:val="none"/>
        </w:rPr>
        <w:t>Burke</w:t>
      </w:r>
      <w:proofErr w:type="spellEnd"/>
      <w:r w:rsidRPr="004F2C1B">
        <w:rPr>
          <w:rFonts w:ascii="Tahoma" w:eastAsia="Times New Roman" w:hAnsi="Tahoma" w:cs="Tahoma"/>
          <w:color w:val="483D34"/>
          <w:kern w:val="0"/>
          <w:sz w:val="24"/>
          <w:szCs w:val="24"/>
          <w:lang w:eastAsia="es-UY"/>
          <w14:ligatures w14:val="none"/>
        </w:rPr>
        <w:t xml:space="preserve"> celebrar una misa tradicional -por tanto, en latín- el pasado mes de octubre, nada menos, que en la Basílica de San Pedro. </w:t>
      </w:r>
      <w:r w:rsidRPr="004F2C1B">
        <w:rPr>
          <w:rFonts w:ascii="Tahoma" w:eastAsia="Times New Roman" w:hAnsi="Tahoma" w:cs="Tahoma"/>
          <w:b/>
          <w:bCs/>
          <w:color w:val="483D34"/>
          <w:kern w:val="0"/>
          <w:sz w:val="24"/>
          <w:szCs w:val="24"/>
          <w:lang w:eastAsia="es-UY"/>
          <w14:ligatures w14:val="none"/>
        </w:rPr>
        <w:t>Sin duda alguna, un paso hacia atrás y hacia la derecha</w:t>
      </w:r>
      <w:r w:rsidRPr="004F2C1B">
        <w:rPr>
          <w:rFonts w:ascii="Tahoma" w:eastAsia="Times New Roman" w:hAnsi="Tahoma" w:cs="Tahoma"/>
          <w:color w:val="483D34"/>
          <w:kern w:val="0"/>
          <w:sz w:val="24"/>
          <w:szCs w:val="24"/>
          <w:lang w:eastAsia="es-UY"/>
          <w14:ligatures w14:val="none"/>
        </w:rPr>
        <w:t>. ¡Si Francisco levantara la cabeza!</w:t>
      </w:r>
    </w:p>
    <w:p w14:paraId="07C14E98"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Las dos preguntas que me quedan en el aire son inevitables: gobernando de esta manera, León XIV ¿logrará la ansiada paz y unidad eclesial? Lo dudo. ¿</w:t>
      </w:r>
      <w:r w:rsidRPr="004F2C1B">
        <w:rPr>
          <w:rFonts w:ascii="Tahoma" w:eastAsia="Times New Roman" w:hAnsi="Tahoma" w:cs="Tahoma"/>
          <w:b/>
          <w:bCs/>
          <w:color w:val="483D34"/>
          <w:kern w:val="0"/>
          <w:sz w:val="24"/>
          <w:szCs w:val="24"/>
          <w:lang w:eastAsia="es-UY"/>
          <w14:ligatures w14:val="none"/>
        </w:rPr>
        <w:t>Qué precio se puede acabar pagando cuando se procede de esta manera?</w:t>
      </w:r>
      <w:r w:rsidRPr="004F2C1B">
        <w:rPr>
          <w:rFonts w:ascii="Tahoma" w:eastAsia="Times New Roman" w:hAnsi="Tahoma" w:cs="Tahoma"/>
          <w:color w:val="483D34"/>
          <w:kern w:val="0"/>
          <w:sz w:val="24"/>
          <w:szCs w:val="24"/>
          <w:lang w:eastAsia="es-UY"/>
          <w14:ligatures w14:val="none"/>
        </w:rPr>
        <w:t> Desearía que no fuera el de mantener una unidad formal aguando lo dicho, hecho y encomendado por el Nazareno.</w:t>
      </w:r>
    </w:p>
    <w:p w14:paraId="1DF0CE86"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 </w:t>
      </w:r>
    </w:p>
    <w:p w14:paraId="3A2FB216"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b/>
          <w:bCs/>
          <w:color w:val="483D34"/>
          <w:kern w:val="0"/>
          <w:sz w:val="24"/>
          <w:szCs w:val="24"/>
          <w:lang w:eastAsia="es-UY"/>
          <w14:ligatures w14:val="none"/>
        </w:rPr>
        <w:t>Jesús Martínez Gordo</w:t>
      </w:r>
    </w:p>
    <w:p w14:paraId="52CFD3CD" w14:textId="77777777"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Religión Digital / Diario Vasco</w:t>
      </w:r>
    </w:p>
    <w:p w14:paraId="09FD4933" w14:textId="77777777" w:rsid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Publicado en El Diario Vasco.</w:t>
      </w:r>
    </w:p>
    <w:p w14:paraId="0BAF3A02" w14:textId="237FF0AE" w:rsidR="004F2C1B" w:rsidRPr="004F2C1B" w:rsidRDefault="004F2C1B" w:rsidP="004F2C1B">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4F2C1B">
        <w:rPr>
          <w:rFonts w:ascii="Tahoma" w:eastAsia="Times New Roman" w:hAnsi="Tahoma" w:cs="Tahoma"/>
          <w:color w:val="483D34"/>
          <w:kern w:val="0"/>
          <w:sz w:val="24"/>
          <w:szCs w:val="24"/>
          <w:lang w:eastAsia="es-UY"/>
          <w14:ligatures w14:val="none"/>
        </w:rPr>
        <w:t>https://www.feadulta.com/es/buscadoravanzado/item/17560-leon-xiv-p-alante-y-p-atras.html</w:t>
      </w:r>
    </w:p>
    <w:p w14:paraId="05CFC925"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A6E9D"/>
    <w:multiLevelType w:val="multilevel"/>
    <w:tmpl w:val="B58E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DE138C"/>
    <w:multiLevelType w:val="multilevel"/>
    <w:tmpl w:val="7BCE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676864">
    <w:abstractNumId w:val="1"/>
  </w:num>
  <w:num w:numId="2" w16cid:durableId="10191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C1B"/>
    <w:rsid w:val="00253C1C"/>
    <w:rsid w:val="004F2C1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56F3"/>
  <w15:chartTrackingRefBased/>
  <w15:docId w15:val="{14C67B0B-C240-4A5C-B1AF-C58ED2A0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2C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F2C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2C1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2C1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2C1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2C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2C1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2C1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2C1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2C1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F2C1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2C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2C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2C1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2C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2C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2C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2C1B"/>
    <w:rPr>
      <w:rFonts w:eastAsiaTheme="majorEastAsia" w:cstheme="majorBidi"/>
      <w:color w:val="272727" w:themeColor="text1" w:themeTint="D8"/>
    </w:rPr>
  </w:style>
  <w:style w:type="paragraph" w:styleId="Ttulo">
    <w:name w:val="Title"/>
    <w:basedOn w:val="Normal"/>
    <w:next w:val="Normal"/>
    <w:link w:val="TtuloCar"/>
    <w:uiPriority w:val="10"/>
    <w:qFormat/>
    <w:rsid w:val="004F2C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2C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2C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2C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2C1B"/>
    <w:pPr>
      <w:spacing w:before="160"/>
      <w:jc w:val="center"/>
    </w:pPr>
    <w:rPr>
      <w:i/>
      <w:iCs/>
      <w:color w:val="404040" w:themeColor="text1" w:themeTint="BF"/>
    </w:rPr>
  </w:style>
  <w:style w:type="character" w:customStyle="1" w:styleId="CitaCar">
    <w:name w:val="Cita Car"/>
    <w:basedOn w:val="Fuentedeprrafopredeter"/>
    <w:link w:val="Cita"/>
    <w:uiPriority w:val="29"/>
    <w:rsid w:val="004F2C1B"/>
    <w:rPr>
      <w:i/>
      <w:iCs/>
      <w:color w:val="404040" w:themeColor="text1" w:themeTint="BF"/>
    </w:rPr>
  </w:style>
  <w:style w:type="paragraph" w:styleId="Prrafodelista">
    <w:name w:val="List Paragraph"/>
    <w:basedOn w:val="Normal"/>
    <w:uiPriority w:val="34"/>
    <w:qFormat/>
    <w:rsid w:val="004F2C1B"/>
    <w:pPr>
      <w:ind w:left="720"/>
      <w:contextualSpacing/>
    </w:pPr>
  </w:style>
  <w:style w:type="character" w:styleId="nfasisintenso">
    <w:name w:val="Intense Emphasis"/>
    <w:basedOn w:val="Fuentedeprrafopredeter"/>
    <w:uiPriority w:val="21"/>
    <w:qFormat/>
    <w:rsid w:val="004F2C1B"/>
    <w:rPr>
      <w:i/>
      <w:iCs/>
      <w:color w:val="0F4761" w:themeColor="accent1" w:themeShade="BF"/>
    </w:rPr>
  </w:style>
  <w:style w:type="paragraph" w:styleId="Citadestacada">
    <w:name w:val="Intense Quote"/>
    <w:basedOn w:val="Normal"/>
    <w:next w:val="Normal"/>
    <w:link w:val="CitadestacadaCar"/>
    <w:uiPriority w:val="30"/>
    <w:qFormat/>
    <w:rsid w:val="004F2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2C1B"/>
    <w:rPr>
      <w:i/>
      <w:iCs/>
      <w:color w:val="0F4761" w:themeColor="accent1" w:themeShade="BF"/>
    </w:rPr>
  </w:style>
  <w:style w:type="character" w:styleId="Referenciaintensa">
    <w:name w:val="Intense Reference"/>
    <w:basedOn w:val="Fuentedeprrafopredeter"/>
    <w:uiPriority w:val="32"/>
    <w:qFormat/>
    <w:rsid w:val="004F2C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eadulta.com/es/buscadoravanzado/itemlist/user/733-jes%C3%BAsmart%C3%ADnezgordo.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839</Words>
  <Characters>4619</Characters>
  <Application>Microsoft Office Word</Application>
  <DocSecurity>0</DocSecurity>
  <Lines>38</Lines>
  <Paragraphs>10</Paragraphs>
  <ScaleCrop>false</ScaleCrop>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2025-12-03T12:48:00Z</dcterms:created>
  <dcterms:modified xsi:type="dcterms:W3CDTF">2025-12-03T12:50:00Z</dcterms:modified>
</cp:coreProperties>
</file>