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F28E65" w14:textId="77777777" w:rsidR="00F36037" w:rsidRPr="00F36037" w:rsidRDefault="00F36037" w:rsidP="00F36037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b/>
          <w:bCs/>
          <w:i/>
          <w:iCs/>
          <w:color w:val="000000"/>
          <w:kern w:val="0"/>
          <w:sz w:val="36"/>
          <w:szCs w:val="36"/>
          <w:lang w:eastAsia="es-UY"/>
          <w14:ligatures w14:val="none"/>
        </w:rPr>
        <w:t>Mirada histórica del presente</w:t>
      </w:r>
    </w:p>
    <w:p w14:paraId="334DA14B" w14:textId="77777777" w:rsidR="00F36037" w:rsidRPr="00F36037" w:rsidRDefault="00F36037" w:rsidP="00F360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i/>
          <w:iCs/>
          <w:color w:val="000000"/>
          <w:kern w:val="0"/>
          <w:sz w:val="27"/>
          <w:szCs w:val="27"/>
          <w:lang w:eastAsia="es-UY"/>
          <w14:ligatures w14:val="none"/>
        </w:rPr>
        <w:t>Eduardo de la Serna</w:t>
      </w:r>
    </w:p>
    <w:p w14:paraId="4431839A" w14:textId="77777777" w:rsidR="00F36037" w:rsidRPr="00F36037" w:rsidRDefault="00F36037" w:rsidP="00F36037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</w:p>
    <w:p w14:paraId="3A927E1E" w14:textId="77777777" w:rsidR="00F36037" w:rsidRPr="00F36037" w:rsidRDefault="00F36037" w:rsidP="00F3603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noProof/>
          <w:color w:val="1155CC"/>
          <w:kern w:val="0"/>
          <w:sz w:val="27"/>
          <w:szCs w:val="27"/>
          <w:lang w:eastAsia="es-UY"/>
          <w14:ligatures w14:val="none"/>
        </w:rPr>
        <w:drawing>
          <wp:inline distT="0" distB="0" distL="0" distR="0" wp14:anchorId="7AE02FD5" wp14:editId="42AA4DDC">
            <wp:extent cx="3810000" cy="2057400"/>
            <wp:effectExtent l="0" t="0" r="0" b="0"/>
            <wp:docPr id="1" name="Imagen 1" descr="Texto&#10;&#10;El contenido generado por IA puede ser incorrecto.">
              <a:hlinkClick xmlns:a="http://schemas.openxmlformats.org/drawingml/2006/main" r:id="rId5" tgtFrame="&quot;_blank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 descr="Texto&#10;&#10;El contenido generado por IA puede ser incorrecto.">
                      <a:hlinkClick r:id="rId5" tgtFrame="&quot;_blank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05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0FD1034" w14:textId="77777777" w:rsidR="00F36037" w:rsidRPr="00F36037" w:rsidRDefault="00F36037" w:rsidP="00F36037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shd w:val="clear" w:color="auto" w:fill="FFFFFF"/>
          <w:lang w:eastAsia="es-UY"/>
          <w14:ligatures w14:val="none"/>
        </w:rPr>
        <w:br/>
      </w:r>
    </w:p>
    <w:p w14:paraId="2763636C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 xml:space="preserve">Dicen que, en un momento, la historia occidental dejó de ser </w:t>
      </w:r>
      <w:proofErr w:type="spellStart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teo</w:t>
      </w:r>
      <w:proofErr w:type="spellEnd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 xml:space="preserve">-céntrica y empezó a ser </w:t>
      </w:r>
      <w:proofErr w:type="spellStart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antropo</w:t>
      </w:r>
      <w:proofErr w:type="spellEnd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-céntrica. Se rompía, así, con siglos de lo que, más tarde se llamó “</w:t>
      </w:r>
      <w:hyperlink r:id="rId7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Edad Media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 xml:space="preserve">”. Se entendía que se había roto con la rigidez (eclesiástica), y se regresó o momentos “fundacionales” (= nacimiento) como lo greco-romano, el </w:t>
      </w:r>
      <w:proofErr w:type="spellStart"/>
      <w:proofErr w:type="gramStart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neo-platonismo</w:t>
      </w:r>
      <w:proofErr w:type="spellEnd"/>
      <w:proofErr w:type="gramEnd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… Una serie de acontecimientos fueron decisivos en esto, como la caída de </w:t>
      </w:r>
      <w:hyperlink r:id="rId8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Constantinopla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 (1453), la ruptura con el imaginario geológico (con lo que Europa llamó el “</w:t>
      </w:r>
      <w:hyperlink r:id="rId9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descubrimiento de América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”), etc. (</w:t>
      </w:r>
      <w:proofErr w:type="spellStart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s.XVI</w:t>
      </w:r>
      <w:proofErr w:type="spellEnd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). Esto empezó a expandirse por Europa (arte, cultura, ciencia…) y, poco después, dio lugar a lo que se llamó el </w:t>
      </w:r>
      <w:hyperlink r:id="rId10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Iluminismo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 (s. XVII). El “</w:t>
      </w:r>
      <w:hyperlink r:id="rId11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siglo de las Luces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”; aunque, si el primero tiene su origen en Italia, el segundo se traslada a Inglaterra, Francia y Alemania.</w:t>
      </w:r>
    </w:p>
    <w:p w14:paraId="2AE9F97B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A esto se lo llamó, la “diosa razón”, y marcó – como es propio de la modernidad – el auge del individuo (y luego, del individualismo). Pero, como suele ocurrir, todas las “promesas” de la modernidad, quedaron truncas (de allí que en el s. XX se comience a hablar de la “</w:t>
      </w:r>
      <w:proofErr w:type="spellStart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pos-modernidad</w:t>
      </w:r>
      <w:proofErr w:type="spellEnd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”). Así surgieron los personajes que “relativizaron” la razón, algunos de los cuales fueron llamados “maestros de la sospecha”: </w:t>
      </w:r>
      <w:hyperlink r:id="rId12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Freud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, </w:t>
      </w:r>
      <w:hyperlink r:id="rId13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Nietzsche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, </w:t>
      </w:r>
      <w:hyperlink r:id="rId14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Marx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, </w:t>
      </w:r>
      <w:hyperlink r:id="rId15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Einstein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…</w:t>
      </w:r>
    </w:p>
    <w:p w14:paraId="6D14B5F4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Después de esta rápida mirada me surgen algunas preguntas de “hoy” …</w:t>
      </w:r>
    </w:p>
    <w:p w14:paraId="4E953C6A" w14:textId="77777777" w:rsidR="00F36037" w:rsidRPr="00F36037" w:rsidRDefault="00F36037" w:rsidP="00F360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14"/>
          <w:szCs w:val="14"/>
          <w:lang w:eastAsia="es-UY"/>
          <w14:ligatures w14:val="none"/>
        </w:rPr>
        <w:t>         </w:t>
      </w: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 xml:space="preserve">¿quién dice que algo “es”? Es decir… ¿por dónde pasa “la razón”. Porque, ¿cómo afirmar que algo “es”? (o que no es) … Es decir: ¿quién maneja “la razón”? En un mundo donde unos pocos, ¡muy pocos!, manejan las palabras (la comunicación) es evidente que la inmensa mayoría aceptará como </w:t>
      </w: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lastRenderedPageBreak/>
        <w:t>“razonable” (y por lo tanto “cierto”) lo que “aquellos” decidan que aceptemos o rechacemos.</w:t>
      </w:r>
    </w:p>
    <w:p w14:paraId="4E3B8234" w14:textId="77777777" w:rsidR="00F36037" w:rsidRPr="00F36037" w:rsidRDefault="00F36037" w:rsidP="00F360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14"/>
          <w:szCs w:val="14"/>
          <w:lang w:eastAsia="es-UY"/>
          <w14:ligatures w14:val="none"/>
        </w:rPr>
        <w:t>         </w:t>
      </w: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 xml:space="preserve">En el lenguaje coloquial (y a veces más que coloquialmente) es frecuente escuchar que se habla de “mi verdad” – “tu verdad” … Si </w:t>
      </w:r>
      <w:proofErr w:type="gramStart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cada quien</w:t>
      </w:r>
      <w:proofErr w:type="gramEnd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 xml:space="preserve"> tiene “la / su” verdad (reino del individualismo) es obvio que “la verdad” no existe, el diálogo no tiene sentido. A lo sumo se escucha a la otra persona por respeto o cariño, pero nada de lo que diga o piense mueve “mi” verdad.</w:t>
      </w:r>
    </w:p>
    <w:p w14:paraId="5BFEDA9B" w14:textId="77777777" w:rsidR="00F36037" w:rsidRPr="00F36037" w:rsidRDefault="00F36037" w:rsidP="00F3603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945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14"/>
          <w:szCs w:val="14"/>
          <w:lang w:eastAsia="es-UY"/>
          <w14:ligatures w14:val="none"/>
        </w:rPr>
        <w:t>         </w:t>
      </w: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Esa crisis de “la razón” va paralela al nacimiento de los “sentimientos”. Algo vale o deja de valer si “yo lo siento” (nuevamente el “yo”, lo que “yo siento”). Y alguien o algo es bueno o malo según lo que mis sentimientos “me” dicten. Nuevamente nada es valioso fuera de “mi”, salvo que forme parte del ambiente de mis “sentimientos (positivos)” lo cual aceptaré, o, a lo sumo, “comprenderé” y no aceptaré críticas porque es del mundo de mis afectos.</w:t>
      </w:r>
    </w:p>
    <w:p w14:paraId="5B1564B8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Ese ambiente de individualismo supremo, sin diálogo posible, sin certezas más que las que mis sentimientos me dan o las que imponen que los que “pueden” (= poder), no tiene forma de manejar los desencuentros sino con la ruptura o la violencia, verbal, escrita o física.</w:t>
      </w:r>
    </w:p>
    <w:p w14:paraId="5EC5BCB6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No pretendo ni presentar “razones alternativas”, ni “combatir / enfrentar / atacar” lo que, si quisiera, serían molinos de viento. Simplemente pensar “en voz alta” y que le sirva a quien quepa…</w:t>
      </w:r>
    </w:p>
    <w:p w14:paraId="62E57219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1.- Empiezo con un elemento central en la “</w:t>
      </w:r>
      <w:hyperlink r:id="rId16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teología india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” … “¡Somos diferentes!” Lamentablemente, la diferencia, para algunos ambientes es intolerable. Y, con excesiva frecuencia, es planteada desde una perspectiva de “superioridad – inferioridad”: varón-mujer”, “negro-blanco”, “rico-pobre” … De allí la sensata fórmula alternativa: “iguales porque diferentes”. Superioridad que, por otra parte, conduce a una nueva edad de la “rigidez”, de rechazo (o, incluso, eliminación) del “diferente”, del que no “encaja” en nuestra “razón / sentimiento”: </w:t>
      </w:r>
      <w:hyperlink r:id="rId17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indígenas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, </w:t>
      </w:r>
      <w:proofErr w:type="spellStart"/>
      <w:r w:rsidRPr="00F36037">
        <w:rPr>
          <w:rFonts w:ascii="Arial" w:eastAsia="Times New Roman" w:hAnsi="Arial" w:cs="Arial"/>
          <w:i/>
          <w:iCs/>
          <w:color w:val="000000"/>
          <w:kern w:val="0"/>
          <w:sz w:val="27"/>
          <w:szCs w:val="27"/>
          <w:lang w:eastAsia="es-UY"/>
          <w14:ligatures w14:val="none"/>
        </w:rPr>
        <w:fldChar w:fldCharType="begin"/>
      </w:r>
      <w:r w:rsidRPr="00F36037">
        <w:rPr>
          <w:rFonts w:ascii="Arial" w:eastAsia="Times New Roman" w:hAnsi="Arial" w:cs="Arial"/>
          <w:i/>
          <w:iCs/>
          <w:color w:val="000000"/>
          <w:kern w:val="0"/>
          <w:sz w:val="27"/>
          <w:szCs w:val="27"/>
          <w:lang w:eastAsia="es-UY"/>
          <w14:ligatures w14:val="none"/>
        </w:rPr>
        <w:instrText>HYPERLINK "https://www.blogger.com/blog/post/edit/2845060600014161194/4390121662146268335" \t "_blank"</w:instrText>
      </w:r>
      <w:r w:rsidRPr="00F36037">
        <w:rPr>
          <w:rFonts w:ascii="Arial" w:eastAsia="Times New Roman" w:hAnsi="Arial" w:cs="Arial"/>
          <w:i/>
          <w:iCs/>
          <w:color w:val="000000"/>
          <w:kern w:val="0"/>
          <w:sz w:val="27"/>
          <w:szCs w:val="27"/>
          <w:lang w:eastAsia="es-UY"/>
          <w14:ligatures w14:val="none"/>
        </w:rPr>
      </w:r>
      <w:r w:rsidRPr="00F36037">
        <w:rPr>
          <w:rFonts w:ascii="Arial" w:eastAsia="Times New Roman" w:hAnsi="Arial" w:cs="Arial"/>
          <w:i/>
          <w:iCs/>
          <w:color w:val="000000"/>
          <w:kern w:val="0"/>
          <w:sz w:val="27"/>
          <w:szCs w:val="27"/>
          <w:lang w:eastAsia="es-UY"/>
          <w14:ligatures w14:val="none"/>
        </w:rPr>
        <w:fldChar w:fldCharType="separate"/>
      </w:r>
      <w:r w:rsidRPr="00F36037">
        <w:rPr>
          <w:rFonts w:ascii="Arial" w:eastAsia="Times New Roman" w:hAnsi="Arial" w:cs="Arial"/>
          <w:i/>
          <w:iCs/>
          <w:color w:val="1155CC"/>
          <w:kern w:val="0"/>
          <w:sz w:val="27"/>
          <w:szCs w:val="27"/>
          <w:u w:val="single"/>
          <w:lang w:eastAsia="es-UY"/>
          <w14:ligatures w14:val="none"/>
        </w:rPr>
        <w:t>woke</w:t>
      </w:r>
      <w:proofErr w:type="spellEnd"/>
      <w:r w:rsidRPr="00F36037">
        <w:rPr>
          <w:rFonts w:ascii="Arial" w:eastAsia="Times New Roman" w:hAnsi="Arial" w:cs="Arial"/>
          <w:i/>
          <w:iCs/>
          <w:color w:val="000000"/>
          <w:kern w:val="0"/>
          <w:sz w:val="27"/>
          <w:szCs w:val="27"/>
          <w:lang w:eastAsia="es-UY"/>
          <w14:ligatures w14:val="none"/>
        </w:rPr>
        <w:fldChar w:fldCharType="end"/>
      </w: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, extranjeros (= </w:t>
      </w:r>
      <w:hyperlink r:id="rId18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migrantes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), “</w:t>
      </w:r>
      <w:hyperlink r:id="rId19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zurdos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” … Pero, seamos claros, la aceptación del / de los diferente / s debe suponer y presuponer una actitud interior de ambas partes, no ofensiva / defensiva, por cierto… Actitud que pretende “escucha”, lo que significa atención a cuanto de “razón” (no de “verdad”) tenga la otra parte, y ver cuánto puedo yo aprender de eso. No dialogamos para convencer, sino para encontrarnos y conocernos. Después sí, aprenderemos o enseñaremos… Después.</w:t>
      </w:r>
    </w:p>
    <w:p w14:paraId="17571D13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 xml:space="preserve">2.- Ciertamente, todas las personas nos movemos en un ambiente de “certezas”; cosas de las que estamos convencidos y en las que nos “afirmamos”. Y, obviamente, las otras personas tienen a su vez “sus” certezas. Pero eso puede ser visto como conflictivo (= enemigo) o, por </w:t>
      </w: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lastRenderedPageBreak/>
        <w:t>el contrario, como alguien que puede dar más firmeza a mis seguridades, puede poner en crisis mis afirmaciones, o puede ayudarme a pulir mis principios. Eso es crecimiento. Para los creyentes, sin duda, la fe aporta elementos a esas certezas. Y no es insensato pensar que la fe puede (¡debe!) pulirse, afirmar con mayor precisión, desechar superficialidades o fundamentalismos… No es insensato saber que reconocernos en una cierta intemperie puede herir sentimientos (y seguridades, falsas, atávicas o históricas), pero puede ser el espacio adecuado para “mirar lejos”, para poner buena semilla o buenos cimientos en un edificio o un árbol que pretende resistir tormentas, ¡que vendrán!</w:t>
      </w:r>
    </w:p>
    <w:p w14:paraId="04031C47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3.- Desde la </w:t>
      </w:r>
      <w:hyperlink r:id="rId20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revolución francesa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 se ha hablado de “</w:t>
      </w:r>
      <w:hyperlink r:id="rId21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Libertad – igualdad – fraternidad</w:t>
        </w:r>
      </w:hyperlink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”. Palabras fundamentales. Palabras que, precisamente por eso, pueden manipularse. La libertad no es “mi” libertad sin “nuestra” o “de todos”; la igualdad no es sin aceptar la diferencia, la fraternidad no es sin reconocer un padre / madre común, o sin creernos mayores y únicos herederos.</w:t>
      </w:r>
    </w:p>
    <w:p w14:paraId="06607004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 xml:space="preserve">En suma: me parece “razonable” entender que todos, todas y todes somos hermanos, hermanas y hermanes, aunque – como es natural – nos llevemos mejor con unos que con otros / as / es… Para los creyentes, esa hermandad viene dada por compartir un mismo Padre / Madre, por cierto, Dios. Por hermanos / as / es somos iguales, y, por lo tanto, diferentes: varones, mujeres, LGTBIQ+, capaces o </w:t>
      </w:r>
      <w:proofErr w:type="spellStart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discapaces</w:t>
      </w:r>
      <w:proofErr w:type="spellEnd"/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, sanos o enfermos, de etnias y colores diferentes que nos permiten celebrar un arco iris que une los extremos de la tierra, y abraza a todos los seres humanos y no humanos. Y por hermanos y por iguales, libres para caminar juntos, celebrar juntos, dialogar juntos, abrazarnos juntos. Porque no hay libertad sino con hermanos / as / es iguales / diferentes con quienes festejarla. No sin vida.</w:t>
      </w:r>
    </w:p>
    <w:p w14:paraId="3CB600FA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 </w:t>
      </w:r>
    </w:p>
    <w:p w14:paraId="2D504127" w14:textId="77777777" w:rsidR="00F36037" w:rsidRPr="00F36037" w:rsidRDefault="00F36037" w:rsidP="00F3603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</w:pPr>
      <w:r w:rsidRPr="00F36037">
        <w:rPr>
          <w:rFonts w:ascii="Arial" w:eastAsia="Times New Roman" w:hAnsi="Arial" w:cs="Arial"/>
          <w:color w:val="000000"/>
          <w:kern w:val="0"/>
          <w:sz w:val="27"/>
          <w:szCs w:val="27"/>
          <w:lang w:eastAsia="es-UY"/>
          <w14:ligatures w14:val="none"/>
        </w:rPr>
        <w:t>Imagen tomada de </w:t>
      </w:r>
      <w:hyperlink r:id="rId22" w:tgtFrame="_blank" w:history="1">
        <w:r w:rsidRPr="00F36037">
          <w:rPr>
            <w:rFonts w:ascii="Arial" w:eastAsia="Times New Roman" w:hAnsi="Arial" w:cs="Arial"/>
            <w:color w:val="1155CC"/>
            <w:kern w:val="0"/>
            <w:sz w:val="27"/>
            <w:szCs w:val="27"/>
            <w:u w:val="single"/>
            <w:lang w:eastAsia="es-UY"/>
            <w14:ligatures w14:val="none"/>
          </w:rPr>
          <w:t>https://www.lasherasnoticias.com/libertad-igualdad-y-fraternidad</w:t>
        </w:r>
      </w:hyperlink>
      <w:r w:rsidRPr="00F36037">
        <w:rPr>
          <w:rFonts w:ascii="Times New Roman" w:eastAsia="Times New Roman" w:hAnsi="Times New Roman" w:cs="Times New Roman"/>
          <w:color w:val="000000"/>
          <w:kern w:val="0"/>
          <w:sz w:val="27"/>
          <w:szCs w:val="27"/>
          <w:lang w:eastAsia="es-UY"/>
          <w14:ligatures w14:val="none"/>
        </w:rPr>
        <w:t>/</w:t>
      </w:r>
    </w:p>
    <w:p w14:paraId="7239FB89" w14:textId="77777777" w:rsidR="00926044" w:rsidRDefault="00926044"/>
    <w:sectPr w:rsidR="0092604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32F64"/>
    <w:multiLevelType w:val="multilevel"/>
    <w:tmpl w:val="8C4CD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648112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037"/>
    <w:rsid w:val="00926044"/>
    <w:rsid w:val="00DE17AC"/>
    <w:rsid w:val="00E5070D"/>
    <w:rsid w:val="00F36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485858"/>
  <w15:chartTrackingRefBased/>
  <w15:docId w15:val="{108291D2-AF0B-46F5-AEB9-26F27B807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F360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60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360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360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360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360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360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360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360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F360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F360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360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3603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3603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3603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3603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3603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3603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F360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F360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F360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F360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F360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F3603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F3603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F3603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360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3603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F360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ogger.com/blog/post/edit/2845060600014161194/4390121662146268335" TargetMode="External"/><Relationship Id="rId13" Type="http://schemas.openxmlformats.org/officeDocument/2006/relationships/hyperlink" Target="https://www.blogger.com/blog/post/edit/2845060600014161194/4390121662146268335" TargetMode="External"/><Relationship Id="rId18" Type="http://schemas.openxmlformats.org/officeDocument/2006/relationships/hyperlink" Target="https://www.blogger.com/blog/post/edit/2845060600014161194/4390121662146268335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blogger.com/blog/post/edit/2845060600014161194/4390121662146268335" TargetMode="External"/><Relationship Id="rId7" Type="http://schemas.openxmlformats.org/officeDocument/2006/relationships/hyperlink" Target="https://www.blogger.com/blog/post/edit/2845060600014161194/4390121662146268335" TargetMode="External"/><Relationship Id="rId12" Type="http://schemas.openxmlformats.org/officeDocument/2006/relationships/hyperlink" Target="https://www.blogger.com/blog/post/edit/2845060600014161194/4390121662146268335" TargetMode="External"/><Relationship Id="rId17" Type="http://schemas.openxmlformats.org/officeDocument/2006/relationships/hyperlink" Target="https://www.blogger.com/blog/post/edit/2845060600014161194/4390121662146268335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logger.com/blog/post/edit/2845060600014161194/4390121662146268335" TargetMode="External"/><Relationship Id="rId20" Type="http://schemas.openxmlformats.org/officeDocument/2006/relationships/hyperlink" Target="https://www.blogger.com/blog/post/edit/2845060600014161194/4390121662146268335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www.blogger.com/blog/post/edit/2845060600014161194/4390121662146268335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www.blogger.com/blog/post/edit/2845060600014161194/4390121662146268335" TargetMode="External"/><Relationship Id="rId15" Type="http://schemas.openxmlformats.org/officeDocument/2006/relationships/hyperlink" Target="https://www.blogger.com/blog/post/edit/2845060600014161194/4390121662146268335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www.blogger.com/blog/post/edit/2845060600014161194/4390121662146268335" TargetMode="External"/><Relationship Id="rId19" Type="http://schemas.openxmlformats.org/officeDocument/2006/relationships/hyperlink" Target="https://www.blogger.com/blog/post/edit/2845060600014161194/4390121662146268335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blogger.com/blog/post/edit/2845060600014161194/4390121662146268335" TargetMode="External"/><Relationship Id="rId14" Type="http://schemas.openxmlformats.org/officeDocument/2006/relationships/hyperlink" Target="https://www.blogger.com/blog/post/edit/2845060600014161194/4390121662146268335" TargetMode="External"/><Relationship Id="rId22" Type="http://schemas.openxmlformats.org/officeDocument/2006/relationships/hyperlink" Target="https://www.lasherasnoticias.com/libertad-igualdad-y-fraternidad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1245</Words>
  <Characters>6853</Characters>
  <Application>Microsoft Office Word</Application>
  <DocSecurity>0</DocSecurity>
  <Lines>57</Lines>
  <Paragraphs>16</Paragraphs>
  <ScaleCrop>false</ScaleCrop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2025-11-23T20:06:00Z</dcterms:created>
  <dcterms:modified xsi:type="dcterms:W3CDTF">2025-11-23T20:07:00Z</dcterms:modified>
</cp:coreProperties>
</file>