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8A9D91" w14:textId="77777777" w:rsidR="00A7537A" w:rsidRPr="00A7537A" w:rsidRDefault="00A7537A" w:rsidP="00A7537A">
      <w:pPr>
        <w:spacing w:after="0" w:line="870" w:lineRule="atLeast"/>
        <w:jc w:val="both"/>
        <w:textAlignment w:val="baseline"/>
        <w:outlineLvl w:val="0"/>
        <w:rPr>
          <w:rFonts w:ascii="Merriweather" w:eastAsia="Times New Roman" w:hAnsi="Merriweather" w:cs="Times New Roman"/>
          <w:b/>
          <w:bCs/>
          <w:color w:val="000000"/>
          <w:kern w:val="36"/>
          <w:sz w:val="52"/>
          <w:szCs w:val="52"/>
          <w:lang w:eastAsia="es-UY"/>
          <w14:ligatures w14:val="none"/>
        </w:rPr>
      </w:pPr>
      <w:r w:rsidRPr="00A7537A">
        <w:rPr>
          <w:rFonts w:ascii="Merriweather" w:eastAsia="Times New Roman" w:hAnsi="Merriweather" w:cs="Times New Roman"/>
          <w:b/>
          <w:bCs/>
          <w:color w:val="000000"/>
          <w:kern w:val="36"/>
          <w:sz w:val="52"/>
          <w:szCs w:val="52"/>
          <w:lang w:eastAsia="es-UY"/>
          <w14:ligatures w14:val="none"/>
        </w:rPr>
        <w:t>El Vaticano anuncia que se pronunciará “</w:t>
      </w:r>
      <w:proofErr w:type="spellStart"/>
      <w:r w:rsidRPr="00A7537A">
        <w:rPr>
          <w:rFonts w:ascii="Merriweather" w:eastAsia="Times New Roman" w:hAnsi="Merriweather" w:cs="Times New Roman"/>
          <w:b/>
          <w:bCs/>
          <w:color w:val="000000"/>
          <w:kern w:val="36"/>
          <w:sz w:val="52"/>
          <w:szCs w:val="52"/>
          <w:lang w:eastAsia="es-UY"/>
          <w14:ligatures w14:val="none"/>
        </w:rPr>
        <w:t>proximamente</w:t>
      </w:r>
      <w:proofErr w:type="spellEnd"/>
      <w:r w:rsidRPr="00A7537A">
        <w:rPr>
          <w:rFonts w:ascii="Merriweather" w:eastAsia="Times New Roman" w:hAnsi="Merriweather" w:cs="Times New Roman"/>
          <w:b/>
          <w:bCs/>
          <w:color w:val="000000"/>
          <w:kern w:val="36"/>
          <w:sz w:val="52"/>
          <w:szCs w:val="52"/>
          <w:lang w:eastAsia="es-UY"/>
          <w14:ligatures w14:val="none"/>
        </w:rPr>
        <w:t>” sobre el diaconado femenino</w:t>
      </w:r>
    </w:p>
    <w:p w14:paraId="17CB82B1" w14:textId="77777777" w:rsidR="00A7537A" w:rsidRPr="00A7537A" w:rsidRDefault="00A7537A" w:rsidP="00A7537A">
      <w:pPr>
        <w:spacing w:after="0" w:line="240" w:lineRule="auto"/>
        <w:textAlignment w:val="baseline"/>
        <w:rPr>
          <w:rFonts w:ascii="Titillium Web" w:eastAsia="Times New Roman" w:hAnsi="Titillium Web" w:cs="Times New Roman"/>
          <w:color w:val="E00109"/>
          <w:kern w:val="0"/>
          <w:sz w:val="23"/>
          <w:szCs w:val="23"/>
          <w:lang w:eastAsia="es-UY"/>
          <w14:ligatures w14:val="none"/>
        </w:rPr>
      </w:pPr>
      <w:r w:rsidRPr="00A7537A">
        <w:rPr>
          <w:rFonts w:ascii="Titillium Web" w:eastAsia="Times New Roman" w:hAnsi="Titillium Web" w:cs="Times New Roman"/>
          <w:color w:val="E00109"/>
          <w:kern w:val="0"/>
          <w:sz w:val="23"/>
          <w:szCs w:val="23"/>
          <w:lang w:eastAsia="es-UY"/>
          <w14:ligatures w14:val="none"/>
        </w:rPr>
        <w:t>Por </w:t>
      </w:r>
      <w:hyperlink r:id="rId5" w:history="1">
        <w:r w:rsidRPr="00A7537A">
          <w:rPr>
            <w:rFonts w:ascii="Titillium Web" w:eastAsia="Times New Roman" w:hAnsi="Titillium Web" w:cs="Times New Roman"/>
            <w:b/>
            <w:bCs/>
            <w:color w:val="E00109"/>
            <w:kern w:val="0"/>
            <w:sz w:val="23"/>
            <w:szCs w:val="23"/>
            <w:u w:val="single"/>
            <w:bdr w:val="none" w:sz="0" w:space="0" w:color="auto" w:frame="1"/>
            <w:lang w:eastAsia="es-UY"/>
            <w14:ligatures w14:val="none"/>
          </w:rPr>
          <w:t>Rubén Cruz</w:t>
        </w:r>
      </w:hyperlink>
    </w:p>
    <w:p w14:paraId="756190EC" w14:textId="77777777" w:rsidR="00A7537A" w:rsidRPr="00A7537A" w:rsidRDefault="00A7537A" w:rsidP="00A7537A">
      <w:pPr>
        <w:spacing w:after="0" w:line="240" w:lineRule="auto"/>
        <w:textAlignment w:val="baseline"/>
        <w:rPr>
          <w:rFonts w:ascii="Titillium Web" w:eastAsia="Times New Roman" w:hAnsi="Titillium Web" w:cs="Times New Roman"/>
          <w:color w:val="E00109"/>
          <w:kern w:val="0"/>
          <w:sz w:val="23"/>
          <w:szCs w:val="23"/>
          <w:lang w:eastAsia="es-UY"/>
          <w14:ligatures w14:val="none"/>
        </w:rPr>
      </w:pPr>
      <w:r w:rsidRPr="00A7537A">
        <w:rPr>
          <w:rFonts w:ascii="Titillium Web" w:eastAsia="Times New Roman" w:hAnsi="Titillium Web" w:cs="Times New Roman"/>
          <w:color w:val="E00109"/>
          <w:kern w:val="0"/>
          <w:sz w:val="23"/>
          <w:szCs w:val="23"/>
          <w:lang w:eastAsia="es-UY"/>
          <w14:ligatures w14:val="none"/>
        </w:rPr>
        <w:t> | </w:t>
      </w:r>
      <w:r w:rsidRPr="00A7537A">
        <w:rPr>
          <w:rFonts w:ascii="Titillium Web" w:eastAsia="Times New Roman" w:hAnsi="Titillium Web" w:cs="Times New Roman"/>
          <w:color w:val="E00109"/>
          <w:kern w:val="0"/>
          <w:sz w:val="23"/>
          <w:szCs w:val="23"/>
          <w:bdr w:val="none" w:sz="0" w:space="0" w:color="auto" w:frame="1"/>
          <w:lang w:eastAsia="es-UY"/>
          <w14:ligatures w14:val="none"/>
        </w:rPr>
        <w:t>17/11/2025 - 16:47</w:t>
      </w:r>
    </w:p>
    <w:p w14:paraId="3B0198A8" w14:textId="77777777" w:rsidR="00A7537A" w:rsidRPr="00A7537A" w:rsidRDefault="00A7537A" w:rsidP="00A7537A">
      <w:pPr>
        <w:numPr>
          <w:ilvl w:val="0"/>
          <w:numId w:val="1"/>
        </w:numPr>
        <w:spacing w:after="0" w:line="240" w:lineRule="auto"/>
        <w:textAlignment w:val="baseline"/>
        <w:outlineLvl w:val="1"/>
        <w:rPr>
          <w:rFonts w:ascii="Titillium Web" w:eastAsia="Times New Roman" w:hAnsi="Titillium Web" w:cs="Times New Roman"/>
          <w:b/>
          <w:bCs/>
          <w:color w:val="000000"/>
          <w:kern w:val="0"/>
          <w:sz w:val="24"/>
          <w:szCs w:val="24"/>
          <w:lang w:eastAsia="es-UY"/>
          <w14:ligatures w14:val="none"/>
        </w:rPr>
      </w:pPr>
      <w:r w:rsidRPr="00A7537A">
        <w:rPr>
          <w:rFonts w:ascii="Titillium Web" w:eastAsia="Times New Roman" w:hAnsi="Titillium Web" w:cs="Times New Roman"/>
          <w:b/>
          <w:bCs/>
          <w:color w:val="000000"/>
          <w:kern w:val="0"/>
          <w:sz w:val="24"/>
          <w:szCs w:val="24"/>
          <w:lang w:eastAsia="es-UY"/>
          <w14:ligatures w14:val="none"/>
        </w:rPr>
        <w:t>El Sínodo pública los informes intermedios de los grupos de estudio que analizan cuestiones como el lugar de la mujer en la Iglesia, la poligamia, la elección de obispos o la formación de los seminarios</w:t>
      </w:r>
    </w:p>
    <w:p w14:paraId="474A46AA" w14:textId="77777777" w:rsidR="00A7537A" w:rsidRPr="00A7537A" w:rsidRDefault="00A7537A" w:rsidP="00A7537A">
      <w:pPr>
        <w:numPr>
          <w:ilvl w:val="0"/>
          <w:numId w:val="1"/>
        </w:numPr>
        <w:spacing w:after="0" w:line="240" w:lineRule="auto"/>
        <w:textAlignment w:val="baseline"/>
        <w:outlineLvl w:val="1"/>
        <w:rPr>
          <w:rFonts w:ascii="Titillium Web" w:eastAsia="Times New Roman" w:hAnsi="Titillium Web" w:cs="Times New Roman"/>
          <w:b/>
          <w:bCs/>
          <w:color w:val="000000"/>
          <w:kern w:val="0"/>
          <w:sz w:val="24"/>
          <w:szCs w:val="24"/>
          <w:lang w:eastAsia="es-UY"/>
          <w14:ligatures w14:val="none"/>
        </w:rPr>
      </w:pPr>
      <w:r w:rsidRPr="00A7537A">
        <w:rPr>
          <w:rFonts w:ascii="Titillium Web" w:eastAsia="Times New Roman" w:hAnsi="Titillium Web" w:cs="Times New Roman"/>
          <w:b/>
          <w:bCs/>
          <w:color w:val="000000"/>
          <w:kern w:val="0"/>
          <w:sz w:val="24"/>
          <w:szCs w:val="24"/>
          <w:lang w:eastAsia="es-UY"/>
          <w14:ligatures w14:val="none"/>
        </w:rPr>
        <w:t>Los documentos finales deben entregarse a León XIV antes de final de año</w:t>
      </w:r>
    </w:p>
    <w:p w14:paraId="0785B53D" w14:textId="77777777" w:rsidR="00A7537A" w:rsidRPr="00A7537A" w:rsidRDefault="00A7537A" w:rsidP="00A7537A">
      <w:pPr>
        <w:spacing w:after="0" w:line="240" w:lineRule="auto"/>
        <w:jc w:val="center"/>
        <w:textAlignment w:val="baseline"/>
        <w:rPr>
          <w:rFonts w:ascii="Titillium Web" w:eastAsia="Times New Roman" w:hAnsi="Titillium Web" w:cs="Times New Roman"/>
          <w:color w:val="000000"/>
          <w:kern w:val="0"/>
          <w:sz w:val="24"/>
          <w:szCs w:val="24"/>
          <w:lang w:eastAsia="es-UY"/>
          <w14:ligatures w14:val="none"/>
        </w:rPr>
      </w:pPr>
      <w:r w:rsidRPr="00A7537A">
        <w:rPr>
          <w:rFonts w:ascii="Titillium Web" w:eastAsia="Times New Roman" w:hAnsi="Titillium Web" w:cs="Times New Roman"/>
          <w:noProof/>
          <w:color w:val="000000"/>
          <w:kern w:val="0"/>
          <w:sz w:val="24"/>
          <w:szCs w:val="24"/>
          <w:lang w:eastAsia="es-UY"/>
          <w14:ligatures w14:val="none"/>
        </w:rPr>
        <w:drawing>
          <wp:inline distT="0" distB="0" distL="0" distR="0" wp14:anchorId="4C0FEB3C" wp14:editId="5BFB1C0B">
            <wp:extent cx="5522853" cy="2832100"/>
            <wp:effectExtent l="0" t="0" r="1905" b="6350"/>
            <wp:docPr id="6" name="Imagen 4" descr="Sínodo de la Sinodalidad. Muj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Sínodo de la Sinodalidad. Mujeres"/>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545160" cy="2843539"/>
                    </a:xfrm>
                    <a:prstGeom prst="rect">
                      <a:avLst/>
                    </a:prstGeom>
                    <a:noFill/>
                    <a:ln>
                      <a:noFill/>
                    </a:ln>
                  </pic:spPr>
                </pic:pic>
              </a:graphicData>
            </a:graphic>
          </wp:inline>
        </w:drawing>
      </w:r>
    </w:p>
    <w:p w14:paraId="2F869198" w14:textId="77777777" w:rsidR="00A7537A" w:rsidRPr="00A7537A" w:rsidRDefault="00A7537A" w:rsidP="00A7537A">
      <w:pPr>
        <w:spacing w:after="0" w:line="240" w:lineRule="auto"/>
        <w:jc w:val="center"/>
        <w:textAlignment w:val="baseline"/>
        <w:rPr>
          <w:rFonts w:ascii="Titillium Web" w:eastAsia="Times New Roman" w:hAnsi="Titillium Web" w:cs="Times New Roman"/>
          <w:color w:val="000000"/>
          <w:kern w:val="0"/>
          <w:sz w:val="24"/>
          <w:szCs w:val="24"/>
          <w:lang w:eastAsia="es-UY"/>
          <w14:ligatures w14:val="none"/>
        </w:rPr>
      </w:pPr>
      <w:r w:rsidRPr="00A7537A">
        <w:rPr>
          <w:rFonts w:ascii="Titillium Web" w:eastAsia="Times New Roman" w:hAnsi="Titillium Web" w:cs="Times New Roman"/>
          <w:color w:val="000000"/>
          <w:kern w:val="0"/>
          <w:sz w:val="24"/>
          <w:szCs w:val="24"/>
          <w:lang w:eastAsia="es-UY"/>
          <w14:ligatures w14:val="none"/>
        </w:rPr>
        <w:br/>
      </w:r>
      <w:r w:rsidRPr="00A7537A">
        <w:rPr>
          <w:rFonts w:ascii="Titillium Web" w:eastAsia="Times New Roman" w:hAnsi="Titillium Web" w:cs="Times New Roman"/>
          <w:color w:val="000000"/>
          <w:kern w:val="0"/>
          <w:sz w:val="24"/>
          <w:szCs w:val="24"/>
          <w:lang w:eastAsia="es-UY"/>
          <w14:ligatures w14:val="none"/>
        </w:rPr>
        <w:br/>
      </w:r>
      <w:r w:rsidRPr="00A7537A">
        <w:rPr>
          <w:rFonts w:ascii="Titillium Web" w:eastAsia="Times New Roman" w:hAnsi="Titillium Web" w:cs="Times New Roman"/>
          <w:color w:val="000000"/>
          <w:kern w:val="0"/>
          <w:sz w:val="24"/>
          <w:szCs w:val="24"/>
          <w:lang w:eastAsia="es-UY"/>
          <w14:ligatures w14:val="none"/>
        </w:rPr>
        <w:br/>
      </w:r>
      <w:r w:rsidRPr="00A7537A">
        <w:rPr>
          <w:rFonts w:ascii="Titillium Web" w:eastAsia="Times New Roman" w:hAnsi="Titillium Web" w:cs="Times New Roman"/>
          <w:color w:val="000000"/>
          <w:kern w:val="0"/>
          <w:sz w:val="24"/>
          <w:szCs w:val="24"/>
          <w:lang w:eastAsia="es-UY"/>
          <w14:ligatures w14:val="none"/>
        </w:rPr>
        <w:br/>
      </w:r>
    </w:p>
    <w:p w14:paraId="588C430B" w14:textId="77777777" w:rsidR="00A7537A" w:rsidRPr="00A7537A" w:rsidRDefault="00A7537A" w:rsidP="00A7537A">
      <w:pPr>
        <w:spacing w:after="0" w:line="240" w:lineRule="auto"/>
        <w:textAlignment w:val="baseline"/>
        <w:rPr>
          <w:rFonts w:ascii="Titillium Web" w:eastAsia="Times New Roman" w:hAnsi="Titillium Web" w:cs="Times New Roman"/>
          <w:color w:val="000000"/>
          <w:kern w:val="0"/>
          <w:sz w:val="27"/>
          <w:szCs w:val="27"/>
          <w:lang w:eastAsia="es-UY"/>
          <w14:ligatures w14:val="none"/>
        </w:rPr>
      </w:pPr>
      <w:r w:rsidRPr="00A7537A">
        <w:rPr>
          <w:rFonts w:ascii="Titillium Web" w:eastAsia="Times New Roman" w:hAnsi="Titillium Web" w:cs="Times New Roman"/>
          <w:color w:val="000000"/>
          <w:kern w:val="0"/>
          <w:sz w:val="27"/>
          <w:szCs w:val="27"/>
          <w:lang w:eastAsia="es-UY"/>
          <w14:ligatures w14:val="none"/>
        </w:rPr>
        <w:t>La </w:t>
      </w:r>
      <w:r w:rsidRPr="00A7537A">
        <w:rPr>
          <w:rFonts w:ascii="Titillium Web" w:eastAsia="Times New Roman" w:hAnsi="Titillium Web" w:cs="Times New Roman"/>
          <w:b/>
          <w:bCs/>
          <w:color w:val="535353"/>
          <w:kern w:val="0"/>
          <w:sz w:val="24"/>
          <w:szCs w:val="24"/>
          <w:bdr w:val="none" w:sz="0" w:space="0" w:color="auto" w:frame="1"/>
          <w:lang w:eastAsia="es-UY"/>
          <w14:ligatures w14:val="none"/>
        </w:rPr>
        <w:t>Secretaría General del </w:t>
      </w:r>
      <w:hyperlink r:id="rId7" w:history="1">
        <w:r w:rsidRPr="00A7537A">
          <w:rPr>
            <w:rFonts w:ascii="Titillium Web" w:eastAsia="Times New Roman" w:hAnsi="Titillium Web" w:cs="Times New Roman"/>
            <w:b/>
            <w:bCs/>
            <w:color w:val="E00109"/>
            <w:kern w:val="0"/>
            <w:sz w:val="27"/>
            <w:szCs w:val="27"/>
            <w:u w:val="single"/>
            <w:bdr w:val="none" w:sz="0" w:space="0" w:color="auto" w:frame="1"/>
            <w:lang w:eastAsia="es-UY"/>
            <w14:ligatures w14:val="none"/>
          </w:rPr>
          <w:t>Sínodo</w:t>
        </w:r>
      </w:hyperlink>
      <w:r w:rsidRPr="00A7537A">
        <w:rPr>
          <w:rFonts w:ascii="Titillium Web" w:eastAsia="Times New Roman" w:hAnsi="Titillium Web" w:cs="Times New Roman"/>
          <w:color w:val="000000"/>
          <w:kern w:val="0"/>
          <w:sz w:val="27"/>
          <w:szCs w:val="27"/>
          <w:lang w:eastAsia="es-UY"/>
          <w14:ligatures w14:val="none"/>
        </w:rPr>
        <w:t> ha publicado esta mañana los informes intermedios de los diez grupos de estudio creados por el papa Francisco en marzo de 2024. Entre ellos, el que analiza la participación de las mujeres en la vida de la Iglesia, que dará a conocer “próximamente” los resultados del trabajo sobre el diaconado femenino.</w:t>
      </w:r>
    </w:p>
    <w:p w14:paraId="25D38102" w14:textId="77777777" w:rsidR="00A7537A" w:rsidRPr="00A7537A" w:rsidRDefault="00A7537A" w:rsidP="00A7537A">
      <w:pPr>
        <w:spacing w:after="0" w:line="240" w:lineRule="auto"/>
        <w:jc w:val="both"/>
        <w:textAlignment w:val="baseline"/>
        <w:rPr>
          <w:rFonts w:ascii="Titillium Web" w:eastAsia="Times New Roman" w:hAnsi="Titillium Web" w:cs="Times New Roman"/>
          <w:color w:val="000000"/>
          <w:kern w:val="0"/>
          <w:sz w:val="27"/>
          <w:szCs w:val="27"/>
          <w:lang w:eastAsia="es-UY"/>
          <w14:ligatures w14:val="none"/>
        </w:rPr>
      </w:pPr>
      <w:r w:rsidRPr="00A7537A">
        <w:rPr>
          <w:rFonts w:ascii="Titillium Web" w:eastAsia="Times New Roman" w:hAnsi="Titillium Web" w:cs="Times New Roman"/>
          <w:color w:val="000000"/>
          <w:kern w:val="0"/>
          <w:sz w:val="27"/>
          <w:szCs w:val="27"/>
          <w:lang w:eastAsia="es-UY"/>
          <w14:ligatures w14:val="none"/>
        </w:rPr>
        <w:t>“En cuanto a la cuestión del </w:t>
      </w:r>
      <w:r w:rsidRPr="00A7537A">
        <w:rPr>
          <w:rFonts w:ascii="Titillium Web" w:eastAsia="Times New Roman" w:hAnsi="Titillium Web" w:cs="Times New Roman"/>
          <w:b/>
          <w:bCs/>
          <w:color w:val="535353"/>
          <w:kern w:val="0"/>
          <w:sz w:val="24"/>
          <w:szCs w:val="24"/>
          <w:bdr w:val="none" w:sz="0" w:space="0" w:color="auto" w:frame="1"/>
          <w:lang w:eastAsia="es-UY"/>
          <w14:ligatures w14:val="none"/>
        </w:rPr>
        <w:t>acceso de las mujeres al </w:t>
      </w:r>
      <w:hyperlink r:id="rId8" w:history="1">
        <w:r w:rsidRPr="00A7537A">
          <w:rPr>
            <w:rFonts w:ascii="Titillium Web" w:eastAsia="Times New Roman" w:hAnsi="Titillium Web" w:cs="Times New Roman"/>
            <w:b/>
            <w:bCs/>
            <w:color w:val="E00109"/>
            <w:kern w:val="0"/>
            <w:sz w:val="27"/>
            <w:szCs w:val="27"/>
            <w:u w:val="single"/>
            <w:bdr w:val="none" w:sz="0" w:space="0" w:color="auto" w:frame="1"/>
            <w:lang w:eastAsia="es-UY"/>
            <w14:ligatures w14:val="none"/>
          </w:rPr>
          <w:t>diaconado</w:t>
        </w:r>
      </w:hyperlink>
      <w:r w:rsidRPr="00A7537A">
        <w:rPr>
          <w:rFonts w:ascii="Titillium Web" w:eastAsia="Times New Roman" w:hAnsi="Titillium Web" w:cs="Times New Roman"/>
          <w:color w:val="000000"/>
          <w:kern w:val="0"/>
          <w:sz w:val="27"/>
          <w:szCs w:val="27"/>
          <w:lang w:eastAsia="es-UY"/>
          <w14:ligatures w14:val="none"/>
        </w:rPr>
        <w:t xml:space="preserve">, tema por el que Francisco ha ‘reactivado’ los trabajos de la Segunda Comisión de </w:t>
      </w:r>
      <w:r w:rsidRPr="00A7537A">
        <w:rPr>
          <w:rFonts w:ascii="Titillium Web" w:eastAsia="Times New Roman" w:hAnsi="Titillium Web" w:cs="Times New Roman"/>
          <w:color w:val="000000"/>
          <w:kern w:val="0"/>
          <w:sz w:val="27"/>
          <w:szCs w:val="27"/>
          <w:lang w:eastAsia="es-UY"/>
          <w14:ligatures w14:val="none"/>
        </w:rPr>
        <w:lastRenderedPageBreak/>
        <w:t>Estudio, el informe provisional explica que ‘se han enviado a esta Comisión todas las contribuciones surgidas en los trabajos sinodales y relativas a la cuestión en cuestión'”, reza el informe.</w:t>
      </w:r>
    </w:p>
    <w:p w14:paraId="3E08E9F1" w14:textId="77777777" w:rsidR="00A7537A" w:rsidRPr="00A7537A" w:rsidRDefault="00A7537A" w:rsidP="00A7537A">
      <w:pPr>
        <w:spacing w:after="0" w:line="240" w:lineRule="auto"/>
        <w:jc w:val="both"/>
        <w:textAlignment w:val="baseline"/>
        <w:rPr>
          <w:rFonts w:ascii="Titillium Web" w:eastAsia="Times New Roman" w:hAnsi="Titillium Web" w:cs="Times New Roman"/>
          <w:color w:val="000000"/>
          <w:kern w:val="0"/>
          <w:sz w:val="27"/>
          <w:szCs w:val="27"/>
          <w:lang w:eastAsia="es-UY"/>
          <w14:ligatures w14:val="none"/>
        </w:rPr>
      </w:pPr>
      <w:r w:rsidRPr="00A7537A">
        <w:rPr>
          <w:rFonts w:ascii="Titillium Web" w:eastAsia="Times New Roman" w:hAnsi="Titillium Web" w:cs="Times New Roman"/>
          <w:color w:val="000000"/>
          <w:kern w:val="0"/>
          <w:sz w:val="27"/>
          <w:szCs w:val="27"/>
          <w:lang w:eastAsia="es-UY"/>
          <w14:ligatures w14:val="none"/>
        </w:rPr>
        <w:t>La realidad ahora es que estos grupos de trabajo -que analizan cuestiones como el lugar de la mujer en la Iglesia, la poligamia, la elección de obispos, la formación de los seminarios, la pobreza, las relaciones entre obispos y consagrados, la relación con las Iglesias orientales, el ecumenismo, el ministerio de los nuncios, la misión digital y otras cuestiones doctrinales controvertidas- </w:t>
      </w:r>
      <w:r w:rsidRPr="00A7537A">
        <w:rPr>
          <w:rFonts w:ascii="Titillium Web" w:eastAsia="Times New Roman" w:hAnsi="Titillium Web" w:cs="Times New Roman"/>
          <w:b/>
          <w:bCs/>
          <w:color w:val="535353"/>
          <w:kern w:val="0"/>
          <w:sz w:val="24"/>
          <w:szCs w:val="24"/>
          <w:bdr w:val="none" w:sz="0" w:space="0" w:color="auto" w:frame="1"/>
          <w:lang w:eastAsia="es-UY"/>
          <w14:ligatures w14:val="none"/>
        </w:rPr>
        <w:t>tienen hasta el 31 de diciembre para presentar los documentos finales a León XIV.</w:t>
      </w:r>
    </w:p>
    <w:p w14:paraId="77038F93" w14:textId="77777777" w:rsidR="00A7537A" w:rsidRPr="00A7537A" w:rsidRDefault="00A7537A" w:rsidP="00A7537A">
      <w:pPr>
        <w:spacing w:after="0" w:line="240" w:lineRule="auto"/>
        <w:jc w:val="both"/>
        <w:textAlignment w:val="baseline"/>
        <w:rPr>
          <w:rFonts w:ascii="Titillium Web" w:eastAsia="Times New Roman" w:hAnsi="Titillium Web" w:cs="Times New Roman"/>
          <w:color w:val="000000"/>
          <w:kern w:val="0"/>
          <w:sz w:val="27"/>
          <w:szCs w:val="27"/>
          <w:lang w:eastAsia="es-UY"/>
          <w14:ligatures w14:val="none"/>
        </w:rPr>
      </w:pPr>
      <w:r w:rsidRPr="00A7537A">
        <w:rPr>
          <w:rFonts w:ascii="Titillium Web" w:eastAsia="Times New Roman" w:hAnsi="Titillium Web" w:cs="Times New Roman"/>
          <w:color w:val="000000"/>
          <w:kern w:val="0"/>
          <w:sz w:val="27"/>
          <w:szCs w:val="27"/>
          <w:lang w:eastAsia="es-UY"/>
          <w14:ligatures w14:val="none"/>
        </w:rPr>
        <w:t>En principio, la fecha tope era el 30 de junio, pero tras el fallecimiento del Papa argentino, </w:t>
      </w:r>
      <w:r w:rsidRPr="00A7537A">
        <w:rPr>
          <w:rFonts w:ascii="Titillium Web" w:eastAsia="Times New Roman" w:hAnsi="Titillium Web" w:cs="Times New Roman"/>
          <w:b/>
          <w:bCs/>
          <w:color w:val="535353"/>
          <w:kern w:val="0"/>
          <w:sz w:val="24"/>
          <w:szCs w:val="24"/>
          <w:bdr w:val="none" w:sz="0" w:space="0" w:color="auto" w:frame="1"/>
          <w:lang w:eastAsia="es-UY"/>
          <w14:ligatures w14:val="none"/>
        </w:rPr>
        <w:t>Robert Francis Prevost dio una prórroga de seis meses.</w:t>
      </w:r>
    </w:p>
    <w:p w14:paraId="5EA7F01D" w14:textId="77777777" w:rsidR="00A7537A" w:rsidRPr="00A7537A" w:rsidRDefault="00A7537A" w:rsidP="00A7537A">
      <w:pPr>
        <w:spacing w:before="300" w:after="75" w:line="240" w:lineRule="auto"/>
        <w:jc w:val="both"/>
        <w:textAlignment w:val="baseline"/>
        <w:outlineLvl w:val="2"/>
        <w:rPr>
          <w:rFonts w:ascii="Titillium Web" w:eastAsia="Times New Roman" w:hAnsi="Titillium Web" w:cs="Times New Roman"/>
          <w:color w:val="E00109"/>
          <w:kern w:val="0"/>
          <w:sz w:val="36"/>
          <w:szCs w:val="36"/>
          <w:lang w:eastAsia="es-UY"/>
          <w14:ligatures w14:val="none"/>
        </w:rPr>
      </w:pPr>
      <w:r w:rsidRPr="00A7537A">
        <w:rPr>
          <w:rFonts w:ascii="Titillium Web" w:eastAsia="Times New Roman" w:hAnsi="Titillium Web" w:cs="Times New Roman"/>
          <w:color w:val="E00109"/>
          <w:kern w:val="0"/>
          <w:sz w:val="36"/>
          <w:szCs w:val="36"/>
          <w:lang w:eastAsia="es-UY"/>
          <w14:ligatures w14:val="none"/>
        </w:rPr>
        <w:t>Dos nuevos grupos</w:t>
      </w:r>
    </w:p>
    <w:p w14:paraId="6BB37029" w14:textId="77777777" w:rsidR="00A7537A" w:rsidRPr="00A7537A" w:rsidRDefault="00A7537A" w:rsidP="00A7537A">
      <w:pPr>
        <w:spacing w:after="0" w:line="240" w:lineRule="auto"/>
        <w:jc w:val="both"/>
        <w:textAlignment w:val="baseline"/>
        <w:rPr>
          <w:rFonts w:ascii="Titillium Web" w:eastAsia="Times New Roman" w:hAnsi="Titillium Web" w:cs="Times New Roman"/>
          <w:color w:val="000000"/>
          <w:kern w:val="0"/>
          <w:sz w:val="27"/>
          <w:szCs w:val="27"/>
          <w:lang w:eastAsia="es-UY"/>
          <w14:ligatures w14:val="none"/>
        </w:rPr>
      </w:pPr>
      <w:r w:rsidRPr="00A7537A">
        <w:rPr>
          <w:rFonts w:ascii="Titillium Web" w:eastAsia="Times New Roman" w:hAnsi="Titillium Web" w:cs="Times New Roman"/>
          <w:color w:val="000000"/>
          <w:kern w:val="0"/>
          <w:sz w:val="27"/>
          <w:szCs w:val="27"/>
          <w:lang w:eastAsia="es-UY"/>
          <w14:ligatures w14:val="none"/>
        </w:rPr>
        <w:t>Asimismo, creó dos nuevos grupos de estudio: el de </w:t>
      </w:r>
      <w:r w:rsidRPr="00A7537A">
        <w:rPr>
          <w:rFonts w:ascii="Titillium Web" w:eastAsia="Times New Roman" w:hAnsi="Titillium Web" w:cs="Times New Roman"/>
          <w:b/>
          <w:bCs/>
          <w:color w:val="535353"/>
          <w:kern w:val="0"/>
          <w:sz w:val="24"/>
          <w:szCs w:val="24"/>
          <w:bdr w:val="none" w:sz="0" w:space="0" w:color="auto" w:frame="1"/>
          <w:lang w:eastAsia="es-UY"/>
          <w14:ligatures w14:val="none"/>
        </w:rPr>
        <w:t>‘La liturgia en perspectiva sinodal’</w:t>
      </w:r>
      <w:r w:rsidRPr="00A7537A">
        <w:rPr>
          <w:rFonts w:ascii="Titillium Web" w:eastAsia="Times New Roman" w:hAnsi="Titillium Web" w:cs="Times New Roman"/>
          <w:color w:val="000000"/>
          <w:kern w:val="0"/>
          <w:sz w:val="27"/>
          <w:szCs w:val="27"/>
          <w:lang w:eastAsia="es-UY"/>
          <w14:ligatures w14:val="none"/>
        </w:rPr>
        <w:t> -que comenzó a trabajar en julio- y el de </w:t>
      </w:r>
      <w:r w:rsidRPr="00A7537A">
        <w:rPr>
          <w:rFonts w:ascii="Titillium Web" w:eastAsia="Times New Roman" w:hAnsi="Titillium Web" w:cs="Times New Roman"/>
          <w:b/>
          <w:bCs/>
          <w:color w:val="535353"/>
          <w:kern w:val="0"/>
          <w:sz w:val="24"/>
          <w:szCs w:val="24"/>
          <w:bdr w:val="none" w:sz="0" w:space="0" w:color="auto" w:frame="1"/>
          <w:lang w:eastAsia="es-UY"/>
          <w14:ligatures w14:val="none"/>
        </w:rPr>
        <w:t>‘El estatuto de las Conferencias episcopales, las Asambleas eclesiales y los Consejos particulares’</w:t>
      </w:r>
      <w:r w:rsidRPr="00A7537A">
        <w:rPr>
          <w:rFonts w:ascii="Titillium Web" w:eastAsia="Times New Roman" w:hAnsi="Titillium Web" w:cs="Times New Roman"/>
          <w:color w:val="000000"/>
          <w:kern w:val="0"/>
          <w:sz w:val="27"/>
          <w:szCs w:val="27"/>
          <w:lang w:eastAsia="es-UY"/>
          <w14:ligatures w14:val="none"/>
        </w:rPr>
        <w:t> -cuya formación se encuentra aún en fase inicial-.</w:t>
      </w:r>
    </w:p>
    <w:p w14:paraId="5DE2B6C0" w14:textId="77777777" w:rsidR="00A7537A" w:rsidRPr="00A7537A" w:rsidRDefault="00A7537A" w:rsidP="00A7537A">
      <w:pPr>
        <w:spacing w:after="0" w:line="240" w:lineRule="auto"/>
        <w:jc w:val="both"/>
        <w:textAlignment w:val="baseline"/>
        <w:rPr>
          <w:rFonts w:ascii="Titillium Web" w:eastAsia="Times New Roman" w:hAnsi="Titillium Web" w:cs="Times New Roman"/>
          <w:color w:val="000000"/>
          <w:kern w:val="0"/>
          <w:sz w:val="27"/>
          <w:szCs w:val="27"/>
          <w:lang w:eastAsia="es-UY"/>
          <w14:ligatures w14:val="none"/>
        </w:rPr>
      </w:pPr>
      <w:r w:rsidRPr="00A7537A">
        <w:rPr>
          <w:rFonts w:ascii="Titillium Web" w:eastAsia="Times New Roman" w:hAnsi="Titillium Web" w:cs="Times New Roman"/>
          <w:color w:val="000000"/>
          <w:kern w:val="0"/>
          <w:sz w:val="27"/>
          <w:szCs w:val="27"/>
          <w:lang w:eastAsia="es-UY"/>
          <w14:ligatures w14:val="none"/>
        </w:rPr>
        <w:t>Además de estos dos nuevos grupos, también han publicado sus primeras conclusiones, tras 20 meses de trabajo, la </w:t>
      </w:r>
      <w:r w:rsidRPr="00A7537A">
        <w:rPr>
          <w:rFonts w:ascii="Titillium Web" w:eastAsia="Times New Roman" w:hAnsi="Titillium Web" w:cs="Times New Roman"/>
          <w:b/>
          <w:bCs/>
          <w:color w:val="535353"/>
          <w:kern w:val="0"/>
          <w:sz w:val="24"/>
          <w:szCs w:val="24"/>
          <w:bdr w:val="none" w:sz="0" w:space="0" w:color="auto" w:frame="1"/>
          <w:lang w:eastAsia="es-UY"/>
          <w14:ligatures w14:val="none"/>
        </w:rPr>
        <w:t>comisión canónica</w:t>
      </w:r>
      <w:r w:rsidRPr="00A7537A">
        <w:rPr>
          <w:rFonts w:ascii="Titillium Web" w:eastAsia="Times New Roman" w:hAnsi="Titillium Web" w:cs="Times New Roman"/>
          <w:color w:val="000000"/>
          <w:kern w:val="0"/>
          <w:sz w:val="27"/>
          <w:szCs w:val="27"/>
          <w:lang w:eastAsia="es-UY"/>
          <w14:ligatures w14:val="none"/>
        </w:rPr>
        <w:t> y la </w:t>
      </w:r>
      <w:r w:rsidRPr="00A7537A">
        <w:rPr>
          <w:rFonts w:ascii="Titillium Web" w:eastAsia="Times New Roman" w:hAnsi="Titillium Web" w:cs="Times New Roman"/>
          <w:b/>
          <w:bCs/>
          <w:color w:val="535353"/>
          <w:kern w:val="0"/>
          <w:sz w:val="24"/>
          <w:szCs w:val="24"/>
          <w:bdr w:val="none" w:sz="0" w:space="0" w:color="auto" w:frame="1"/>
          <w:lang w:eastAsia="es-UY"/>
          <w14:ligatures w14:val="none"/>
        </w:rPr>
        <w:t>comisión sobre la poligamia</w:t>
      </w:r>
      <w:r w:rsidRPr="00A7537A">
        <w:rPr>
          <w:rFonts w:ascii="Titillium Web" w:eastAsia="Times New Roman" w:hAnsi="Titillium Web" w:cs="Times New Roman"/>
          <w:color w:val="000000"/>
          <w:kern w:val="0"/>
          <w:sz w:val="27"/>
          <w:szCs w:val="27"/>
          <w:lang w:eastAsia="es-UY"/>
          <w14:ligatures w14:val="none"/>
        </w:rPr>
        <w:t xml:space="preserve"> del Simposio de Conferencias </w:t>
      </w:r>
      <w:proofErr w:type="spellStart"/>
      <w:r w:rsidRPr="00A7537A">
        <w:rPr>
          <w:rFonts w:ascii="Titillium Web" w:eastAsia="Times New Roman" w:hAnsi="Titillium Web" w:cs="Times New Roman"/>
          <w:color w:val="000000"/>
          <w:kern w:val="0"/>
          <w:sz w:val="27"/>
          <w:szCs w:val="27"/>
          <w:lang w:eastAsia="es-UY"/>
          <w14:ligatures w14:val="none"/>
        </w:rPr>
        <w:t>Episcipales</w:t>
      </w:r>
      <w:proofErr w:type="spellEnd"/>
      <w:r w:rsidRPr="00A7537A">
        <w:rPr>
          <w:rFonts w:ascii="Titillium Web" w:eastAsia="Times New Roman" w:hAnsi="Titillium Web" w:cs="Times New Roman"/>
          <w:color w:val="000000"/>
          <w:kern w:val="0"/>
          <w:sz w:val="27"/>
          <w:szCs w:val="27"/>
          <w:lang w:eastAsia="es-UY"/>
          <w14:ligatures w14:val="none"/>
        </w:rPr>
        <w:t xml:space="preserve"> de África y Madagascar (SECAM).</w:t>
      </w:r>
    </w:p>
    <w:p w14:paraId="5D89C647" w14:textId="77777777" w:rsidR="00A7537A" w:rsidRPr="00A7537A" w:rsidRDefault="00A7537A" w:rsidP="00A7537A">
      <w:pPr>
        <w:spacing w:before="300" w:after="75" w:line="240" w:lineRule="auto"/>
        <w:jc w:val="both"/>
        <w:textAlignment w:val="baseline"/>
        <w:outlineLvl w:val="2"/>
        <w:rPr>
          <w:rFonts w:ascii="Titillium Web" w:eastAsia="Times New Roman" w:hAnsi="Titillium Web" w:cs="Times New Roman"/>
          <w:color w:val="E00109"/>
          <w:kern w:val="0"/>
          <w:sz w:val="36"/>
          <w:szCs w:val="36"/>
          <w:lang w:eastAsia="es-UY"/>
          <w14:ligatures w14:val="none"/>
        </w:rPr>
      </w:pPr>
      <w:r w:rsidRPr="00A7537A">
        <w:rPr>
          <w:rFonts w:ascii="Titillium Web" w:eastAsia="Times New Roman" w:hAnsi="Titillium Web" w:cs="Times New Roman"/>
          <w:color w:val="E00109"/>
          <w:kern w:val="0"/>
          <w:sz w:val="36"/>
          <w:szCs w:val="36"/>
          <w:lang w:eastAsia="es-UY"/>
          <w14:ligatures w14:val="none"/>
        </w:rPr>
        <w:t>De los seminarios a la poligamia</w:t>
      </w:r>
    </w:p>
    <w:p w14:paraId="09888C87" w14:textId="77777777" w:rsidR="00A7537A" w:rsidRPr="00A7537A" w:rsidRDefault="00A7537A" w:rsidP="00A7537A">
      <w:pPr>
        <w:spacing w:after="0" w:line="240" w:lineRule="auto"/>
        <w:jc w:val="both"/>
        <w:textAlignment w:val="baseline"/>
        <w:rPr>
          <w:rFonts w:ascii="Titillium Web" w:eastAsia="Times New Roman" w:hAnsi="Titillium Web" w:cs="Times New Roman"/>
          <w:color w:val="000000"/>
          <w:kern w:val="0"/>
          <w:sz w:val="27"/>
          <w:szCs w:val="27"/>
          <w:lang w:eastAsia="es-UY"/>
          <w14:ligatures w14:val="none"/>
        </w:rPr>
      </w:pPr>
      <w:r w:rsidRPr="00A7537A">
        <w:rPr>
          <w:rFonts w:ascii="Titillium Web" w:eastAsia="Times New Roman" w:hAnsi="Titillium Web" w:cs="Times New Roman"/>
          <w:color w:val="000000"/>
          <w:kern w:val="0"/>
          <w:sz w:val="27"/>
          <w:szCs w:val="27"/>
          <w:lang w:eastAsia="es-UY"/>
          <w14:ligatures w14:val="none"/>
        </w:rPr>
        <w:t xml:space="preserve">En concreto, </w:t>
      </w:r>
      <w:proofErr w:type="gramStart"/>
      <w:r w:rsidRPr="00A7537A">
        <w:rPr>
          <w:rFonts w:ascii="Titillium Web" w:eastAsia="Times New Roman" w:hAnsi="Titillium Web" w:cs="Times New Roman"/>
          <w:color w:val="000000"/>
          <w:kern w:val="0"/>
          <w:sz w:val="27"/>
          <w:szCs w:val="27"/>
          <w:lang w:eastAsia="es-UY"/>
          <w14:ligatures w14:val="none"/>
        </w:rPr>
        <w:t>en relación al</w:t>
      </w:r>
      <w:proofErr w:type="gramEnd"/>
      <w:r w:rsidRPr="00A7537A">
        <w:rPr>
          <w:rFonts w:ascii="Titillium Web" w:eastAsia="Times New Roman" w:hAnsi="Titillium Web" w:cs="Times New Roman"/>
          <w:color w:val="000000"/>
          <w:kern w:val="0"/>
          <w:sz w:val="27"/>
          <w:szCs w:val="27"/>
          <w:lang w:eastAsia="es-UY"/>
          <w14:ligatures w14:val="none"/>
        </w:rPr>
        <w:t xml:space="preserve"> informe del grupo que estudia la formación sacerdotal -capitaneado por el cardenal arzobispo de Madrid y vicepresidente de la Conferencia Episcopal Española, </w:t>
      </w:r>
      <w:r w:rsidRPr="00A7537A">
        <w:rPr>
          <w:rFonts w:ascii="Titillium Web" w:eastAsia="Times New Roman" w:hAnsi="Titillium Web" w:cs="Times New Roman"/>
          <w:b/>
          <w:bCs/>
          <w:color w:val="535353"/>
          <w:kern w:val="0"/>
          <w:sz w:val="24"/>
          <w:szCs w:val="24"/>
          <w:bdr w:val="none" w:sz="0" w:space="0" w:color="auto" w:frame="1"/>
          <w:lang w:eastAsia="es-UY"/>
          <w14:ligatures w14:val="none"/>
        </w:rPr>
        <w:t>José Cobo</w:t>
      </w:r>
      <w:r w:rsidRPr="00A7537A">
        <w:rPr>
          <w:rFonts w:ascii="Titillium Web" w:eastAsia="Times New Roman" w:hAnsi="Titillium Web" w:cs="Times New Roman"/>
          <w:color w:val="000000"/>
          <w:kern w:val="0"/>
          <w:sz w:val="27"/>
          <w:szCs w:val="27"/>
          <w:lang w:eastAsia="es-UY"/>
          <w14:ligatures w14:val="none"/>
        </w:rPr>
        <w:t xml:space="preserve">-, se </w:t>
      </w:r>
      <w:proofErr w:type="spellStart"/>
      <w:r w:rsidRPr="00A7537A">
        <w:rPr>
          <w:rFonts w:ascii="Titillium Web" w:eastAsia="Times New Roman" w:hAnsi="Titillium Web" w:cs="Times New Roman"/>
          <w:color w:val="000000"/>
          <w:kern w:val="0"/>
          <w:sz w:val="27"/>
          <w:szCs w:val="27"/>
          <w:lang w:eastAsia="es-UY"/>
          <w14:ligatures w14:val="none"/>
        </w:rPr>
        <w:t>especifícica</w:t>
      </w:r>
      <w:proofErr w:type="spellEnd"/>
      <w:r w:rsidRPr="00A7537A">
        <w:rPr>
          <w:rFonts w:ascii="Titillium Web" w:eastAsia="Times New Roman" w:hAnsi="Titillium Web" w:cs="Times New Roman"/>
          <w:color w:val="000000"/>
          <w:kern w:val="0"/>
          <w:sz w:val="27"/>
          <w:szCs w:val="27"/>
          <w:lang w:eastAsia="es-UY"/>
          <w14:ligatures w14:val="none"/>
        </w:rPr>
        <w:t xml:space="preserve"> que hay “una serie de cuestiones” en el actual cambio de época “que no se pueden ignorar”.</w:t>
      </w:r>
    </w:p>
    <w:p w14:paraId="5683DEC0" w14:textId="77777777" w:rsidR="00A7537A" w:rsidRPr="00A7537A" w:rsidRDefault="00A7537A" w:rsidP="00A7537A">
      <w:pPr>
        <w:spacing w:after="0" w:line="240" w:lineRule="auto"/>
        <w:jc w:val="both"/>
        <w:textAlignment w:val="baseline"/>
        <w:rPr>
          <w:rFonts w:ascii="Titillium Web" w:eastAsia="Times New Roman" w:hAnsi="Titillium Web" w:cs="Times New Roman"/>
          <w:color w:val="000000"/>
          <w:kern w:val="0"/>
          <w:sz w:val="27"/>
          <w:szCs w:val="27"/>
          <w:lang w:eastAsia="es-UY"/>
          <w14:ligatures w14:val="none"/>
        </w:rPr>
      </w:pPr>
      <w:r w:rsidRPr="00A7537A">
        <w:rPr>
          <w:rFonts w:ascii="Titillium Web" w:eastAsia="Times New Roman" w:hAnsi="Titillium Web" w:cs="Times New Roman"/>
          <w:color w:val="000000"/>
          <w:kern w:val="0"/>
          <w:sz w:val="27"/>
          <w:szCs w:val="27"/>
          <w:lang w:eastAsia="es-UY"/>
          <w14:ligatures w14:val="none"/>
        </w:rPr>
        <w:t>Entre ellas, la necesidad de</w:t>
      </w:r>
      <w:r w:rsidRPr="00A7537A">
        <w:rPr>
          <w:rFonts w:ascii="Titillium Web" w:eastAsia="Times New Roman" w:hAnsi="Titillium Web" w:cs="Times New Roman"/>
          <w:b/>
          <w:bCs/>
          <w:color w:val="535353"/>
          <w:kern w:val="0"/>
          <w:sz w:val="24"/>
          <w:szCs w:val="24"/>
          <w:bdr w:val="none" w:sz="0" w:space="0" w:color="auto" w:frame="1"/>
          <w:lang w:eastAsia="es-UY"/>
          <w14:ligatures w14:val="none"/>
        </w:rPr>
        <w:t> “una formación más arraigada en la experiencia del Pueblo de Dios”,</w:t>
      </w:r>
      <w:r w:rsidRPr="00A7537A">
        <w:rPr>
          <w:rFonts w:ascii="Titillium Web" w:eastAsia="Times New Roman" w:hAnsi="Titillium Web" w:cs="Times New Roman"/>
          <w:color w:val="000000"/>
          <w:kern w:val="0"/>
          <w:sz w:val="27"/>
          <w:szCs w:val="27"/>
          <w:lang w:eastAsia="es-UY"/>
          <w14:ligatures w14:val="none"/>
        </w:rPr>
        <w:t> dar prioridad a los momentos compartidos entre laicos, consagrados y seminaristas, o una mayor participación de las mujeres y las familias en los centros de formación.</w:t>
      </w:r>
    </w:p>
    <w:p w14:paraId="1C053F13" w14:textId="77777777" w:rsidR="00A7537A" w:rsidRPr="00A7537A" w:rsidRDefault="00A7537A" w:rsidP="00A7537A">
      <w:pPr>
        <w:spacing w:after="0" w:line="240" w:lineRule="auto"/>
        <w:jc w:val="both"/>
        <w:textAlignment w:val="baseline"/>
        <w:rPr>
          <w:rFonts w:ascii="Titillium Web" w:eastAsia="Times New Roman" w:hAnsi="Titillium Web" w:cs="Times New Roman"/>
          <w:color w:val="000000"/>
          <w:kern w:val="0"/>
          <w:sz w:val="27"/>
          <w:szCs w:val="27"/>
          <w:lang w:eastAsia="es-UY"/>
          <w14:ligatures w14:val="none"/>
        </w:rPr>
      </w:pPr>
      <w:r w:rsidRPr="00A7537A">
        <w:rPr>
          <w:rFonts w:ascii="Titillium Web" w:eastAsia="Times New Roman" w:hAnsi="Titillium Web" w:cs="Times New Roman"/>
          <w:color w:val="000000"/>
          <w:kern w:val="0"/>
          <w:sz w:val="27"/>
          <w:szCs w:val="27"/>
          <w:lang w:eastAsia="es-UY"/>
          <w14:ligatures w14:val="none"/>
        </w:rPr>
        <w:lastRenderedPageBreak/>
        <w:t>Por su parte, el grupo que estudia la participación de la mujer en la Iglesia señala en su informe intermedio las </w:t>
      </w:r>
      <w:r w:rsidRPr="00A7537A">
        <w:rPr>
          <w:rFonts w:ascii="Titillium Web" w:eastAsia="Times New Roman" w:hAnsi="Titillium Web" w:cs="Times New Roman"/>
          <w:b/>
          <w:bCs/>
          <w:color w:val="535353"/>
          <w:kern w:val="0"/>
          <w:sz w:val="24"/>
          <w:szCs w:val="24"/>
          <w:bdr w:val="none" w:sz="0" w:space="0" w:color="auto" w:frame="1"/>
          <w:lang w:eastAsia="es-UY"/>
          <w14:ligatures w14:val="none"/>
        </w:rPr>
        <w:t>“tensiones críticas hacia el clericalismo y el machismo,</w:t>
      </w:r>
      <w:r w:rsidRPr="00A7537A">
        <w:rPr>
          <w:rFonts w:ascii="Titillium Web" w:eastAsia="Times New Roman" w:hAnsi="Titillium Web" w:cs="Times New Roman"/>
          <w:color w:val="000000"/>
          <w:kern w:val="0"/>
          <w:sz w:val="27"/>
          <w:szCs w:val="27"/>
          <w:lang w:eastAsia="es-UY"/>
          <w14:ligatures w14:val="none"/>
        </w:rPr>
        <w:t> y la contribución de Francisco y León XIV a esta cuestión”.</w:t>
      </w:r>
    </w:p>
    <w:p w14:paraId="10516EC8" w14:textId="77777777" w:rsidR="00A7537A" w:rsidRPr="00A7537A" w:rsidRDefault="00A7537A" w:rsidP="00A7537A">
      <w:pPr>
        <w:spacing w:after="0" w:line="240" w:lineRule="auto"/>
        <w:jc w:val="both"/>
        <w:textAlignment w:val="baseline"/>
        <w:rPr>
          <w:rFonts w:ascii="Titillium Web" w:eastAsia="Times New Roman" w:hAnsi="Titillium Web" w:cs="Times New Roman"/>
          <w:color w:val="000000"/>
          <w:kern w:val="0"/>
          <w:sz w:val="27"/>
          <w:szCs w:val="27"/>
          <w:lang w:eastAsia="es-UY"/>
          <w14:ligatures w14:val="none"/>
        </w:rPr>
      </w:pPr>
      <w:r w:rsidRPr="00A7537A">
        <w:rPr>
          <w:rFonts w:ascii="Titillium Web" w:eastAsia="Times New Roman" w:hAnsi="Titillium Web" w:cs="Times New Roman"/>
          <w:noProof/>
          <w:color w:val="000000"/>
          <w:kern w:val="0"/>
          <w:sz w:val="27"/>
          <w:szCs w:val="27"/>
          <w:lang w:eastAsia="es-UY"/>
          <w14:ligatures w14:val="none"/>
        </w:rPr>
        <mc:AlternateContent>
          <mc:Choice Requires="wps">
            <w:drawing>
              <wp:inline distT="0" distB="0" distL="0" distR="0" wp14:anchorId="001384D6" wp14:editId="07DBB985">
                <wp:extent cx="304800" cy="304800"/>
                <wp:effectExtent l="0" t="0" r="0" b="0"/>
                <wp:docPr id="616162621" name="AutoShape 9"/>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6034748" id="AutoShape 9"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r w:rsidRPr="00A7537A">
        <w:rPr>
          <w:rFonts w:ascii="Titillium Web" w:eastAsia="Times New Roman" w:hAnsi="Titillium Web" w:cs="Times New Roman"/>
          <w:noProof/>
          <w:color w:val="000000"/>
          <w:kern w:val="0"/>
          <w:sz w:val="27"/>
          <w:szCs w:val="27"/>
          <w:lang w:eastAsia="es-UY"/>
          <w14:ligatures w14:val="none"/>
        </w:rPr>
        <w:drawing>
          <wp:inline distT="0" distB="0" distL="0" distR="0" wp14:anchorId="1368EA81" wp14:editId="5280BC77">
            <wp:extent cx="5276850" cy="2742158"/>
            <wp:effectExtent l="0" t="0" r="0" b="1270"/>
            <wp:docPr id="10" name="Imagen 3" descr="Sínodo de la Sinodalidad 2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Sínodo de la Sinodalidad 202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289863" cy="2748921"/>
                    </a:xfrm>
                    <a:prstGeom prst="rect">
                      <a:avLst/>
                    </a:prstGeom>
                    <a:noFill/>
                    <a:ln>
                      <a:noFill/>
                    </a:ln>
                  </pic:spPr>
                </pic:pic>
              </a:graphicData>
            </a:graphic>
          </wp:inline>
        </w:drawing>
      </w:r>
    </w:p>
    <w:p w14:paraId="1F13AEF2" w14:textId="77777777" w:rsidR="00A7537A" w:rsidRPr="00A7537A" w:rsidRDefault="00A7537A" w:rsidP="00A7537A">
      <w:pPr>
        <w:spacing w:after="0" w:line="240" w:lineRule="auto"/>
        <w:jc w:val="both"/>
        <w:textAlignment w:val="baseline"/>
        <w:rPr>
          <w:rFonts w:ascii="Titillium Web" w:eastAsia="Times New Roman" w:hAnsi="Titillium Web" w:cs="Times New Roman"/>
          <w:color w:val="FFFFFF"/>
          <w:kern w:val="0"/>
          <w:lang w:eastAsia="es-UY"/>
          <w14:ligatures w14:val="none"/>
        </w:rPr>
      </w:pPr>
      <w:r w:rsidRPr="00A7537A">
        <w:rPr>
          <w:rFonts w:ascii="Titillium Web" w:eastAsia="Times New Roman" w:hAnsi="Titillium Web" w:cs="Times New Roman"/>
          <w:color w:val="FFFFFF"/>
          <w:kern w:val="0"/>
          <w:lang w:eastAsia="es-UY"/>
          <w14:ligatures w14:val="none"/>
        </w:rPr>
        <w:t>Sínodo de la Sinodalidad 2024</w:t>
      </w:r>
    </w:p>
    <w:p w14:paraId="512B4DE8" w14:textId="77777777" w:rsidR="00A7537A" w:rsidRPr="00A7537A" w:rsidRDefault="00A7537A" w:rsidP="00A7537A">
      <w:pPr>
        <w:spacing w:after="0" w:line="240" w:lineRule="auto"/>
        <w:jc w:val="both"/>
        <w:textAlignment w:val="baseline"/>
        <w:rPr>
          <w:rFonts w:ascii="Titillium Web" w:eastAsia="Times New Roman" w:hAnsi="Titillium Web" w:cs="Times New Roman"/>
          <w:color w:val="000000"/>
          <w:kern w:val="0"/>
          <w:sz w:val="27"/>
          <w:szCs w:val="27"/>
          <w:lang w:eastAsia="es-UY"/>
          <w14:ligatures w14:val="none"/>
        </w:rPr>
      </w:pPr>
      <w:r w:rsidRPr="00A7537A">
        <w:rPr>
          <w:rFonts w:ascii="Titillium Web" w:eastAsia="Times New Roman" w:hAnsi="Titillium Web" w:cs="Times New Roman"/>
          <w:color w:val="000000"/>
          <w:kern w:val="0"/>
          <w:sz w:val="27"/>
          <w:szCs w:val="27"/>
          <w:lang w:eastAsia="es-UY"/>
          <w14:ligatures w14:val="none"/>
        </w:rPr>
        <w:t>Mientras, el grupo que reflexiona sobre la elección de obispos ha llegado incluso a contar con la participación de “una</w:t>
      </w:r>
      <w:r w:rsidRPr="00A7537A">
        <w:rPr>
          <w:rFonts w:ascii="Titillium Web" w:eastAsia="Times New Roman" w:hAnsi="Titillium Web" w:cs="Times New Roman"/>
          <w:b/>
          <w:bCs/>
          <w:color w:val="535353"/>
          <w:kern w:val="0"/>
          <w:sz w:val="24"/>
          <w:szCs w:val="24"/>
          <w:bdr w:val="none" w:sz="0" w:space="0" w:color="auto" w:frame="1"/>
          <w:lang w:eastAsia="es-UY"/>
          <w14:ligatures w14:val="none"/>
        </w:rPr>
        <w:t> experta en la selección de personal directivo</w:t>
      </w:r>
      <w:r w:rsidRPr="00A7537A">
        <w:rPr>
          <w:rFonts w:ascii="Titillium Web" w:eastAsia="Times New Roman" w:hAnsi="Titillium Web" w:cs="Times New Roman"/>
          <w:color w:val="000000"/>
          <w:kern w:val="0"/>
          <w:sz w:val="27"/>
          <w:szCs w:val="27"/>
          <w:lang w:eastAsia="es-UY"/>
          <w14:ligatures w14:val="none"/>
        </w:rPr>
        <w:t> de empresas internacionales” para obtener “información útil sobre los procedimientos utilizados en la sociedad civil”.</w:t>
      </w:r>
    </w:p>
    <w:p w14:paraId="0558AEE0" w14:textId="77777777" w:rsidR="00A7537A" w:rsidRPr="00A7537A" w:rsidRDefault="00A7537A" w:rsidP="00A7537A">
      <w:pPr>
        <w:spacing w:after="0" w:line="240" w:lineRule="auto"/>
        <w:jc w:val="both"/>
        <w:textAlignment w:val="baseline"/>
        <w:rPr>
          <w:rFonts w:ascii="Titillium Web" w:eastAsia="Times New Roman" w:hAnsi="Titillium Web" w:cs="Times New Roman"/>
          <w:color w:val="000000"/>
          <w:kern w:val="0"/>
          <w:sz w:val="27"/>
          <w:szCs w:val="27"/>
          <w:lang w:eastAsia="es-UY"/>
          <w14:ligatures w14:val="none"/>
        </w:rPr>
      </w:pPr>
      <w:r w:rsidRPr="00A7537A">
        <w:rPr>
          <w:rFonts w:ascii="Titillium Web" w:eastAsia="Times New Roman" w:hAnsi="Titillium Web" w:cs="Times New Roman"/>
          <w:color w:val="000000"/>
          <w:kern w:val="0"/>
          <w:sz w:val="27"/>
          <w:szCs w:val="27"/>
          <w:lang w:eastAsia="es-UY"/>
          <w14:ligatures w14:val="none"/>
        </w:rPr>
        <w:t>El grupo que analiza cuestiones doctrinales controvertidas, como la homosexualidad, aclara en su informe que</w:t>
      </w:r>
      <w:r w:rsidRPr="00A7537A">
        <w:rPr>
          <w:rFonts w:ascii="Titillium Web" w:eastAsia="Times New Roman" w:hAnsi="Titillium Web" w:cs="Times New Roman"/>
          <w:b/>
          <w:bCs/>
          <w:color w:val="535353"/>
          <w:kern w:val="0"/>
          <w:sz w:val="24"/>
          <w:szCs w:val="24"/>
          <w:bdr w:val="none" w:sz="0" w:space="0" w:color="auto" w:frame="1"/>
          <w:lang w:eastAsia="es-UY"/>
          <w14:ligatures w14:val="none"/>
        </w:rPr>
        <w:t> “no hay anuncio del Evangelio de Dios sin reconocimiento y promoción de la subjetividad del otro,</w:t>
      </w:r>
      <w:r w:rsidRPr="00A7537A">
        <w:rPr>
          <w:rFonts w:ascii="Titillium Web" w:eastAsia="Times New Roman" w:hAnsi="Titillium Web" w:cs="Times New Roman"/>
          <w:color w:val="000000"/>
          <w:kern w:val="0"/>
          <w:sz w:val="27"/>
          <w:szCs w:val="27"/>
          <w:lang w:eastAsia="es-UY"/>
          <w14:ligatures w14:val="none"/>
        </w:rPr>
        <w:t> y sin hospitalidad y responsabilidad hacia el interlocutor al que nos dirigimos”.</w:t>
      </w:r>
    </w:p>
    <w:p w14:paraId="363988F0" w14:textId="77777777" w:rsidR="00A7537A" w:rsidRPr="00A7537A" w:rsidRDefault="00A7537A" w:rsidP="00A7537A">
      <w:pPr>
        <w:spacing w:after="0" w:line="240" w:lineRule="auto"/>
        <w:jc w:val="both"/>
        <w:textAlignment w:val="baseline"/>
        <w:rPr>
          <w:rFonts w:ascii="Titillium Web" w:eastAsia="Times New Roman" w:hAnsi="Titillium Web" w:cs="Times New Roman"/>
          <w:color w:val="000000"/>
          <w:kern w:val="0"/>
          <w:sz w:val="27"/>
          <w:szCs w:val="27"/>
          <w:lang w:eastAsia="es-UY"/>
          <w14:ligatures w14:val="none"/>
        </w:rPr>
      </w:pPr>
      <w:r w:rsidRPr="00A7537A">
        <w:rPr>
          <w:rFonts w:ascii="Titillium Web" w:eastAsia="Times New Roman" w:hAnsi="Titillium Web" w:cs="Times New Roman"/>
          <w:color w:val="000000"/>
          <w:kern w:val="0"/>
          <w:sz w:val="27"/>
          <w:szCs w:val="27"/>
          <w:lang w:eastAsia="es-UY"/>
          <w14:ligatures w14:val="none"/>
        </w:rPr>
        <w:t>Por otro lado, el grupo sobre la poligamia cuenta con doce especialistas, entre expertos en derecho canónico, antropología, estudios bíblicos y pastoral, que reflexionan sobre cómo “promover un discernimiento teológico y pastoral sobre la poligamia” y</w:t>
      </w:r>
      <w:r w:rsidRPr="00A7537A">
        <w:rPr>
          <w:rFonts w:ascii="Titillium Web" w:eastAsia="Times New Roman" w:hAnsi="Titillium Web" w:cs="Times New Roman"/>
          <w:b/>
          <w:bCs/>
          <w:color w:val="535353"/>
          <w:kern w:val="0"/>
          <w:sz w:val="24"/>
          <w:szCs w:val="24"/>
          <w:bdr w:val="none" w:sz="0" w:space="0" w:color="auto" w:frame="1"/>
          <w:lang w:eastAsia="es-UY"/>
          <w14:ligatures w14:val="none"/>
        </w:rPr>
        <w:t> cómo acompañar a las “personas en uniones polígamas que se acercan a la fe”.</w:t>
      </w:r>
    </w:p>
    <w:p w14:paraId="5847368D" w14:textId="77777777" w:rsidR="00A7537A" w:rsidRPr="00A7537A" w:rsidRDefault="00A7537A" w:rsidP="00A7537A">
      <w:pPr>
        <w:spacing w:before="300" w:after="75" w:line="240" w:lineRule="auto"/>
        <w:textAlignment w:val="baseline"/>
        <w:outlineLvl w:val="2"/>
        <w:rPr>
          <w:rFonts w:ascii="Titillium Web" w:eastAsia="Times New Roman" w:hAnsi="Titillium Web" w:cs="Times New Roman"/>
          <w:color w:val="E00109"/>
          <w:kern w:val="0"/>
          <w:sz w:val="36"/>
          <w:szCs w:val="36"/>
          <w:lang w:eastAsia="es-UY"/>
          <w14:ligatures w14:val="none"/>
        </w:rPr>
      </w:pPr>
      <w:r w:rsidRPr="00A7537A">
        <w:rPr>
          <w:rFonts w:ascii="Titillium Web" w:eastAsia="Times New Roman" w:hAnsi="Titillium Web" w:cs="Times New Roman"/>
          <w:color w:val="E00109"/>
          <w:kern w:val="0"/>
          <w:sz w:val="36"/>
          <w:szCs w:val="36"/>
          <w:lang w:eastAsia="es-UY"/>
          <w14:ligatures w14:val="none"/>
        </w:rPr>
        <w:t>“Riqueza y complejidad” de los temas</w:t>
      </w:r>
    </w:p>
    <w:p w14:paraId="3F04B77C" w14:textId="77777777" w:rsidR="00A7537A" w:rsidRPr="00A7537A" w:rsidRDefault="00A7537A" w:rsidP="00A7537A">
      <w:pPr>
        <w:spacing w:after="0" w:line="240" w:lineRule="auto"/>
        <w:jc w:val="both"/>
        <w:textAlignment w:val="baseline"/>
        <w:rPr>
          <w:rFonts w:ascii="Titillium Web" w:eastAsia="Times New Roman" w:hAnsi="Titillium Web" w:cs="Times New Roman"/>
          <w:color w:val="000000"/>
          <w:kern w:val="0"/>
          <w:sz w:val="27"/>
          <w:szCs w:val="27"/>
          <w:lang w:eastAsia="es-UY"/>
          <w14:ligatures w14:val="none"/>
        </w:rPr>
      </w:pPr>
      <w:r w:rsidRPr="00A7537A">
        <w:rPr>
          <w:rFonts w:ascii="Titillium Web" w:eastAsia="Times New Roman" w:hAnsi="Titillium Web" w:cs="Times New Roman"/>
          <w:color w:val="000000"/>
          <w:kern w:val="0"/>
          <w:sz w:val="27"/>
          <w:szCs w:val="27"/>
          <w:lang w:eastAsia="es-UY"/>
          <w14:ligatures w14:val="none"/>
        </w:rPr>
        <w:t>Según explica el cardenal secretario de la Secretaría del Sínodo, </w:t>
      </w:r>
      <w:r w:rsidRPr="00A7537A">
        <w:rPr>
          <w:rFonts w:ascii="Titillium Web" w:eastAsia="Times New Roman" w:hAnsi="Titillium Web" w:cs="Times New Roman"/>
          <w:b/>
          <w:bCs/>
          <w:color w:val="535353"/>
          <w:kern w:val="0"/>
          <w:sz w:val="24"/>
          <w:szCs w:val="24"/>
          <w:bdr w:val="none" w:sz="0" w:space="0" w:color="auto" w:frame="1"/>
          <w:lang w:eastAsia="es-UY"/>
          <w14:ligatures w14:val="none"/>
        </w:rPr>
        <w:t xml:space="preserve">Mario </w:t>
      </w:r>
      <w:proofErr w:type="spellStart"/>
      <w:r w:rsidRPr="00A7537A">
        <w:rPr>
          <w:rFonts w:ascii="Titillium Web" w:eastAsia="Times New Roman" w:hAnsi="Titillium Web" w:cs="Times New Roman"/>
          <w:b/>
          <w:bCs/>
          <w:color w:val="535353"/>
          <w:kern w:val="0"/>
          <w:sz w:val="24"/>
          <w:szCs w:val="24"/>
          <w:bdr w:val="none" w:sz="0" w:space="0" w:color="auto" w:frame="1"/>
          <w:lang w:eastAsia="es-UY"/>
          <w14:ligatures w14:val="none"/>
        </w:rPr>
        <w:t>Grech</w:t>
      </w:r>
      <w:proofErr w:type="spellEnd"/>
      <w:r w:rsidRPr="00A7537A">
        <w:rPr>
          <w:rFonts w:ascii="Titillium Web" w:eastAsia="Times New Roman" w:hAnsi="Titillium Web" w:cs="Times New Roman"/>
          <w:color w:val="000000"/>
          <w:kern w:val="0"/>
          <w:sz w:val="27"/>
          <w:szCs w:val="27"/>
          <w:lang w:eastAsia="es-UY"/>
          <w14:ligatures w14:val="none"/>
        </w:rPr>
        <w:t xml:space="preserve">, “el trabajo de los grupos, dada la riqueza y complejidad de muchos de los temas que se les han encomendado, está requiriendo más tiempo del </w:t>
      </w:r>
      <w:r w:rsidRPr="00A7537A">
        <w:rPr>
          <w:rFonts w:ascii="Titillium Web" w:eastAsia="Times New Roman" w:hAnsi="Titillium Web" w:cs="Times New Roman"/>
          <w:color w:val="000000"/>
          <w:kern w:val="0"/>
          <w:sz w:val="27"/>
          <w:szCs w:val="27"/>
          <w:lang w:eastAsia="es-UY"/>
          <w14:ligatures w14:val="none"/>
        </w:rPr>
        <w:lastRenderedPageBreak/>
        <w:t>previsto inicialmente”. De hecho, mientras algunos de ellos están a punto de concluir su trabajo, otros continuarán los próximos meses, según explican en un comunicado.</w:t>
      </w:r>
    </w:p>
    <w:p w14:paraId="32FFD7FB" w14:textId="77777777" w:rsidR="00A7537A" w:rsidRDefault="00A7537A" w:rsidP="00A7537A">
      <w:pPr>
        <w:spacing w:after="0" w:line="240" w:lineRule="auto"/>
        <w:jc w:val="both"/>
        <w:textAlignment w:val="baseline"/>
        <w:rPr>
          <w:rFonts w:ascii="Titillium Web" w:eastAsia="Times New Roman" w:hAnsi="Titillium Web" w:cs="Times New Roman"/>
          <w:color w:val="000000"/>
          <w:kern w:val="0"/>
          <w:sz w:val="27"/>
          <w:szCs w:val="27"/>
          <w:lang w:eastAsia="es-UY"/>
          <w14:ligatures w14:val="none"/>
        </w:rPr>
      </w:pPr>
      <w:r w:rsidRPr="00A7537A">
        <w:rPr>
          <w:rFonts w:ascii="Titillium Web" w:eastAsia="Times New Roman" w:hAnsi="Titillium Web" w:cs="Times New Roman"/>
          <w:color w:val="000000"/>
          <w:kern w:val="0"/>
          <w:sz w:val="27"/>
          <w:szCs w:val="27"/>
          <w:lang w:eastAsia="es-UY"/>
          <w14:ligatures w14:val="none"/>
        </w:rPr>
        <w:t>En el mismo sentido, señalan que “los </w:t>
      </w:r>
      <w:r w:rsidRPr="00A7537A">
        <w:rPr>
          <w:rFonts w:ascii="Titillium Web" w:eastAsia="Times New Roman" w:hAnsi="Titillium Web" w:cs="Times New Roman"/>
          <w:b/>
          <w:bCs/>
          <w:color w:val="535353"/>
          <w:kern w:val="0"/>
          <w:sz w:val="24"/>
          <w:szCs w:val="24"/>
          <w:bdr w:val="none" w:sz="0" w:space="0" w:color="auto" w:frame="1"/>
          <w:lang w:eastAsia="es-UY"/>
          <w14:ligatures w14:val="none"/>
        </w:rPr>
        <w:t>documentos —redactados entre el verano y el otoño de este año—</w:t>
      </w:r>
      <w:r w:rsidRPr="00A7537A">
        <w:rPr>
          <w:rFonts w:ascii="Titillium Web" w:eastAsia="Times New Roman" w:hAnsi="Titillium Web" w:cs="Times New Roman"/>
          <w:color w:val="000000"/>
          <w:kern w:val="0"/>
          <w:sz w:val="27"/>
          <w:szCs w:val="27"/>
          <w:lang w:eastAsia="es-UY"/>
          <w14:ligatures w14:val="none"/>
        </w:rPr>
        <w:t> reflejan el estado de avance de los trabajos, poniendo de relieve tanto el método sinodal que los anima como los pasos concretos para llevarlo a cabo”.</w:t>
      </w:r>
    </w:p>
    <w:p w14:paraId="06ED2B2E" w14:textId="77777777" w:rsidR="00CF3D7F" w:rsidRDefault="00CF3D7F" w:rsidP="00A7537A">
      <w:pPr>
        <w:spacing w:after="0" w:line="240" w:lineRule="auto"/>
        <w:jc w:val="both"/>
        <w:textAlignment w:val="baseline"/>
        <w:rPr>
          <w:rFonts w:ascii="Titillium Web" w:eastAsia="Times New Roman" w:hAnsi="Titillium Web" w:cs="Times New Roman"/>
          <w:color w:val="000000"/>
          <w:kern w:val="0"/>
          <w:sz w:val="27"/>
          <w:szCs w:val="27"/>
          <w:lang w:eastAsia="es-UY"/>
          <w14:ligatures w14:val="none"/>
        </w:rPr>
      </w:pPr>
    </w:p>
    <w:p w14:paraId="76AF8A01" w14:textId="0A82369E" w:rsidR="00CF3D7F" w:rsidRPr="00A7537A" w:rsidRDefault="00CF3D7F" w:rsidP="00A7537A">
      <w:pPr>
        <w:spacing w:after="0" w:line="240" w:lineRule="auto"/>
        <w:jc w:val="both"/>
        <w:textAlignment w:val="baseline"/>
        <w:rPr>
          <w:rFonts w:ascii="Titillium Web" w:eastAsia="Times New Roman" w:hAnsi="Titillium Web" w:cs="Times New Roman"/>
          <w:color w:val="000000"/>
          <w:kern w:val="0"/>
          <w:sz w:val="20"/>
          <w:szCs w:val="20"/>
          <w:lang w:eastAsia="es-UY"/>
          <w14:ligatures w14:val="none"/>
        </w:rPr>
      </w:pPr>
      <w:r w:rsidRPr="00CF3D7F">
        <w:rPr>
          <w:rFonts w:ascii="Titillium Web" w:eastAsia="Times New Roman" w:hAnsi="Titillium Web" w:cs="Times New Roman"/>
          <w:color w:val="000000"/>
          <w:kern w:val="0"/>
          <w:sz w:val="20"/>
          <w:szCs w:val="20"/>
          <w:lang w:eastAsia="es-UY"/>
          <w14:ligatures w14:val="none"/>
        </w:rPr>
        <w:t>https://www.vidanuevadigital.com/2025/11/17/el-vaticano-anuncia-que-se-pronunciara-proximamente-sobre-el-diaconado-femenino/amp/?fbclid=IwdGRzaAOIw_tjbGNrA4jDXmV4dG4DYWVtAjExAHNydGMGYXBwX2lkDDM1MDY4NTUzMTcyOAABHq8_iaoa1zjyuiWRZuzZO1N8yT9MNAptm63Z57ikunJGN6lGCC-5EPAU6w0Q_aem_fZ0_fHVplpQDCNEXiBMlfA&amp;sfnsn=wiwspwa</w:t>
      </w:r>
    </w:p>
    <w:sectPr w:rsidR="00CF3D7F" w:rsidRPr="00A7537A">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Merriweather">
    <w:charset w:val="00"/>
    <w:family w:val="auto"/>
    <w:pitch w:val="variable"/>
    <w:sig w:usb0="20000207" w:usb1="00000002" w:usb2="00000000" w:usb3="00000000" w:csb0="00000197" w:csb1="00000000"/>
  </w:font>
  <w:font w:name="Titillium Web">
    <w:charset w:val="00"/>
    <w:family w:val="auto"/>
    <w:pitch w:val="variable"/>
    <w:sig w:usb0="00000007" w:usb1="00000001" w:usb2="00000000" w:usb3="00000000" w:csb0="00000093"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EC36BC"/>
    <w:multiLevelType w:val="multilevel"/>
    <w:tmpl w:val="1E8428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168633E"/>
    <w:multiLevelType w:val="multilevel"/>
    <w:tmpl w:val="FF527D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1797174">
    <w:abstractNumId w:val="1"/>
  </w:num>
  <w:num w:numId="2" w16cid:durableId="154976037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537A"/>
    <w:rsid w:val="00510D31"/>
    <w:rsid w:val="00926044"/>
    <w:rsid w:val="00A7537A"/>
    <w:rsid w:val="00CF3D7F"/>
    <w:rsid w:val="00DE17A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98C862"/>
  <w15:chartTrackingRefBased/>
  <w15:docId w15:val="{A23B13CD-AF82-4BA7-93E8-FFC436BCD7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A7537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A7537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A7537A"/>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A7537A"/>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A7537A"/>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A7537A"/>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A7537A"/>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A7537A"/>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A7537A"/>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A7537A"/>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A7537A"/>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A7537A"/>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A7537A"/>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A7537A"/>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A7537A"/>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A7537A"/>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A7537A"/>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A7537A"/>
    <w:rPr>
      <w:rFonts w:eastAsiaTheme="majorEastAsia" w:cstheme="majorBidi"/>
      <w:color w:val="272727" w:themeColor="text1" w:themeTint="D8"/>
    </w:rPr>
  </w:style>
  <w:style w:type="paragraph" w:styleId="Ttulo">
    <w:name w:val="Title"/>
    <w:basedOn w:val="Normal"/>
    <w:next w:val="Normal"/>
    <w:link w:val="TtuloCar"/>
    <w:uiPriority w:val="10"/>
    <w:qFormat/>
    <w:rsid w:val="00A7537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A7537A"/>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A7537A"/>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A7537A"/>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A7537A"/>
    <w:pPr>
      <w:spacing w:before="160"/>
      <w:jc w:val="center"/>
    </w:pPr>
    <w:rPr>
      <w:i/>
      <w:iCs/>
      <w:color w:val="404040" w:themeColor="text1" w:themeTint="BF"/>
    </w:rPr>
  </w:style>
  <w:style w:type="character" w:customStyle="1" w:styleId="CitaCar">
    <w:name w:val="Cita Car"/>
    <w:basedOn w:val="Fuentedeprrafopredeter"/>
    <w:link w:val="Cita"/>
    <w:uiPriority w:val="29"/>
    <w:rsid w:val="00A7537A"/>
    <w:rPr>
      <w:i/>
      <w:iCs/>
      <w:color w:val="404040" w:themeColor="text1" w:themeTint="BF"/>
    </w:rPr>
  </w:style>
  <w:style w:type="paragraph" w:styleId="Prrafodelista">
    <w:name w:val="List Paragraph"/>
    <w:basedOn w:val="Normal"/>
    <w:uiPriority w:val="34"/>
    <w:qFormat/>
    <w:rsid w:val="00A7537A"/>
    <w:pPr>
      <w:ind w:left="720"/>
      <w:contextualSpacing/>
    </w:pPr>
  </w:style>
  <w:style w:type="character" w:styleId="nfasisintenso">
    <w:name w:val="Intense Emphasis"/>
    <w:basedOn w:val="Fuentedeprrafopredeter"/>
    <w:uiPriority w:val="21"/>
    <w:qFormat/>
    <w:rsid w:val="00A7537A"/>
    <w:rPr>
      <w:i/>
      <w:iCs/>
      <w:color w:val="0F4761" w:themeColor="accent1" w:themeShade="BF"/>
    </w:rPr>
  </w:style>
  <w:style w:type="paragraph" w:styleId="Citadestacada">
    <w:name w:val="Intense Quote"/>
    <w:basedOn w:val="Normal"/>
    <w:next w:val="Normal"/>
    <w:link w:val="CitadestacadaCar"/>
    <w:uiPriority w:val="30"/>
    <w:qFormat/>
    <w:rsid w:val="00A7537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A7537A"/>
    <w:rPr>
      <w:i/>
      <w:iCs/>
      <w:color w:val="0F4761" w:themeColor="accent1" w:themeShade="BF"/>
    </w:rPr>
  </w:style>
  <w:style w:type="character" w:styleId="Referenciaintensa">
    <w:name w:val="Intense Reference"/>
    <w:basedOn w:val="Fuentedeprrafopredeter"/>
    <w:uiPriority w:val="32"/>
    <w:qFormat/>
    <w:rsid w:val="00A7537A"/>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vidanuevadigital.com/tag/diaconado-femenino/" TargetMode="External"/><Relationship Id="rId3" Type="http://schemas.openxmlformats.org/officeDocument/2006/relationships/settings" Target="settings.xml"/><Relationship Id="rId7" Type="http://schemas.openxmlformats.org/officeDocument/2006/relationships/hyperlink" Target="https://www.vidanuevadigital.com/tag/sinodo-de-la-sinodalidad/"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hyperlink" Target="https://www.vidanuevadigital.com/autor/ruben-cruz/"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2.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802</Words>
  <Characters>4414</Characters>
  <Application>Microsoft Office Word</Application>
  <DocSecurity>0</DocSecurity>
  <Lines>36</Lines>
  <Paragraphs>10</Paragraphs>
  <ScaleCrop>false</ScaleCrop>
  <Company/>
  <LinksUpToDate>false</LinksUpToDate>
  <CharactersWithSpaces>5206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2</cp:revision>
  <dcterms:created xsi:type="dcterms:W3CDTF">2025-11-18T13:29:00Z</dcterms:created>
  <dcterms:modified xsi:type="dcterms:W3CDTF">2025-11-18T13:29:00Z</dcterms:modified>
</cp:coreProperties>
</file>