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50255" w14:textId="77777777" w:rsidR="00163822" w:rsidRPr="00163822" w:rsidRDefault="00163822" w:rsidP="00163822">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b/>
          <w:bCs/>
          <w:i/>
          <w:iCs/>
          <w:color w:val="000000"/>
          <w:kern w:val="0"/>
          <w:sz w:val="36"/>
          <w:szCs w:val="36"/>
          <w:lang w:eastAsia="es-UY"/>
          <w14:ligatures w14:val="none"/>
        </w:rPr>
        <w:t>Jesús es el viviente que nos llena de vida</w:t>
      </w:r>
    </w:p>
    <w:p w14:paraId="3A4747E1" w14:textId="77777777" w:rsidR="00163822" w:rsidRPr="00163822" w:rsidRDefault="00163822" w:rsidP="00163822">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2 de noviembre</w:t>
      </w:r>
    </w:p>
    <w:p w14:paraId="5B9D43C6" w14:textId="77777777" w:rsidR="00163822" w:rsidRPr="00163822" w:rsidRDefault="00163822" w:rsidP="00163822">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hyperlink r:id="rId4" w:tgtFrame="_blank" w:history="1">
        <w:r w:rsidRPr="00163822">
          <w:rPr>
            <w:rFonts w:ascii="Arial" w:eastAsia="Times New Roman" w:hAnsi="Arial" w:cs="Arial"/>
            <w:color w:val="1155CC"/>
            <w:kern w:val="0"/>
            <w:sz w:val="27"/>
            <w:szCs w:val="27"/>
            <w:u w:val="single"/>
            <w:lang w:eastAsia="es-UY"/>
            <w14:ligatures w14:val="none"/>
          </w:rPr>
          <w:t>Conmemoración de todos los fieles difuntos</w:t>
        </w:r>
      </w:hyperlink>
    </w:p>
    <w:p w14:paraId="3B3DF63F" w14:textId="77777777" w:rsidR="00163822" w:rsidRPr="00163822" w:rsidRDefault="00163822" w:rsidP="00163822">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hyperlink r:id="rId5" w:tgtFrame="_blank" w:history="1">
        <w:r w:rsidRPr="00163822">
          <w:rPr>
            <w:rFonts w:ascii="Arial" w:eastAsia="Times New Roman" w:hAnsi="Arial" w:cs="Arial"/>
            <w:i/>
            <w:iCs/>
            <w:color w:val="1155CC"/>
            <w:kern w:val="0"/>
            <w:sz w:val="27"/>
            <w:szCs w:val="27"/>
            <w:u w:val="single"/>
            <w:lang w:eastAsia="es-UY"/>
            <w14:ligatures w14:val="none"/>
          </w:rPr>
          <w:t>Eduardo de la Serna</w:t>
        </w:r>
      </w:hyperlink>
    </w:p>
    <w:p w14:paraId="531C9744"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 </w:t>
      </w:r>
    </w:p>
    <w:p w14:paraId="0AE3F761" w14:textId="77777777" w:rsidR="00163822" w:rsidRPr="00163822" w:rsidRDefault="00163822" w:rsidP="00163822">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noProof/>
          <w:color w:val="1155CC"/>
          <w:kern w:val="0"/>
          <w:sz w:val="27"/>
          <w:szCs w:val="27"/>
          <w:lang w:eastAsia="es-UY"/>
          <w14:ligatures w14:val="none"/>
        </w:rPr>
        <w:drawing>
          <wp:inline distT="0" distB="0" distL="0" distR="0" wp14:anchorId="3F99F761" wp14:editId="37F09B56">
            <wp:extent cx="3810000" cy="2038350"/>
            <wp:effectExtent l="0" t="0" r="0" b="0"/>
            <wp:docPr id="3" name="Imagen 2" descr="Imagen que contiene interior, tabla, grande, pastel&#10;&#10;El contenido generado por IA puede ser incorrecto.">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Imagen que contiene interior, tabla, grande, pastel&#10;&#10;El contenido generado por IA puede ser incorrecto.">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2038350"/>
                    </a:xfrm>
                    <a:prstGeom prst="rect">
                      <a:avLst/>
                    </a:prstGeom>
                    <a:noFill/>
                    <a:ln>
                      <a:noFill/>
                    </a:ln>
                  </pic:spPr>
                </pic:pic>
              </a:graphicData>
            </a:graphic>
          </wp:inline>
        </w:drawing>
      </w:r>
    </w:p>
    <w:p w14:paraId="6695F863" w14:textId="77777777" w:rsidR="00163822" w:rsidRPr="00163822" w:rsidRDefault="00163822" w:rsidP="00163822">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2266D7FE" w14:textId="77777777" w:rsidR="00163822" w:rsidRPr="00163822" w:rsidRDefault="00163822" w:rsidP="00163822">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i/>
          <w:iCs/>
          <w:color w:val="2B00FE"/>
          <w:kern w:val="0"/>
          <w:sz w:val="27"/>
          <w:szCs w:val="27"/>
          <w:lang w:eastAsia="es-UY"/>
          <w14:ligatures w14:val="none"/>
        </w:rPr>
        <w:t>El ciclo “C” de lecturas continuas se interrumpe este año por la celebración de los fieles difuntos. Como es evidente, las lecturas son escogidas por razones “temáticas” y no por la continuidad del texto bíblico. De todos modos, como lo hemos hecho otras veces, el comentario será al texto bíblico (es decir, no será sobre “los difuntos en la Biblia”, sino a lo que entendemos que dice el fragmento escogido).</w:t>
      </w:r>
    </w:p>
    <w:p w14:paraId="5E78DF92"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 </w:t>
      </w:r>
    </w:p>
    <w:p w14:paraId="5E25DBFF"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b/>
          <w:bCs/>
          <w:color w:val="000000"/>
          <w:kern w:val="0"/>
          <w:sz w:val="27"/>
          <w:szCs w:val="27"/>
          <w:lang w:eastAsia="es-UY"/>
          <w14:ligatures w14:val="none"/>
        </w:rPr>
        <w:t>Lectura del libro del </w:t>
      </w:r>
      <w:hyperlink r:id="rId7" w:tgtFrame="_blank" w:history="1">
        <w:r w:rsidRPr="00163822">
          <w:rPr>
            <w:rFonts w:ascii="Arial" w:eastAsia="Times New Roman" w:hAnsi="Arial" w:cs="Arial"/>
            <w:b/>
            <w:bCs/>
            <w:color w:val="1155CC"/>
            <w:kern w:val="0"/>
            <w:sz w:val="27"/>
            <w:szCs w:val="27"/>
            <w:u w:val="single"/>
            <w:lang w:eastAsia="es-UY"/>
            <w14:ligatures w14:val="none"/>
          </w:rPr>
          <w:t>Apocalipsis</w:t>
        </w:r>
      </w:hyperlink>
      <w:r w:rsidRPr="00163822">
        <w:rPr>
          <w:rFonts w:ascii="Arial" w:eastAsia="Times New Roman" w:hAnsi="Arial" w:cs="Arial"/>
          <w:color w:val="000000"/>
          <w:kern w:val="0"/>
          <w:sz w:val="27"/>
          <w:szCs w:val="27"/>
          <w:lang w:eastAsia="es-UY"/>
          <w14:ligatures w14:val="none"/>
        </w:rPr>
        <w:t>    21, 1-5a. 6b-7</w:t>
      </w:r>
    </w:p>
    <w:p w14:paraId="6D75BE6B"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9170794" w14:textId="77777777" w:rsidR="00163822" w:rsidRPr="00163822" w:rsidRDefault="00163822" w:rsidP="00163822">
      <w:pPr>
        <w:spacing w:after="0" w:line="240" w:lineRule="auto"/>
        <w:jc w:val="both"/>
        <w:rPr>
          <w:rFonts w:ascii="Times New Roman" w:eastAsia="Times New Roman" w:hAnsi="Times New Roman" w:cs="Times New Roman"/>
          <w:i/>
          <w:iCs/>
          <w:color w:val="000000"/>
          <w:kern w:val="0"/>
          <w:sz w:val="27"/>
          <w:szCs w:val="27"/>
          <w:shd w:val="clear" w:color="auto" w:fill="FFFFFF"/>
          <w:lang w:eastAsia="es-UY"/>
          <w14:ligatures w14:val="none"/>
        </w:rPr>
      </w:pPr>
      <w:r w:rsidRPr="00163822">
        <w:rPr>
          <w:rFonts w:ascii="Arial" w:eastAsia="Times New Roman" w:hAnsi="Arial" w:cs="Arial"/>
          <w:i/>
          <w:iCs/>
          <w:color w:val="000000"/>
          <w:kern w:val="0"/>
          <w:sz w:val="27"/>
          <w:szCs w:val="27"/>
          <w:shd w:val="clear" w:color="auto" w:fill="FFFFFF"/>
          <w:lang w:eastAsia="es-UY"/>
          <w14:ligatures w14:val="none"/>
        </w:rPr>
        <w:t>Resumen: el vidente del Apocalipsis alude a la “</w:t>
      </w:r>
      <w:hyperlink r:id="rId8" w:tgtFrame="_blank" w:history="1">
        <w:r w:rsidRPr="00163822">
          <w:rPr>
            <w:rFonts w:ascii="Arial" w:eastAsia="Times New Roman" w:hAnsi="Arial" w:cs="Arial"/>
            <w:i/>
            <w:iCs/>
            <w:color w:val="1155CC"/>
            <w:kern w:val="0"/>
            <w:sz w:val="27"/>
            <w:szCs w:val="27"/>
            <w:u w:val="single"/>
            <w:shd w:val="clear" w:color="auto" w:fill="FFFFFF"/>
            <w:lang w:eastAsia="es-UY"/>
            <w14:ligatures w14:val="none"/>
          </w:rPr>
          <w:t>nueva Jerusalén</w:t>
        </w:r>
      </w:hyperlink>
      <w:r w:rsidRPr="00163822">
        <w:rPr>
          <w:rFonts w:ascii="Arial" w:eastAsia="Times New Roman" w:hAnsi="Arial" w:cs="Arial"/>
          <w:i/>
          <w:iCs/>
          <w:color w:val="000000"/>
          <w:kern w:val="0"/>
          <w:sz w:val="27"/>
          <w:szCs w:val="27"/>
          <w:shd w:val="clear" w:color="auto" w:fill="FFFFFF"/>
          <w:lang w:eastAsia="es-UY"/>
          <w14:ligatures w14:val="none"/>
        </w:rPr>
        <w:t>”, un pueblo, que viene de Dios que decide crear todo de nuevo sin dar cabida a la muerte. En esa ciudad los habitantes recibirán gratuitamente de Dios la vida y la felicidad plenas.</w:t>
      </w:r>
    </w:p>
    <w:p w14:paraId="638AAA94"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9BEEC98"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El final del libro del Apocalipsis presenta un fuerte contraste entre dos mujeres (prostituta / novia), dos ciudades (Babilonia / Jerusalén), Babilonia arrojada “al mar” (18,21), Jerusalén “baja del cielo” y “ya no hay mar” (21,1.2). Se trata, sin dudas del conflicto entre Roma, “la Gran ciudad” y la Iglesia. </w:t>
      </w:r>
    </w:p>
    <w:p w14:paraId="0C877497"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3907183"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 xml:space="preserve">La unidad literaria, es extensa y ocupa desde 21,1 hasta 22,22, donde se pueden presentar tres sub-unidades: 21,1-8 donde se refiere al “mundo nuevo”, 21,8-27 a la “nueva Jerusalén” y 22,1-5 donde alude al “Paraíso recreado”. El texto litúrgico omite la segunda parte del v.5 y la primera del v.6: “Y añadió: Escribe, que estas palabras mías son verdaderas y dignas de fe. Y me dijo: Se terminó” y el v.8 que es el </w:t>
      </w:r>
      <w:r w:rsidRPr="00163822">
        <w:rPr>
          <w:rFonts w:ascii="Arial" w:eastAsia="Times New Roman" w:hAnsi="Arial" w:cs="Arial"/>
          <w:color w:val="000000"/>
          <w:kern w:val="0"/>
          <w:sz w:val="27"/>
          <w:szCs w:val="27"/>
          <w:lang w:eastAsia="es-UY"/>
          <w14:ligatures w14:val="none"/>
        </w:rPr>
        <w:lastRenderedPageBreak/>
        <w:t>contraste con el v.7 donde habla del “vencedor”, “</w:t>
      </w:r>
      <w:r w:rsidRPr="00163822">
        <w:rPr>
          <w:rFonts w:ascii="Arial" w:eastAsia="Times New Roman" w:hAnsi="Arial" w:cs="Arial"/>
          <w:i/>
          <w:iCs/>
          <w:color w:val="000000"/>
          <w:kern w:val="0"/>
          <w:sz w:val="27"/>
          <w:szCs w:val="27"/>
          <w:lang w:eastAsia="es-UY"/>
          <w14:ligatures w14:val="none"/>
        </w:rPr>
        <w:t>en cambio, los cobardes y desconfiados, los depravados y asesinos, los lujuriosos y hechiceros, los idólatras y embusteros de toda clase tendrán su lote en el foso de fuego y azufre ardiente –que es la muerte segunda</w:t>
      </w:r>
      <w:r w:rsidRPr="00163822">
        <w:rPr>
          <w:rFonts w:ascii="Arial" w:eastAsia="Times New Roman" w:hAnsi="Arial" w:cs="Arial"/>
          <w:color w:val="000000"/>
          <w:kern w:val="0"/>
          <w:sz w:val="27"/>
          <w:szCs w:val="27"/>
          <w:lang w:eastAsia="es-UY"/>
          <w14:ligatures w14:val="none"/>
        </w:rPr>
        <w:t>–“. El sentido de la omisión parece pastoral.</w:t>
      </w:r>
    </w:p>
    <w:p w14:paraId="175F9252"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87D2490"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La novedad que va a iniciarse es absoluta, nada de lo antiguo tiene cabida. El “</w:t>
      </w:r>
      <w:r w:rsidRPr="00163822">
        <w:rPr>
          <w:rFonts w:ascii="Arial" w:eastAsia="Times New Roman" w:hAnsi="Arial" w:cs="Arial"/>
          <w:i/>
          <w:iCs/>
          <w:color w:val="000000"/>
          <w:kern w:val="0"/>
          <w:sz w:val="27"/>
          <w:szCs w:val="27"/>
          <w:lang w:eastAsia="es-UY"/>
          <w14:ligatures w14:val="none"/>
        </w:rPr>
        <w:t>cielo y la tierra</w:t>
      </w:r>
      <w:r w:rsidRPr="00163822">
        <w:rPr>
          <w:rFonts w:ascii="Arial" w:eastAsia="Times New Roman" w:hAnsi="Arial" w:cs="Arial"/>
          <w:color w:val="000000"/>
          <w:kern w:val="0"/>
          <w:sz w:val="27"/>
          <w:szCs w:val="27"/>
          <w:lang w:eastAsia="es-UY"/>
          <w14:ligatures w14:val="none"/>
        </w:rPr>
        <w:t>” antiguos han desaparecido, como también ha desaparecido el “</w:t>
      </w:r>
      <w:r w:rsidRPr="00163822">
        <w:rPr>
          <w:rFonts w:ascii="Arial" w:eastAsia="Times New Roman" w:hAnsi="Arial" w:cs="Arial"/>
          <w:i/>
          <w:iCs/>
          <w:color w:val="000000"/>
          <w:kern w:val="0"/>
          <w:sz w:val="27"/>
          <w:szCs w:val="27"/>
          <w:lang w:eastAsia="es-UY"/>
          <w14:ligatures w14:val="none"/>
        </w:rPr>
        <w:t>mar</w:t>
      </w:r>
      <w:r w:rsidRPr="00163822">
        <w:rPr>
          <w:rFonts w:ascii="Arial" w:eastAsia="Times New Roman" w:hAnsi="Arial" w:cs="Arial"/>
          <w:color w:val="000000"/>
          <w:kern w:val="0"/>
          <w:sz w:val="27"/>
          <w:szCs w:val="27"/>
          <w:lang w:eastAsia="es-UY"/>
          <w14:ligatures w14:val="none"/>
        </w:rPr>
        <w:t>”. Como lo anunciara </w:t>
      </w:r>
      <w:hyperlink r:id="rId9" w:tgtFrame="_blank" w:history="1">
        <w:r w:rsidRPr="00163822">
          <w:rPr>
            <w:rFonts w:ascii="Arial" w:eastAsia="Times New Roman" w:hAnsi="Arial" w:cs="Arial"/>
            <w:color w:val="1155CC"/>
            <w:kern w:val="0"/>
            <w:sz w:val="27"/>
            <w:szCs w:val="27"/>
            <w:u w:val="single"/>
            <w:lang w:eastAsia="es-UY"/>
            <w14:ligatures w14:val="none"/>
          </w:rPr>
          <w:t>Isaías</w:t>
        </w:r>
      </w:hyperlink>
      <w:r w:rsidRPr="00163822">
        <w:rPr>
          <w:rFonts w:ascii="Arial" w:eastAsia="Times New Roman" w:hAnsi="Arial" w:cs="Arial"/>
          <w:color w:val="000000"/>
          <w:kern w:val="0"/>
          <w:sz w:val="27"/>
          <w:szCs w:val="27"/>
          <w:lang w:eastAsia="es-UY"/>
          <w14:ligatures w14:val="none"/>
        </w:rPr>
        <w:t> (65,17) Dios “</w:t>
      </w:r>
      <w:r w:rsidRPr="00163822">
        <w:rPr>
          <w:rFonts w:ascii="Arial" w:eastAsia="Times New Roman" w:hAnsi="Arial" w:cs="Arial"/>
          <w:i/>
          <w:iCs/>
          <w:color w:val="000000"/>
          <w:kern w:val="0"/>
          <w:sz w:val="27"/>
          <w:szCs w:val="27"/>
          <w:lang w:eastAsia="es-UY"/>
          <w14:ligatures w14:val="none"/>
        </w:rPr>
        <w:t>creará</w:t>
      </w:r>
      <w:r w:rsidRPr="00163822">
        <w:rPr>
          <w:rFonts w:ascii="Arial" w:eastAsia="Times New Roman" w:hAnsi="Arial" w:cs="Arial"/>
          <w:color w:val="000000"/>
          <w:kern w:val="0"/>
          <w:sz w:val="27"/>
          <w:szCs w:val="27"/>
          <w:lang w:eastAsia="es-UY"/>
          <w14:ligatures w14:val="none"/>
        </w:rPr>
        <w:t>” (</w:t>
      </w:r>
      <w:r w:rsidRPr="00163822">
        <w:rPr>
          <w:rFonts w:ascii="Arial" w:eastAsia="Times New Roman" w:hAnsi="Arial" w:cs="Arial"/>
          <w:i/>
          <w:iCs/>
          <w:color w:val="000000"/>
          <w:kern w:val="0"/>
          <w:sz w:val="27"/>
          <w:szCs w:val="27"/>
          <w:lang w:eastAsia="es-UY"/>
          <w14:ligatures w14:val="none"/>
        </w:rPr>
        <w:t>bara’</w:t>
      </w:r>
      <w:r w:rsidRPr="00163822">
        <w:rPr>
          <w:rFonts w:ascii="Arial" w:eastAsia="Times New Roman" w:hAnsi="Arial" w:cs="Arial"/>
          <w:color w:val="000000"/>
          <w:kern w:val="0"/>
          <w:sz w:val="27"/>
          <w:szCs w:val="27"/>
          <w:lang w:eastAsia="es-UY"/>
          <w14:ligatures w14:val="none"/>
        </w:rPr>
        <w:t>) cielos y tierra nueva, y de “</w:t>
      </w:r>
      <w:r w:rsidRPr="00163822">
        <w:rPr>
          <w:rFonts w:ascii="Arial" w:eastAsia="Times New Roman" w:hAnsi="Arial" w:cs="Arial"/>
          <w:i/>
          <w:iCs/>
          <w:color w:val="000000"/>
          <w:kern w:val="0"/>
          <w:sz w:val="27"/>
          <w:szCs w:val="27"/>
          <w:lang w:eastAsia="es-UY"/>
          <w14:ligatures w14:val="none"/>
        </w:rPr>
        <w:t>los primeros</w:t>
      </w:r>
      <w:r w:rsidRPr="00163822">
        <w:rPr>
          <w:rFonts w:ascii="Arial" w:eastAsia="Times New Roman" w:hAnsi="Arial" w:cs="Arial"/>
          <w:color w:val="000000"/>
          <w:kern w:val="0"/>
          <w:sz w:val="27"/>
          <w:szCs w:val="27"/>
          <w:lang w:eastAsia="es-UY"/>
          <w14:ligatures w14:val="none"/>
        </w:rPr>
        <w:t>” no habrá ni “</w:t>
      </w:r>
      <w:r w:rsidRPr="00163822">
        <w:rPr>
          <w:rFonts w:ascii="Arial" w:eastAsia="Times New Roman" w:hAnsi="Arial" w:cs="Arial"/>
          <w:i/>
          <w:iCs/>
          <w:color w:val="000000"/>
          <w:kern w:val="0"/>
          <w:sz w:val="27"/>
          <w:szCs w:val="27"/>
          <w:lang w:eastAsia="es-UY"/>
          <w14:ligatures w14:val="none"/>
        </w:rPr>
        <w:t>memoria</w:t>
      </w:r>
      <w:r w:rsidRPr="00163822">
        <w:rPr>
          <w:rFonts w:ascii="Arial" w:eastAsia="Times New Roman" w:hAnsi="Arial" w:cs="Arial"/>
          <w:color w:val="000000"/>
          <w:kern w:val="0"/>
          <w:sz w:val="27"/>
          <w:szCs w:val="27"/>
          <w:lang w:eastAsia="es-UY"/>
          <w14:ligatures w14:val="none"/>
        </w:rPr>
        <w:t>”. En ella no habrá “ni llanto ni quejido” (65,19), pero – como es propio de la literatura profética – se trata de una renovación, no de algo “totalmente nuevo”. El texto de Apocalipsis presenta un contraste evidente entre lo “</w:t>
      </w:r>
      <w:r w:rsidRPr="00163822">
        <w:rPr>
          <w:rFonts w:ascii="Arial" w:eastAsia="Times New Roman" w:hAnsi="Arial" w:cs="Arial"/>
          <w:i/>
          <w:iCs/>
          <w:color w:val="000000"/>
          <w:kern w:val="0"/>
          <w:sz w:val="27"/>
          <w:szCs w:val="27"/>
          <w:lang w:eastAsia="es-UY"/>
          <w14:ligatures w14:val="none"/>
        </w:rPr>
        <w:t>nuevo</w:t>
      </w:r>
      <w:r w:rsidRPr="00163822">
        <w:rPr>
          <w:rFonts w:ascii="Arial" w:eastAsia="Times New Roman" w:hAnsi="Arial" w:cs="Arial"/>
          <w:color w:val="000000"/>
          <w:kern w:val="0"/>
          <w:sz w:val="27"/>
          <w:szCs w:val="27"/>
          <w:lang w:eastAsia="es-UY"/>
          <w14:ligatures w14:val="none"/>
        </w:rPr>
        <w:t>” (repetido dos veces) y lo “</w:t>
      </w:r>
      <w:r w:rsidRPr="00163822">
        <w:rPr>
          <w:rFonts w:ascii="Arial" w:eastAsia="Times New Roman" w:hAnsi="Arial" w:cs="Arial"/>
          <w:i/>
          <w:iCs/>
          <w:color w:val="000000"/>
          <w:kern w:val="0"/>
          <w:sz w:val="27"/>
          <w:szCs w:val="27"/>
          <w:lang w:eastAsia="es-UY"/>
          <w14:ligatures w14:val="none"/>
        </w:rPr>
        <w:t>primero</w:t>
      </w:r>
      <w:r w:rsidRPr="00163822">
        <w:rPr>
          <w:rFonts w:ascii="Arial" w:eastAsia="Times New Roman" w:hAnsi="Arial" w:cs="Arial"/>
          <w:color w:val="000000"/>
          <w:kern w:val="0"/>
          <w:sz w:val="27"/>
          <w:szCs w:val="27"/>
          <w:lang w:eastAsia="es-UY"/>
          <w14:ligatures w14:val="none"/>
        </w:rPr>
        <w:t>” (también dos veces) que vuelven a encontrarse en el texto (v.2.5 y v.4 respectivamente). “</w:t>
      </w:r>
      <w:r w:rsidRPr="00163822">
        <w:rPr>
          <w:rFonts w:ascii="Arial" w:eastAsia="Times New Roman" w:hAnsi="Arial" w:cs="Arial"/>
          <w:i/>
          <w:iCs/>
          <w:color w:val="000000"/>
          <w:kern w:val="0"/>
          <w:sz w:val="27"/>
          <w:szCs w:val="27"/>
          <w:lang w:eastAsia="es-UY"/>
          <w14:ligatures w14:val="none"/>
        </w:rPr>
        <w:t>Cielo</w:t>
      </w:r>
      <w:r w:rsidRPr="00163822">
        <w:rPr>
          <w:rFonts w:ascii="Arial" w:eastAsia="Times New Roman" w:hAnsi="Arial" w:cs="Arial"/>
          <w:color w:val="000000"/>
          <w:kern w:val="0"/>
          <w:sz w:val="27"/>
          <w:szCs w:val="27"/>
          <w:lang w:eastAsia="es-UY"/>
          <w14:ligatures w14:val="none"/>
        </w:rPr>
        <w:t>” y “</w:t>
      </w:r>
      <w:r w:rsidRPr="00163822">
        <w:rPr>
          <w:rFonts w:ascii="Arial" w:eastAsia="Times New Roman" w:hAnsi="Arial" w:cs="Arial"/>
          <w:i/>
          <w:iCs/>
          <w:color w:val="000000"/>
          <w:kern w:val="0"/>
          <w:sz w:val="27"/>
          <w:szCs w:val="27"/>
          <w:lang w:eastAsia="es-UY"/>
          <w14:ligatures w14:val="none"/>
        </w:rPr>
        <w:t>tierra</w:t>
      </w:r>
      <w:r w:rsidRPr="00163822">
        <w:rPr>
          <w:rFonts w:ascii="Arial" w:eastAsia="Times New Roman" w:hAnsi="Arial" w:cs="Arial"/>
          <w:color w:val="000000"/>
          <w:kern w:val="0"/>
          <w:sz w:val="27"/>
          <w:szCs w:val="27"/>
          <w:lang w:eastAsia="es-UY"/>
          <w14:ligatures w14:val="none"/>
        </w:rPr>
        <w:t>” son un modo frecuente en la poética hebrea de aludir al todo por dos extremos (se lo llama “</w:t>
      </w:r>
      <w:r w:rsidRPr="00163822">
        <w:rPr>
          <w:rFonts w:ascii="Arial" w:eastAsia="Times New Roman" w:hAnsi="Arial" w:cs="Arial"/>
          <w:i/>
          <w:iCs/>
          <w:color w:val="000000"/>
          <w:kern w:val="0"/>
          <w:sz w:val="27"/>
          <w:szCs w:val="27"/>
          <w:lang w:eastAsia="es-UY"/>
          <w14:ligatures w14:val="none"/>
        </w:rPr>
        <w:t>merismo</w:t>
      </w:r>
      <w:r w:rsidRPr="00163822">
        <w:rPr>
          <w:rFonts w:ascii="Arial" w:eastAsia="Times New Roman" w:hAnsi="Arial" w:cs="Arial"/>
          <w:color w:val="000000"/>
          <w:kern w:val="0"/>
          <w:sz w:val="27"/>
          <w:szCs w:val="27"/>
          <w:lang w:eastAsia="es-UY"/>
          <w14:ligatures w14:val="none"/>
        </w:rPr>
        <w:t>”). En ese caso refiere al todo; cuando Gen 1 afirma que “Dios creó el cielo y la tierra” refiere a que creó todo, sin embargo en nuestro texto se excluye el “</w:t>
      </w:r>
      <w:r w:rsidRPr="00163822">
        <w:rPr>
          <w:rFonts w:ascii="Arial" w:eastAsia="Times New Roman" w:hAnsi="Arial" w:cs="Arial"/>
          <w:i/>
          <w:iCs/>
          <w:color w:val="000000"/>
          <w:kern w:val="0"/>
          <w:sz w:val="27"/>
          <w:szCs w:val="27"/>
          <w:lang w:eastAsia="es-UY"/>
          <w14:ligatures w14:val="none"/>
        </w:rPr>
        <w:t>mar</w:t>
      </w:r>
      <w:r w:rsidRPr="00163822">
        <w:rPr>
          <w:rFonts w:ascii="Arial" w:eastAsia="Times New Roman" w:hAnsi="Arial" w:cs="Arial"/>
          <w:color w:val="000000"/>
          <w:kern w:val="0"/>
          <w:sz w:val="27"/>
          <w:szCs w:val="27"/>
          <w:lang w:eastAsia="es-UY"/>
          <w14:ligatures w14:val="none"/>
        </w:rPr>
        <w:t>” que “</w:t>
      </w:r>
      <w:r w:rsidRPr="00163822">
        <w:rPr>
          <w:rFonts w:ascii="Arial" w:eastAsia="Times New Roman" w:hAnsi="Arial" w:cs="Arial"/>
          <w:i/>
          <w:iCs/>
          <w:color w:val="000000"/>
          <w:kern w:val="0"/>
          <w:sz w:val="27"/>
          <w:szCs w:val="27"/>
          <w:lang w:eastAsia="es-UY"/>
          <w14:ligatures w14:val="none"/>
        </w:rPr>
        <w:t>ya no existe</w:t>
      </w:r>
      <w:r w:rsidRPr="00163822">
        <w:rPr>
          <w:rFonts w:ascii="Arial" w:eastAsia="Times New Roman" w:hAnsi="Arial" w:cs="Arial"/>
          <w:color w:val="000000"/>
          <w:kern w:val="0"/>
          <w:sz w:val="27"/>
          <w:szCs w:val="27"/>
          <w:lang w:eastAsia="es-UY"/>
          <w14:ligatures w14:val="none"/>
        </w:rPr>
        <w:t>”. Siendo que el pueblo judío no es un pueblo marinero (como sí lo son los </w:t>
      </w:r>
      <w:hyperlink r:id="rId10" w:tgtFrame="_blank" w:history="1">
        <w:r w:rsidRPr="00163822">
          <w:rPr>
            <w:rFonts w:ascii="Arial" w:eastAsia="Times New Roman" w:hAnsi="Arial" w:cs="Arial"/>
            <w:color w:val="1155CC"/>
            <w:kern w:val="0"/>
            <w:sz w:val="27"/>
            <w:szCs w:val="27"/>
            <w:u w:val="single"/>
            <w:lang w:eastAsia="es-UY"/>
            <w14:ligatures w14:val="none"/>
          </w:rPr>
          <w:t>fenicios</w:t>
        </w:r>
      </w:hyperlink>
      <w:r w:rsidRPr="00163822">
        <w:rPr>
          <w:rFonts w:ascii="Arial" w:eastAsia="Times New Roman" w:hAnsi="Arial" w:cs="Arial"/>
          <w:color w:val="000000"/>
          <w:kern w:val="0"/>
          <w:sz w:val="27"/>
          <w:szCs w:val="27"/>
          <w:lang w:eastAsia="es-UY"/>
          <w14:ligatures w14:val="none"/>
        </w:rPr>
        <w:t>), el “mar” es visto como algo adverso, espacio del “mal” (</w:t>
      </w:r>
      <w:hyperlink r:id="rId11" w:tgtFrame="_blank" w:history="1">
        <w:r w:rsidRPr="00163822">
          <w:rPr>
            <w:rFonts w:ascii="Arial" w:eastAsia="Times New Roman" w:hAnsi="Arial" w:cs="Arial"/>
            <w:color w:val="1155CC"/>
            <w:kern w:val="0"/>
            <w:sz w:val="27"/>
            <w:szCs w:val="27"/>
            <w:u w:val="single"/>
            <w:lang w:eastAsia="es-UY"/>
            <w14:ligatures w14:val="none"/>
          </w:rPr>
          <w:t>Job</w:t>
        </w:r>
      </w:hyperlink>
      <w:r w:rsidRPr="00163822">
        <w:rPr>
          <w:rFonts w:ascii="Arial" w:eastAsia="Times New Roman" w:hAnsi="Arial" w:cs="Arial"/>
          <w:color w:val="000000"/>
          <w:kern w:val="0"/>
          <w:sz w:val="27"/>
          <w:szCs w:val="27"/>
          <w:lang w:eastAsia="es-UY"/>
          <w14:ligatures w14:val="none"/>
        </w:rPr>
        <w:t> 7,12; Is 27,1). Del mar surge la Bestia (13,1.6-7), y allí residen los muertos (20,13). Con la desaparición del mar desaparece, entonces, la muerte.</w:t>
      </w:r>
    </w:p>
    <w:p w14:paraId="03F07AD0"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BA43084"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w:t>
      </w:r>
      <w:r w:rsidRPr="00163822">
        <w:rPr>
          <w:rFonts w:ascii="Arial" w:eastAsia="Times New Roman" w:hAnsi="Arial" w:cs="Arial"/>
          <w:i/>
          <w:iCs/>
          <w:color w:val="000000"/>
          <w:kern w:val="0"/>
          <w:sz w:val="27"/>
          <w:szCs w:val="27"/>
          <w:lang w:eastAsia="es-UY"/>
          <w14:ligatures w14:val="none"/>
        </w:rPr>
        <w:t>Entonces se manifestará su reino sobre toda su creación, entonces el diablo tendrá su fin y la tristeza se alejará con él (…) El mar hasta el abismo se retirará, y las fuentes de las aguas cesarán y los ríos quedarán enteramente secos. Pues el Altísimo dios eterno se alzará solo, aparecerá para tomar venganza de las naciones y destruirá todos sus ídolos</w:t>
      </w:r>
      <w:r w:rsidRPr="00163822">
        <w:rPr>
          <w:rFonts w:ascii="Arial" w:eastAsia="Times New Roman" w:hAnsi="Arial" w:cs="Arial"/>
          <w:color w:val="000000"/>
          <w:kern w:val="0"/>
          <w:sz w:val="27"/>
          <w:szCs w:val="27"/>
          <w:lang w:eastAsia="es-UY"/>
          <w14:ligatures w14:val="none"/>
        </w:rPr>
        <w:t>» (Test. De Moisés 10,1-7)</w:t>
      </w:r>
    </w:p>
    <w:p w14:paraId="24E5FF36"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w:t>
      </w:r>
      <w:r w:rsidRPr="00163822">
        <w:rPr>
          <w:rFonts w:ascii="Arial" w:eastAsia="Times New Roman" w:hAnsi="Arial" w:cs="Arial"/>
          <w:i/>
          <w:iCs/>
          <w:color w:val="000000"/>
          <w:kern w:val="0"/>
          <w:sz w:val="27"/>
          <w:szCs w:val="27"/>
          <w:lang w:eastAsia="es-UY"/>
          <w14:ligatures w14:val="none"/>
        </w:rPr>
        <w:t>Mas cuando, a partir del cuarto año, brille la gran estrella, que, sola toda la tierra arrasará por causa de la honra que al principio concedieron al soberano Poseidón [dios del mar], llegará desde el cielo una estrella grande hasta el mar divino e incendiará el profundo mar, la propia Babilonia y la tierra de Italia, por la que perecieron numerosos santos y fieles hebreos y el pueblo verdadero</w:t>
      </w:r>
      <w:r w:rsidRPr="00163822">
        <w:rPr>
          <w:rFonts w:ascii="Arial" w:eastAsia="Times New Roman" w:hAnsi="Arial" w:cs="Arial"/>
          <w:color w:val="000000"/>
          <w:kern w:val="0"/>
          <w:sz w:val="27"/>
          <w:szCs w:val="27"/>
          <w:lang w:eastAsia="es-UY"/>
          <w14:ligatures w14:val="none"/>
        </w:rPr>
        <w:t>» (Oráculos Sibilinos V,155-161)</w:t>
      </w:r>
    </w:p>
    <w:p w14:paraId="267C8A7E" w14:textId="77777777" w:rsidR="00163822" w:rsidRPr="00163822" w:rsidRDefault="00163822" w:rsidP="00163822">
      <w:pPr>
        <w:shd w:val="clear" w:color="auto" w:fill="FFFFFF"/>
        <w:spacing w:before="100" w:beforeAutospacing="1" w:after="100" w:afterAutospacing="1" w:line="240" w:lineRule="auto"/>
        <w:rPr>
          <w:rFonts w:ascii="Times New Roman" w:eastAsia="Times New Roman" w:hAnsi="Times New Roman" w:cs="Times New Roman"/>
          <w:color w:val="000000"/>
          <w:kern w:val="0"/>
          <w:sz w:val="27"/>
          <w:szCs w:val="27"/>
          <w:lang w:eastAsia="es-UY"/>
          <w14:ligatures w14:val="none"/>
        </w:rPr>
      </w:pPr>
      <w:r w:rsidRPr="00163822">
        <w:rPr>
          <w:rFonts w:ascii="Times New Roman" w:eastAsia="Times New Roman" w:hAnsi="Times New Roman" w:cs="Times New Roman"/>
          <w:color w:val="000000"/>
          <w:kern w:val="0"/>
          <w:sz w:val="27"/>
          <w:szCs w:val="27"/>
          <w:lang w:eastAsia="es-UY"/>
          <w14:ligatures w14:val="none"/>
        </w:rPr>
        <w:t> </w:t>
      </w:r>
    </w:p>
    <w:p w14:paraId="12D9CF61"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La “</w:t>
      </w:r>
      <w:r w:rsidRPr="00163822">
        <w:rPr>
          <w:rFonts w:ascii="Arial" w:eastAsia="Times New Roman" w:hAnsi="Arial" w:cs="Arial"/>
          <w:i/>
          <w:iCs/>
          <w:color w:val="000000"/>
          <w:kern w:val="0"/>
          <w:sz w:val="27"/>
          <w:szCs w:val="27"/>
          <w:lang w:eastAsia="es-UY"/>
          <w14:ligatures w14:val="none"/>
        </w:rPr>
        <w:t>primera / vieja</w:t>
      </w:r>
      <w:r w:rsidRPr="00163822">
        <w:rPr>
          <w:rFonts w:ascii="Arial" w:eastAsia="Times New Roman" w:hAnsi="Arial" w:cs="Arial"/>
          <w:color w:val="000000"/>
          <w:kern w:val="0"/>
          <w:sz w:val="27"/>
          <w:szCs w:val="27"/>
          <w:lang w:eastAsia="es-UY"/>
          <w14:ligatures w14:val="none"/>
        </w:rPr>
        <w:t>” Jerusalén es “</w:t>
      </w:r>
      <w:r w:rsidRPr="00163822">
        <w:rPr>
          <w:rFonts w:ascii="Arial" w:eastAsia="Times New Roman" w:hAnsi="Arial" w:cs="Arial"/>
          <w:i/>
          <w:iCs/>
          <w:color w:val="000000"/>
          <w:kern w:val="0"/>
          <w:sz w:val="27"/>
          <w:szCs w:val="27"/>
          <w:lang w:eastAsia="es-UY"/>
          <w14:ligatures w14:val="none"/>
        </w:rPr>
        <w:t>allí donde su Señor fue crucificado</w:t>
      </w:r>
      <w:r w:rsidRPr="00163822">
        <w:rPr>
          <w:rFonts w:ascii="Arial" w:eastAsia="Times New Roman" w:hAnsi="Arial" w:cs="Arial"/>
          <w:color w:val="000000"/>
          <w:kern w:val="0"/>
          <w:sz w:val="27"/>
          <w:szCs w:val="27"/>
          <w:lang w:eastAsia="es-UY"/>
          <w14:ligatures w14:val="none"/>
        </w:rPr>
        <w:t>” y recibe también los nombres simbólicos de “</w:t>
      </w:r>
      <w:r w:rsidRPr="00163822">
        <w:rPr>
          <w:rFonts w:ascii="Arial" w:eastAsia="Times New Roman" w:hAnsi="Arial" w:cs="Arial"/>
          <w:i/>
          <w:iCs/>
          <w:color w:val="000000"/>
          <w:kern w:val="0"/>
          <w:sz w:val="27"/>
          <w:szCs w:val="27"/>
          <w:lang w:eastAsia="es-UY"/>
          <w14:ligatures w14:val="none"/>
        </w:rPr>
        <w:t>Sodoma o Egipto</w:t>
      </w:r>
      <w:r w:rsidRPr="00163822">
        <w:rPr>
          <w:rFonts w:ascii="Arial" w:eastAsia="Times New Roman" w:hAnsi="Arial" w:cs="Arial"/>
          <w:color w:val="000000"/>
          <w:kern w:val="0"/>
          <w:sz w:val="27"/>
          <w:szCs w:val="27"/>
          <w:lang w:eastAsia="es-UY"/>
          <w14:ligatures w14:val="none"/>
        </w:rPr>
        <w:t>” (11,8); esta Jerusalén es “</w:t>
      </w:r>
      <w:r w:rsidRPr="00163822">
        <w:rPr>
          <w:rFonts w:ascii="Arial" w:eastAsia="Times New Roman" w:hAnsi="Arial" w:cs="Arial"/>
          <w:i/>
          <w:iCs/>
          <w:color w:val="000000"/>
          <w:kern w:val="0"/>
          <w:sz w:val="27"/>
          <w:szCs w:val="27"/>
          <w:lang w:eastAsia="es-UY"/>
          <w14:ligatures w14:val="none"/>
        </w:rPr>
        <w:t>nueva</w:t>
      </w:r>
      <w:r w:rsidRPr="00163822">
        <w:rPr>
          <w:rFonts w:ascii="Arial" w:eastAsia="Times New Roman" w:hAnsi="Arial" w:cs="Arial"/>
          <w:color w:val="000000"/>
          <w:kern w:val="0"/>
          <w:sz w:val="27"/>
          <w:szCs w:val="27"/>
          <w:lang w:eastAsia="es-UY"/>
          <w14:ligatures w14:val="none"/>
        </w:rPr>
        <w:t xml:space="preserve">” por el acto (re)creador de Dios, y por eso desciende del cielo. Muchos textos bíblicos y parabíblicos aluden a la “Nueva Jerusalén” – con frecuencia ligada al Edén –, aunque ninguno </w:t>
      </w:r>
      <w:r w:rsidRPr="00163822">
        <w:rPr>
          <w:rFonts w:ascii="Arial" w:eastAsia="Times New Roman" w:hAnsi="Arial" w:cs="Arial"/>
          <w:color w:val="000000"/>
          <w:kern w:val="0"/>
          <w:sz w:val="27"/>
          <w:szCs w:val="27"/>
          <w:lang w:eastAsia="es-UY"/>
          <w14:ligatures w14:val="none"/>
        </w:rPr>
        <w:lastRenderedPageBreak/>
        <w:t>la describe. Claro que – además – hay que tener presentes que numerosos apocalipsis, tanto judíos como cristianos, como el de “Juan” se escriben cuando Jerusalén ya ha sido destruida por los romanos, por lo que una “</w:t>
      </w:r>
      <w:r w:rsidRPr="00163822">
        <w:rPr>
          <w:rFonts w:ascii="Arial" w:eastAsia="Times New Roman" w:hAnsi="Arial" w:cs="Arial"/>
          <w:i/>
          <w:iCs/>
          <w:color w:val="000000"/>
          <w:kern w:val="0"/>
          <w:sz w:val="27"/>
          <w:szCs w:val="27"/>
          <w:lang w:eastAsia="es-UY"/>
          <w14:ligatures w14:val="none"/>
        </w:rPr>
        <w:t>nueva</w:t>
      </w:r>
      <w:r w:rsidRPr="00163822">
        <w:rPr>
          <w:rFonts w:ascii="Arial" w:eastAsia="Times New Roman" w:hAnsi="Arial" w:cs="Arial"/>
          <w:color w:val="000000"/>
          <w:kern w:val="0"/>
          <w:sz w:val="27"/>
          <w:szCs w:val="27"/>
          <w:lang w:eastAsia="es-UY"/>
          <w14:ligatures w14:val="none"/>
        </w:rPr>
        <w:t>” resulta algo razonable. “</w:t>
      </w:r>
      <w:r w:rsidRPr="00163822">
        <w:rPr>
          <w:rFonts w:ascii="Arial" w:eastAsia="Times New Roman" w:hAnsi="Arial" w:cs="Arial"/>
          <w:i/>
          <w:iCs/>
          <w:color w:val="000000"/>
          <w:kern w:val="0"/>
          <w:sz w:val="27"/>
          <w:szCs w:val="27"/>
          <w:lang w:eastAsia="es-UY"/>
          <w14:ligatures w14:val="none"/>
        </w:rPr>
        <w:t>Nueva</w:t>
      </w:r>
      <w:r w:rsidRPr="00163822">
        <w:rPr>
          <w:rFonts w:ascii="Arial" w:eastAsia="Times New Roman" w:hAnsi="Arial" w:cs="Arial"/>
          <w:color w:val="000000"/>
          <w:kern w:val="0"/>
          <w:sz w:val="27"/>
          <w:szCs w:val="27"/>
          <w:lang w:eastAsia="es-UY"/>
          <w14:ligatures w14:val="none"/>
        </w:rPr>
        <w:t>” ciertamente dada por Dios, o – en este caso – proveniente “de [</w:t>
      </w:r>
      <w:r w:rsidRPr="00163822">
        <w:rPr>
          <w:rFonts w:ascii="Arial" w:eastAsia="Times New Roman" w:hAnsi="Arial" w:cs="Arial"/>
          <w:i/>
          <w:iCs/>
          <w:color w:val="000000"/>
          <w:kern w:val="0"/>
          <w:sz w:val="27"/>
          <w:szCs w:val="27"/>
          <w:lang w:eastAsia="es-UY"/>
          <w14:ligatures w14:val="none"/>
        </w:rPr>
        <w:t>apò</w:t>
      </w:r>
      <w:r w:rsidRPr="00163822">
        <w:rPr>
          <w:rFonts w:ascii="Arial" w:eastAsia="Times New Roman" w:hAnsi="Arial" w:cs="Arial"/>
          <w:color w:val="000000"/>
          <w:kern w:val="0"/>
          <w:sz w:val="27"/>
          <w:szCs w:val="27"/>
          <w:lang w:eastAsia="es-UY"/>
          <w14:ligatures w14:val="none"/>
        </w:rPr>
        <w:t>] Dios” y “desde [</w:t>
      </w:r>
      <w:r w:rsidRPr="00163822">
        <w:rPr>
          <w:rFonts w:ascii="Arial" w:eastAsia="Times New Roman" w:hAnsi="Arial" w:cs="Arial"/>
          <w:i/>
          <w:iCs/>
          <w:color w:val="000000"/>
          <w:kern w:val="0"/>
          <w:sz w:val="27"/>
          <w:szCs w:val="27"/>
          <w:lang w:eastAsia="es-UY"/>
          <w14:ligatures w14:val="none"/>
        </w:rPr>
        <w:t>ek</w:t>
      </w:r>
      <w:r w:rsidRPr="00163822">
        <w:rPr>
          <w:rFonts w:ascii="Arial" w:eastAsia="Times New Roman" w:hAnsi="Arial" w:cs="Arial"/>
          <w:color w:val="000000"/>
          <w:kern w:val="0"/>
          <w:sz w:val="27"/>
          <w:szCs w:val="27"/>
          <w:lang w:eastAsia="es-UY"/>
          <w14:ligatures w14:val="none"/>
        </w:rPr>
        <w:t>] el cielo”, es decir, la morada de Dios.</w:t>
      </w:r>
    </w:p>
    <w:p w14:paraId="48F57A47"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C60DEEC"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La </w:t>
      </w:r>
      <w:r w:rsidRPr="00163822">
        <w:rPr>
          <w:rFonts w:ascii="Arial" w:eastAsia="Times New Roman" w:hAnsi="Arial" w:cs="Arial"/>
          <w:i/>
          <w:iCs/>
          <w:color w:val="000000"/>
          <w:kern w:val="0"/>
          <w:sz w:val="27"/>
          <w:szCs w:val="27"/>
          <w:lang w:eastAsia="es-UY"/>
          <w14:ligatures w14:val="none"/>
        </w:rPr>
        <w:t>voz</w:t>
      </w:r>
      <w:r w:rsidRPr="00163822">
        <w:rPr>
          <w:rFonts w:ascii="Arial" w:eastAsia="Times New Roman" w:hAnsi="Arial" w:cs="Arial"/>
          <w:color w:val="000000"/>
          <w:kern w:val="0"/>
          <w:sz w:val="27"/>
          <w:szCs w:val="27"/>
          <w:lang w:eastAsia="es-UY"/>
          <w14:ligatures w14:val="none"/>
        </w:rPr>
        <w:t> que se escucha ha de ser del ángel que habla con frecuencia en Apocalipsis (14,18, 17,7; 21,9; 22,6) y habla de la íntima presencia de Dios (v.3) y de la ausencia de todo lo que provoque infelicidad (v.4). Es “</w:t>
      </w:r>
      <w:r w:rsidRPr="00163822">
        <w:rPr>
          <w:rFonts w:ascii="Arial" w:eastAsia="Times New Roman" w:hAnsi="Arial" w:cs="Arial"/>
          <w:i/>
          <w:iCs/>
          <w:color w:val="000000"/>
          <w:kern w:val="0"/>
          <w:sz w:val="27"/>
          <w:szCs w:val="27"/>
          <w:lang w:eastAsia="es-UY"/>
          <w14:ligatures w14:val="none"/>
        </w:rPr>
        <w:t>su carpa… acampará</w:t>
      </w:r>
      <w:r w:rsidRPr="00163822">
        <w:rPr>
          <w:rFonts w:ascii="Arial" w:eastAsia="Times New Roman" w:hAnsi="Arial" w:cs="Arial"/>
          <w:color w:val="000000"/>
          <w:kern w:val="0"/>
          <w:sz w:val="27"/>
          <w:szCs w:val="27"/>
          <w:lang w:eastAsia="es-UY"/>
          <w14:ligatures w14:val="none"/>
        </w:rPr>
        <w:t>” alude a la fiesta judía de las “tiendas” (cf. Zac 14,16), las esperanzas escatológicas del pueblo alcanzan su realización., pero esta “carpa” será duradera, no transitoria.</w:t>
      </w:r>
    </w:p>
    <w:p w14:paraId="7B54B123"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B1C8EC3"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La fórmula “</w:t>
      </w:r>
      <w:r w:rsidRPr="00163822">
        <w:rPr>
          <w:rFonts w:ascii="Arial" w:eastAsia="Times New Roman" w:hAnsi="Arial" w:cs="Arial"/>
          <w:i/>
          <w:iCs/>
          <w:color w:val="000000"/>
          <w:kern w:val="0"/>
          <w:sz w:val="27"/>
          <w:szCs w:val="27"/>
          <w:lang w:eastAsia="es-UY"/>
          <w14:ligatures w14:val="none"/>
        </w:rPr>
        <w:t>serán su pueblo”… “será su Dios</w:t>
      </w:r>
      <w:r w:rsidRPr="00163822">
        <w:rPr>
          <w:rFonts w:ascii="Arial" w:eastAsia="Times New Roman" w:hAnsi="Arial" w:cs="Arial"/>
          <w:color w:val="000000"/>
          <w:kern w:val="0"/>
          <w:sz w:val="27"/>
          <w:szCs w:val="27"/>
          <w:lang w:eastAsia="es-UY"/>
          <w14:ligatures w14:val="none"/>
        </w:rPr>
        <w:t>” es la fórmula de la alianza (Ex 6,7, Lev 26,12; Jer 30,22; Ez 14,11; Zac 8,8; cf. Rut 1,16; Os 2,25) aunque Apocalipsis dirá “</w:t>
      </w:r>
      <w:r w:rsidRPr="00163822">
        <w:rPr>
          <w:rFonts w:ascii="Arial" w:eastAsia="Times New Roman" w:hAnsi="Arial" w:cs="Arial"/>
          <w:i/>
          <w:iCs/>
          <w:color w:val="000000"/>
          <w:kern w:val="0"/>
          <w:sz w:val="27"/>
          <w:szCs w:val="27"/>
          <w:lang w:eastAsia="es-UY"/>
          <w14:ligatures w14:val="none"/>
        </w:rPr>
        <w:t>serán sus pueblos</w:t>
      </w:r>
      <w:r w:rsidRPr="00163822">
        <w:rPr>
          <w:rFonts w:ascii="Arial" w:eastAsia="Times New Roman" w:hAnsi="Arial" w:cs="Arial"/>
          <w:color w:val="000000"/>
          <w:kern w:val="0"/>
          <w:sz w:val="27"/>
          <w:szCs w:val="27"/>
          <w:lang w:eastAsia="es-UY"/>
          <w14:ligatures w14:val="none"/>
        </w:rPr>
        <w:t>” (plural)  con lo que la apertura se vuelve ecuménica, “todas las naciones”. Y “</w:t>
      </w:r>
      <w:r w:rsidRPr="00163822">
        <w:rPr>
          <w:rFonts w:ascii="Arial" w:eastAsia="Times New Roman" w:hAnsi="Arial" w:cs="Arial"/>
          <w:i/>
          <w:iCs/>
          <w:color w:val="000000"/>
          <w:kern w:val="0"/>
          <w:sz w:val="27"/>
          <w:szCs w:val="27"/>
          <w:lang w:eastAsia="es-UY"/>
          <w14:ligatures w14:val="none"/>
        </w:rPr>
        <w:t>el Dios con ellos</w:t>
      </w:r>
      <w:r w:rsidRPr="00163822">
        <w:rPr>
          <w:rFonts w:ascii="Arial" w:eastAsia="Times New Roman" w:hAnsi="Arial" w:cs="Arial"/>
          <w:color w:val="000000"/>
          <w:kern w:val="0"/>
          <w:sz w:val="27"/>
          <w:szCs w:val="27"/>
          <w:lang w:eastAsia="es-UY"/>
          <w14:ligatures w14:val="none"/>
        </w:rPr>
        <w:t>” será su Dios. “</w:t>
      </w:r>
      <w:r w:rsidRPr="00163822">
        <w:rPr>
          <w:rFonts w:ascii="Arial" w:eastAsia="Times New Roman" w:hAnsi="Arial" w:cs="Arial"/>
          <w:i/>
          <w:iCs/>
          <w:color w:val="000000"/>
          <w:kern w:val="0"/>
          <w:sz w:val="27"/>
          <w:szCs w:val="27"/>
          <w:lang w:eastAsia="es-UY"/>
          <w14:ligatures w14:val="none"/>
        </w:rPr>
        <w:t>Ellos</w:t>
      </w:r>
      <w:r w:rsidRPr="00163822">
        <w:rPr>
          <w:rFonts w:ascii="Arial" w:eastAsia="Times New Roman" w:hAnsi="Arial" w:cs="Arial"/>
          <w:color w:val="000000"/>
          <w:kern w:val="0"/>
          <w:sz w:val="27"/>
          <w:szCs w:val="27"/>
          <w:lang w:eastAsia="es-UY"/>
          <w14:ligatures w14:val="none"/>
        </w:rPr>
        <w:t>” alude a “</w:t>
      </w:r>
      <w:r w:rsidRPr="00163822">
        <w:rPr>
          <w:rFonts w:ascii="Arial" w:eastAsia="Times New Roman" w:hAnsi="Arial" w:cs="Arial"/>
          <w:i/>
          <w:iCs/>
          <w:color w:val="000000"/>
          <w:kern w:val="0"/>
          <w:sz w:val="27"/>
          <w:szCs w:val="27"/>
          <w:lang w:eastAsia="es-UY"/>
          <w14:ligatures w14:val="none"/>
        </w:rPr>
        <w:t>los pueblos</w:t>
      </w:r>
      <w:r w:rsidRPr="00163822">
        <w:rPr>
          <w:rFonts w:ascii="Arial" w:eastAsia="Times New Roman" w:hAnsi="Arial" w:cs="Arial"/>
          <w:color w:val="000000"/>
          <w:kern w:val="0"/>
          <w:sz w:val="27"/>
          <w:szCs w:val="27"/>
          <w:lang w:eastAsia="es-UY"/>
          <w14:ligatures w14:val="none"/>
        </w:rPr>
        <w:t>”, y a su vez al “Dios con nosotros” de Is 7,14 resaltando la intimidad, la familiaridad de Dios en la Nueva Jerusalén.</w:t>
      </w:r>
    </w:p>
    <w:p w14:paraId="119DC335"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C567F2D"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Nuevamente Isaías sirve de fuente al afirmar que “enjugará toda lágrima” [“toda” es agregado de Apocalipsis a Isaías] en el banquete que Dios celebrará [</w:t>
      </w:r>
      <w:r w:rsidRPr="00163822">
        <w:rPr>
          <w:rFonts w:ascii="Arial" w:eastAsia="Times New Roman" w:hAnsi="Arial" w:cs="Arial"/>
          <w:i/>
          <w:iCs/>
          <w:color w:val="000000"/>
          <w:kern w:val="0"/>
          <w:sz w:val="27"/>
          <w:szCs w:val="27"/>
          <w:lang w:eastAsia="es-UY"/>
          <w14:ligatures w14:val="none"/>
        </w:rPr>
        <w:t>ver lo dicho sobre este texto de Isaías el domingo 28 “A”</w:t>
      </w:r>
      <w:r w:rsidRPr="00163822">
        <w:rPr>
          <w:rFonts w:ascii="Arial" w:eastAsia="Times New Roman" w:hAnsi="Arial" w:cs="Arial"/>
          <w:color w:val="000000"/>
          <w:kern w:val="0"/>
          <w:sz w:val="27"/>
          <w:szCs w:val="27"/>
          <w:lang w:eastAsia="es-UY"/>
          <w14:ligatures w14:val="none"/>
        </w:rPr>
        <w:t>]. Todo lo negativo, antes simbolizado en el “</w:t>
      </w:r>
      <w:r w:rsidRPr="00163822">
        <w:rPr>
          <w:rFonts w:ascii="Arial" w:eastAsia="Times New Roman" w:hAnsi="Arial" w:cs="Arial"/>
          <w:i/>
          <w:iCs/>
          <w:color w:val="000000"/>
          <w:kern w:val="0"/>
          <w:sz w:val="27"/>
          <w:szCs w:val="27"/>
          <w:lang w:eastAsia="es-UY"/>
          <w14:ligatures w14:val="none"/>
        </w:rPr>
        <w:t>mar</w:t>
      </w:r>
      <w:r w:rsidRPr="00163822">
        <w:rPr>
          <w:rFonts w:ascii="Arial" w:eastAsia="Times New Roman" w:hAnsi="Arial" w:cs="Arial"/>
          <w:color w:val="000000"/>
          <w:kern w:val="0"/>
          <w:sz w:val="27"/>
          <w:szCs w:val="27"/>
          <w:lang w:eastAsia="es-UY"/>
          <w14:ligatures w14:val="none"/>
        </w:rPr>
        <w:t>” es especificado y se destaca que no existirá más: “</w:t>
      </w:r>
      <w:r w:rsidRPr="00163822">
        <w:rPr>
          <w:rFonts w:ascii="Arial" w:eastAsia="Times New Roman" w:hAnsi="Arial" w:cs="Arial"/>
          <w:i/>
          <w:iCs/>
          <w:color w:val="000000"/>
          <w:kern w:val="0"/>
          <w:sz w:val="27"/>
          <w:szCs w:val="27"/>
          <w:lang w:eastAsia="es-UY"/>
          <w14:ligatures w14:val="none"/>
        </w:rPr>
        <w:t>toda lágrima</w:t>
      </w:r>
      <w:r w:rsidRPr="00163822">
        <w:rPr>
          <w:rFonts w:ascii="Arial" w:eastAsia="Times New Roman" w:hAnsi="Arial" w:cs="Arial"/>
          <w:color w:val="000000"/>
          <w:kern w:val="0"/>
          <w:sz w:val="27"/>
          <w:szCs w:val="27"/>
          <w:lang w:eastAsia="es-UY"/>
          <w14:ligatures w14:val="none"/>
        </w:rPr>
        <w:t>” y – puesto que “</w:t>
      </w:r>
      <w:r w:rsidRPr="00163822">
        <w:rPr>
          <w:rFonts w:ascii="Arial" w:eastAsia="Times New Roman" w:hAnsi="Arial" w:cs="Arial"/>
          <w:i/>
          <w:iCs/>
          <w:color w:val="000000"/>
          <w:kern w:val="0"/>
          <w:sz w:val="27"/>
          <w:szCs w:val="27"/>
          <w:lang w:eastAsia="es-UY"/>
          <w14:ligatures w14:val="none"/>
        </w:rPr>
        <w:t>el mundo primero</w:t>
      </w:r>
      <w:r w:rsidRPr="00163822">
        <w:rPr>
          <w:rFonts w:ascii="Arial" w:eastAsia="Times New Roman" w:hAnsi="Arial" w:cs="Arial"/>
          <w:color w:val="000000"/>
          <w:kern w:val="0"/>
          <w:sz w:val="27"/>
          <w:szCs w:val="27"/>
          <w:lang w:eastAsia="es-UY"/>
          <w14:ligatures w14:val="none"/>
        </w:rPr>
        <w:t>” ha pasado, ya no habrá “</w:t>
      </w:r>
      <w:r w:rsidRPr="00163822">
        <w:rPr>
          <w:rFonts w:ascii="Arial" w:eastAsia="Times New Roman" w:hAnsi="Arial" w:cs="Arial"/>
          <w:i/>
          <w:iCs/>
          <w:color w:val="000000"/>
          <w:kern w:val="0"/>
          <w:sz w:val="27"/>
          <w:szCs w:val="27"/>
          <w:lang w:eastAsia="es-UY"/>
          <w14:ligatures w14:val="none"/>
        </w:rPr>
        <w:t>ni llantos, ni gritos ni fatigas</w:t>
      </w:r>
      <w:r w:rsidRPr="00163822">
        <w:rPr>
          <w:rFonts w:ascii="Arial" w:eastAsia="Times New Roman" w:hAnsi="Arial" w:cs="Arial"/>
          <w:color w:val="000000"/>
          <w:kern w:val="0"/>
          <w:sz w:val="27"/>
          <w:szCs w:val="27"/>
          <w:lang w:eastAsia="es-UY"/>
          <w14:ligatures w14:val="none"/>
        </w:rPr>
        <w:t>”, en suma: “</w:t>
      </w:r>
      <w:r w:rsidRPr="00163822">
        <w:rPr>
          <w:rFonts w:ascii="Arial" w:eastAsia="Times New Roman" w:hAnsi="Arial" w:cs="Arial"/>
          <w:i/>
          <w:iCs/>
          <w:color w:val="000000"/>
          <w:kern w:val="0"/>
          <w:sz w:val="27"/>
          <w:szCs w:val="27"/>
          <w:lang w:eastAsia="es-UY"/>
          <w14:ligatures w14:val="none"/>
        </w:rPr>
        <w:t>no habrá muerte</w:t>
      </w:r>
      <w:r w:rsidRPr="00163822">
        <w:rPr>
          <w:rFonts w:ascii="Arial" w:eastAsia="Times New Roman" w:hAnsi="Arial" w:cs="Arial"/>
          <w:color w:val="000000"/>
          <w:kern w:val="0"/>
          <w:sz w:val="27"/>
          <w:szCs w:val="27"/>
          <w:lang w:eastAsia="es-UY"/>
          <w14:ligatures w14:val="none"/>
        </w:rPr>
        <w:t>” (v.4). Todo lo desencadenado en la apertura de los 2º, 3</w:t>
      </w:r>
      <w:r w:rsidRPr="00163822">
        <w:rPr>
          <w:rFonts w:ascii="Arial" w:eastAsia="Times New Roman" w:hAnsi="Arial" w:cs="Arial"/>
          <w:color w:val="000000"/>
          <w:kern w:val="0"/>
          <w:sz w:val="27"/>
          <w:szCs w:val="27"/>
          <w:vertAlign w:val="superscript"/>
          <w:lang w:eastAsia="es-UY"/>
          <w14:ligatures w14:val="none"/>
        </w:rPr>
        <w:t>er</w:t>
      </w:r>
      <w:r w:rsidRPr="00163822">
        <w:rPr>
          <w:rFonts w:ascii="Arial" w:eastAsia="Times New Roman" w:hAnsi="Arial" w:cs="Arial"/>
          <w:color w:val="000000"/>
          <w:kern w:val="0"/>
          <w:sz w:val="27"/>
          <w:szCs w:val="27"/>
          <w:lang w:eastAsia="es-UY"/>
          <w14:ligatures w14:val="none"/>
        </w:rPr>
        <w:t> y 4º sello: la violencia, la injusticia social y la muerte (Ap 6,3-8) es eliminado y “ya no hay”. Es todo lo contrario de aquello que Babilonia (= Roma) provoca. (18,9.11.19).</w:t>
      </w:r>
    </w:p>
    <w:p w14:paraId="4D59C0A8"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740C8AC"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A partir del v.5 irrumpe la voz de Dios (“el que está sentado en el trono”, ya no el ángel). Y esta voz garantiza a quien resulte “vencedor” un triple premio: el agua viva, la herencia y la filiación (vv.6-7) mientras que serán “desheredados” los que tengan una vida culpable (v.8, texto omitido en la liturgia).</w:t>
      </w:r>
    </w:p>
    <w:p w14:paraId="5B5F2794"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C7E4256"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 xml:space="preserve">La referencia a que Dios hace “nuevas todas las cosas” alude al acto creador (cf. 3,14; 4,11; 15,3; 19,6) y vuelve a ser referencia a Isaías (43,19) pero – nuevamente – no se trata de “algo nuevo” sino de “todas las cosas”. La “garantía” divina y la confirmación de su realización, “hecho está” (v.5b-6a) se encuentran omitidas en el texto litúrgico. La alusión al “Alfa y la Omega”, la primera y la última letra del alfabeto </w:t>
      </w:r>
      <w:r w:rsidRPr="00163822">
        <w:rPr>
          <w:rFonts w:ascii="Arial" w:eastAsia="Times New Roman" w:hAnsi="Arial" w:cs="Arial"/>
          <w:color w:val="000000"/>
          <w:kern w:val="0"/>
          <w:sz w:val="27"/>
          <w:szCs w:val="27"/>
          <w:lang w:eastAsia="es-UY"/>
          <w14:ligatures w14:val="none"/>
        </w:rPr>
        <w:lastRenderedPageBreak/>
        <w:t>griego constituyen un nuevo “merismo”, y alude a la totalidad también reflejada en el “Principio y el fin” (veris 44,6; 48,12) cosa que Ap dice de Dios (1,8) y de Cristo (22,13) [es muy común en Apocalipsis aplicar a Cristo cosas que antes se han dicho de Dios] alude a la plenitud de la historia. </w:t>
      </w:r>
    </w:p>
    <w:p w14:paraId="42C3DAD2"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EAE949C"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Lo que este Dios promete nuevamente es anunciado por Isaías: “gratis el agua de vida” (55,1) [</w:t>
      </w:r>
      <w:r w:rsidRPr="00163822">
        <w:rPr>
          <w:rFonts w:ascii="Arial" w:eastAsia="Times New Roman" w:hAnsi="Arial" w:cs="Arial"/>
          <w:i/>
          <w:iCs/>
          <w:color w:val="000000"/>
          <w:kern w:val="0"/>
          <w:sz w:val="27"/>
          <w:szCs w:val="27"/>
          <w:lang w:eastAsia="es-UY"/>
          <w14:ligatures w14:val="none"/>
        </w:rPr>
        <w:t>ver en este blog comentario a este texto de Isaías el domingo 18A</w:t>
      </w:r>
      <w:r w:rsidRPr="00163822">
        <w:rPr>
          <w:rFonts w:ascii="Arial" w:eastAsia="Times New Roman" w:hAnsi="Arial" w:cs="Arial"/>
          <w:color w:val="000000"/>
          <w:kern w:val="0"/>
          <w:sz w:val="27"/>
          <w:szCs w:val="27"/>
          <w:lang w:eastAsia="es-UY"/>
          <w14:ligatures w14:val="none"/>
        </w:rPr>
        <w:t>]. Apocalipsis añade a Isaías señalando que esta agua es “viva”.</w:t>
      </w:r>
    </w:p>
    <w:p w14:paraId="3A881B36"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288A7E2"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El vencedor “</w:t>
      </w:r>
      <w:r w:rsidRPr="00163822">
        <w:rPr>
          <w:rFonts w:ascii="Arial" w:eastAsia="Times New Roman" w:hAnsi="Arial" w:cs="Arial"/>
          <w:i/>
          <w:iCs/>
          <w:color w:val="000000"/>
          <w:kern w:val="0"/>
          <w:sz w:val="27"/>
          <w:szCs w:val="27"/>
          <w:lang w:eastAsia="es-UY"/>
          <w14:ligatures w14:val="none"/>
        </w:rPr>
        <w:t>heredará</w:t>
      </w:r>
      <w:r w:rsidRPr="00163822">
        <w:rPr>
          <w:rFonts w:ascii="Arial" w:eastAsia="Times New Roman" w:hAnsi="Arial" w:cs="Arial"/>
          <w:color w:val="000000"/>
          <w:kern w:val="0"/>
          <w:sz w:val="27"/>
          <w:szCs w:val="27"/>
          <w:lang w:eastAsia="es-UY"/>
          <w14:ligatures w14:val="none"/>
        </w:rPr>
        <w:t>”, pero esto que recibirá no es “pago”, sino “</w:t>
      </w:r>
      <w:r w:rsidRPr="00163822">
        <w:rPr>
          <w:rFonts w:ascii="Arial" w:eastAsia="Times New Roman" w:hAnsi="Arial" w:cs="Arial"/>
          <w:i/>
          <w:iCs/>
          <w:color w:val="000000"/>
          <w:kern w:val="0"/>
          <w:sz w:val="27"/>
          <w:szCs w:val="27"/>
          <w:lang w:eastAsia="es-UY"/>
          <w14:ligatures w14:val="none"/>
        </w:rPr>
        <w:t>don gratuito</w:t>
      </w:r>
      <w:r w:rsidRPr="00163822">
        <w:rPr>
          <w:rFonts w:ascii="Arial" w:eastAsia="Times New Roman" w:hAnsi="Arial" w:cs="Arial"/>
          <w:color w:val="000000"/>
          <w:kern w:val="0"/>
          <w:sz w:val="27"/>
          <w:szCs w:val="27"/>
          <w:lang w:eastAsia="es-UY"/>
          <w14:ligatures w14:val="none"/>
        </w:rPr>
        <w:t>”. La herencia alude a 2 Sam 7,14 [de donde tiene su origen la tradición de la esperanza en un mesías rey] pero no se refiere, como allí, al descendiente de David sino “</w:t>
      </w:r>
      <w:r w:rsidRPr="00163822">
        <w:rPr>
          <w:rFonts w:ascii="Arial" w:eastAsia="Times New Roman" w:hAnsi="Arial" w:cs="Arial"/>
          <w:i/>
          <w:iCs/>
          <w:color w:val="000000"/>
          <w:kern w:val="0"/>
          <w:sz w:val="27"/>
          <w:szCs w:val="27"/>
          <w:lang w:eastAsia="es-UY"/>
          <w14:ligatures w14:val="none"/>
        </w:rPr>
        <w:t>al vencedor</w:t>
      </w:r>
      <w:r w:rsidRPr="00163822">
        <w:rPr>
          <w:rFonts w:ascii="Arial" w:eastAsia="Times New Roman" w:hAnsi="Arial" w:cs="Arial"/>
          <w:color w:val="000000"/>
          <w:kern w:val="0"/>
          <w:sz w:val="27"/>
          <w:szCs w:val="27"/>
          <w:lang w:eastAsia="es-UY"/>
          <w14:ligatures w14:val="none"/>
        </w:rPr>
        <w:t>”, por lo que alude a un “</w:t>
      </w:r>
      <w:r w:rsidRPr="00163822">
        <w:rPr>
          <w:rFonts w:ascii="Arial" w:eastAsia="Times New Roman" w:hAnsi="Arial" w:cs="Arial"/>
          <w:i/>
          <w:iCs/>
          <w:color w:val="000000"/>
          <w:kern w:val="0"/>
          <w:sz w:val="27"/>
          <w:szCs w:val="27"/>
          <w:lang w:eastAsia="es-UY"/>
          <w14:ligatures w14:val="none"/>
        </w:rPr>
        <w:t>pueblo</w:t>
      </w:r>
      <w:r w:rsidRPr="00163822">
        <w:rPr>
          <w:rFonts w:ascii="Arial" w:eastAsia="Times New Roman" w:hAnsi="Arial" w:cs="Arial"/>
          <w:color w:val="000000"/>
          <w:kern w:val="0"/>
          <w:sz w:val="27"/>
          <w:szCs w:val="27"/>
          <w:lang w:eastAsia="es-UY"/>
          <w14:ligatures w14:val="none"/>
        </w:rPr>
        <w:t>” – los santos - que será mesiánico (semejante, en esto a 2 Cor 6,18). </w:t>
      </w:r>
    </w:p>
    <w:p w14:paraId="1F9D4499"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F5D5D99"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Una nota conclusiva sobre “</w:t>
      </w:r>
      <w:r w:rsidRPr="00163822">
        <w:rPr>
          <w:rFonts w:ascii="Arial" w:eastAsia="Times New Roman" w:hAnsi="Arial" w:cs="Arial"/>
          <w:i/>
          <w:iCs/>
          <w:color w:val="000000"/>
          <w:kern w:val="0"/>
          <w:sz w:val="27"/>
          <w:szCs w:val="27"/>
          <w:lang w:eastAsia="es-UY"/>
          <w14:ligatures w14:val="none"/>
        </w:rPr>
        <w:t>el vencedor</w:t>
      </w:r>
      <w:r w:rsidRPr="00163822">
        <w:rPr>
          <w:rFonts w:ascii="Arial" w:eastAsia="Times New Roman" w:hAnsi="Arial" w:cs="Arial"/>
          <w:color w:val="000000"/>
          <w:kern w:val="0"/>
          <w:sz w:val="27"/>
          <w:szCs w:val="27"/>
          <w:lang w:eastAsia="es-UY"/>
          <w14:ligatures w14:val="none"/>
        </w:rPr>
        <w:t>”. El término es muy frecuente en Apocalipsis. En las 7 cartas a las 7 Iglesias se finaliza con una promesa al “vencedor” (2,7.11.17.26; 3,5.12.21). Pero a su vez, la Bestia “vencerá” a los testigos de Jesús (11,7), “vencerá” a los santos (13,7), pero – a su vez – “el león de la tribu de Judá (= Jesús) ha vencido” (5,5) ya que unido a “los suyos”, el Cordero “vencerá” a “la Bestia” (17,14) y cantan el canto de los “vencedores” a la Bestia (15,2) ya que el resucitado “salió como vencedor para seguir venciendo” (6,2). Los que junto a Cristo “vencen” lo hacen “gracias a la sangre del Cordero y a la palabra de testimonio que dieron, porque despreciaron su vida ante la muerte” (12:11). El contexto martirial del Apocalipsis explica esta aparente contradicción entre el triunfo de la Bestia y el triunfo del Cordero. Como Jesús, los suyos serán “vencidos”, se les quitará la vida [en ambos casos, el imperio romano], su sangre será derramada; pero la resurrección de Jesús y de los suyos marca el triunfo definitivo (lo contrario de la “muerte segunda”, cf. 2,11, 20,6.14; 21,8).</w:t>
      </w:r>
    </w:p>
    <w:p w14:paraId="6BDCA360"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A749031"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 </w:t>
      </w:r>
    </w:p>
    <w:p w14:paraId="34CC5416"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b/>
          <w:bCs/>
          <w:color w:val="000000"/>
          <w:kern w:val="0"/>
          <w:sz w:val="27"/>
          <w:szCs w:val="27"/>
          <w:lang w:eastAsia="es-UY"/>
          <w14:ligatures w14:val="none"/>
        </w:rPr>
        <w:t>Lectura de la primera carta de san </w:t>
      </w:r>
      <w:hyperlink r:id="rId12" w:tgtFrame="_blank" w:history="1">
        <w:r w:rsidRPr="00163822">
          <w:rPr>
            <w:rFonts w:ascii="Arial" w:eastAsia="Times New Roman" w:hAnsi="Arial" w:cs="Arial"/>
            <w:b/>
            <w:bCs/>
            <w:color w:val="1155CC"/>
            <w:kern w:val="0"/>
            <w:sz w:val="27"/>
            <w:szCs w:val="27"/>
            <w:u w:val="single"/>
            <w:lang w:eastAsia="es-UY"/>
            <w14:ligatures w14:val="none"/>
          </w:rPr>
          <w:t>Pablo</w:t>
        </w:r>
      </w:hyperlink>
      <w:r w:rsidRPr="00163822">
        <w:rPr>
          <w:rFonts w:ascii="Arial" w:eastAsia="Times New Roman" w:hAnsi="Arial" w:cs="Arial"/>
          <w:b/>
          <w:bCs/>
          <w:color w:val="000000"/>
          <w:kern w:val="0"/>
          <w:sz w:val="27"/>
          <w:szCs w:val="27"/>
          <w:lang w:eastAsia="es-UY"/>
          <w14:ligatures w14:val="none"/>
        </w:rPr>
        <w:t> a los cristianos de Corinto</w:t>
      </w:r>
      <w:r w:rsidRPr="00163822">
        <w:rPr>
          <w:rFonts w:ascii="Arial" w:eastAsia="Times New Roman" w:hAnsi="Arial" w:cs="Arial"/>
          <w:color w:val="000000"/>
          <w:kern w:val="0"/>
          <w:sz w:val="27"/>
          <w:szCs w:val="27"/>
          <w:lang w:eastAsia="es-UY"/>
          <w14:ligatures w14:val="none"/>
        </w:rPr>
        <w:t>     15, 20-23</w:t>
      </w:r>
    </w:p>
    <w:p w14:paraId="1DC290E2"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C3CED1E" w14:textId="77777777" w:rsidR="00163822" w:rsidRPr="00163822" w:rsidRDefault="00163822" w:rsidP="00163822">
      <w:pPr>
        <w:spacing w:after="0" w:line="240" w:lineRule="auto"/>
        <w:rPr>
          <w:rFonts w:ascii="Times New Roman" w:eastAsia="Times New Roman" w:hAnsi="Times New Roman" w:cs="Times New Roman"/>
          <w:i/>
          <w:iCs/>
          <w:color w:val="000000"/>
          <w:kern w:val="0"/>
          <w:sz w:val="27"/>
          <w:szCs w:val="27"/>
          <w:shd w:val="clear" w:color="auto" w:fill="FFFFFF"/>
          <w:lang w:eastAsia="es-UY"/>
          <w14:ligatures w14:val="none"/>
        </w:rPr>
      </w:pPr>
      <w:r w:rsidRPr="00163822">
        <w:rPr>
          <w:rFonts w:ascii="Arial" w:eastAsia="Times New Roman" w:hAnsi="Arial" w:cs="Arial"/>
          <w:i/>
          <w:iCs/>
          <w:color w:val="000000"/>
          <w:kern w:val="0"/>
          <w:sz w:val="27"/>
          <w:szCs w:val="27"/>
          <w:shd w:val="clear" w:color="auto" w:fill="FFFFFF"/>
          <w:lang w:eastAsia="es-UY"/>
          <w14:ligatures w14:val="none"/>
        </w:rPr>
        <w:t>Resumen: Frente a algunos de la comunidad que niegan la resurrección de los muertos, Pablo – que une la resurrección de Cristo a la resurrección de los creyentes – afirma que la del Señor fue la primera de una serie que continuará.</w:t>
      </w:r>
    </w:p>
    <w:p w14:paraId="58616885"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BF3A13E"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lastRenderedPageBreak/>
        <w:t>Pablo dedica un extenso capítulo a hablar sobre la resurrección. El motivo de la extensión está causado porque algunos de la comunidad niegan que esta exista. Es posible que la influencia del helenismo para el cual “</w:t>
      </w:r>
      <w:r w:rsidRPr="00163822">
        <w:rPr>
          <w:rFonts w:ascii="Arial" w:eastAsia="Times New Roman" w:hAnsi="Arial" w:cs="Arial"/>
          <w:i/>
          <w:iCs/>
          <w:color w:val="000000"/>
          <w:kern w:val="0"/>
          <w:sz w:val="27"/>
          <w:szCs w:val="27"/>
          <w:lang w:eastAsia="es-UY"/>
          <w14:ligatures w14:val="none"/>
        </w:rPr>
        <w:t>el cuerpo es cárcel del alma</w:t>
      </w:r>
      <w:r w:rsidRPr="00163822">
        <w:rPr>
          <w:rFonts w:ascii="Arial" w:eastAsia="Times New Roman" w:hAnsi="Arial" w:cs="Arial"/>
          <w:color w:val="000000"/>
          <w:kern w:val="0"/>
          <w:sz w:val="27"/>
          <w:szCs w:val="27"/>
          <w:lang w:eastAsia="es-UY"/>
          <w14:ligatures w14:val="none"/>
        </w:rPr>
        <w:t>” motivara la incredulidad; no tiene sentido – afirmarían – que si el alma logra liberarse de su cárcel en la muerte, vuelva más tarde a encarcelarse. Sea esta o no la razón de la negación, lo cierto es que Pablo dedica mucha energía a afirmarla. Comienza destacando la centralidad de la resurrección de Cristo para la fe (vv.1-11) para lo que recurre a la predicación primitiva que él mismo ha recibido y predicado. El acento probatorio está dado por la gran cantidad de beneficiarios de apariciones del resucitado comenzando por el primero: Cefas (= Pedro) y finalizando por “el último”, el mismo Pablo. Luego destacará – y a esta sub-unidad pertenece el texto litúrgico del día – la relación entre la resurrección de Cristo y la de sus seguidores (vv.12-34). A continuación esbozará un intento de responder al “cómo” de la resurrección, ¿con qué cuerpo? (vv.35-53) para concluir con un himno a la victoria de Dios (vv.54-57) con una conclusión (“hermanos”, v.58).</w:t>
      </w:r>
    </w:p>
    <w:p w14:paraId="3C7D82B8"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i/>
          <w:iCs/>
          <w:color w:val="000000"/>
          <w:kern w:val="0"/>
          <w:sz w:val="27"/>
          <w:szCs w:val="27"/>
          <w:lang w:eastAsia="es-UY"/>
          <w14:ligatures w14:val="none"/>
        </w:rPr>
        <w:t>Una breve nota sobre la ausencia de mujeres en la lista de beneficiarios de una aparición del resucitado: es sabido, por los relatos evangélicos, que algunas mujeres fueron testigas de la resurrección: los nombres y número varían según los evangelistas: no hay apariciones del resucitado en Marcos, “</w:t>
      </w:r>
      <w:hyperlink r:id="rId13" w:tgtFrame="_blank" w:history="1">
        <w:r w:rsidRPr="00163822">
          <w:rPr>
            <w:rFonts w:ascii="Arial" w:eastAsia="Times New Roman" w:hAnsi="Arial" w:cs="Arial"/>
            <w:i/>
            <w:iCs/>
            <w:color w:val="1155CC"/>
            <w:kern w:val="0"/>
            <w:sz w:val="27"/>
            <w:szCs w:val="27"/>
            <w:u w:val="single"/>
            <w:lang w:eastAsia="es-UY"/>
            <w14:ligatures w14:val="none"/>
          </w:rPr>
          <w:t>María Magdalena</w:t>
        </w:r>
      </w:hyperlink>
      <w:r w:rsidRPr="00163822">
        <w:rPr>
          <w:rFonts w:ascii="Arial" w:eastAsia="Times New Roman" w:hAnsi="Arial" w:cs="Arial"/>
          <w:i/>
          <w:iCs/>
          <w:color w:val="000000"/>
          <w:kern w:val="0"/>
          <w:sz w:val="27"/>
          <w:szCs w:val="27"/>
          <w:lang w:eastAsia="es-UY"/>
          <w14:ligatures w14:val="none"/>
        </w:rPr>
        <w:t> y la otra María” en Mateo (28,1.9), no se las menciona en Lucas (salvo que sea mujer – como es posible – el/la peregrino/a de Emaús no mencionado (24,18), a María Magdalena en el añadido al final de Marcos (16,9) y en Juan (20,11). Sin embargo ha de señalarse que Pablo está transmitiendo “lo que recibió” (15,3). Es posible que – dada la no credibilidad de las mujeres (Mc 16,11; Lc 24,22-24) – al predicar y mencionar a los testigos de la resurrección sólo se aludiera a los varones, y esto es lo que Pablo conoce. De hecho, para Pablo, un “apóstol” es todo aquel que ha visto al resucitado (</w:t>
      </w:r>
      <w:hyperlink r:id="rId14" w:tgtFrame="_blank" w:history="1">
        <w:r w:rsidRPr="00163822">
          <w:rPr>
            <w:rFonts w:ascii="Arial" w:eastAsia="Times New Roman" w:hAnsi="Arial" w:cs="Arial"/>
            <w:i/>
            <w:iCs/>
            <w:color w:val="1155CC"/>
            <w:kern w:val="0"/>
            <w:sz w:val="27"/>
            <w:szCs w:val="27"/>
            <w:u w:val="single"/>
            <w:lang w:eastAsia="es-UY"/>
            <w14:ligatures w14:val="none"/>
          </w:rPr>
          <w:t>1 Cor 9,1</w:t>
        </w:r>
      </w:hyperlink>
      <w:r w:rsidRPr="00163822">
        <w:rPr>
          <w:rFonts w:ascii="Arial" w:eastAsia="Times New Roman" w:hAnsi="Arial" w:cs="Arial"/>
          <w:i/>
          <w:iCs/>
          <w:color w:val="000000"/>
          <w:kern w:val="0"/>
          <w:sz w:val="27"/>
          <w:szCs w:val="27"/>
          <w:lang w:eastAsia="es-UY"/>
          <w14:ligatures w14:val="none"/>
        </w:rPr>
        <w:t>) y en Rom 16,7 hace referencia a una “apóstola” señalando que ella, Junia y Andrónico “llegaron a Cristo antes que él”. </w:t>
      </w:r>
    </w:p>
    <w:p w14:paraId="360C935A"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B7DBA9D"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Como judío fariseo que es, Pablo cree que en “el día del Señor” comenzarán las resurrecciones (Dn 12,2), y como seguidor de Jesús cree que ese “día” ha comenzado con la resurrección de Jesús. Han llegado los últimos tiempos. Jesús ha resucitado y con su resurrección comienza la serie de resurrecciones que está “al llegar” en su “venida” (especialmente inminente – para Pablo – en sus primeros escritos como 1 Tesalonicenses y 1 Corintios, cf. 15,51-52). La resurrección de Cristo no es aislada, sino “</w:t>
      </w:r>
      <w:r w:rsidRPr="00163822">
        <w:rPr>
          <w:rFonts w:ascii="Arial" w:eastAsia="Times New Roman" w:hAnsi="Arial" w:cs="Arial"/>
          <w:i/>
          <w:iCs/>
          <w:color w:val="000000"/>
          <w:kern w:val="0"/>
          <w:sz w:val="27"/>
          <w:szCs w:val="27"/>
          <w:lang w:eastAsia="es-UY"/>
          <w14:ligatures w14:val="none"/>
        </w:rPr>
        <w:t>primicia</w:t>
      </w:r>
      <w:r w:rsidRPr="00163822">
        <w:rPr>
          <w:rFonts w:ascii="Arial" w:eastAsia="Times New Roman" w:hAnsi="Arial" w:cs="Arial"/>
          <w:color w:val="000000"/>
          <w:kern w:val="0"/>
          <w:sz w:val="27"/>
          <w:szCs w:val="27"/>
          <w:lang w:eastAsia="es-UY"/>
          <w14:ligatures w14:val="none"/>
        </w:rPr>
        <w:t>” de las demás (vv.20.23 [formando una inclusión semítica en esta parte]). Por eso, para él, negar “</w:t>
      </w:r>
      <w:r w:rsidRPr="00163822">
        <w:rPr>
          <w:rFonts w:ascii="Arial" w:eastAsia="Times New Roman" w:hAnsi="Arial" w:cs="Arial"/>
          <w:i/>
          <w:iCs/>
          <w:color w:val="000000"/>
          <w:kern w:val="0"/>
          <w:sz w:val="27"/>
          <w:szCs w:val="27"/>
          <w:lang w:eastAsia="es-UY"/>
          <w14:ligatures w14:val="none"/>
        </w:rPr>
        <w:t>las</w:t>
      </w:r>
      <w:r w:rsidRPr="00163822">
        <w:rPr>
          <w:rFonts w:ascii="Arial" w:eastAsia="Times New Roman" w:hAnsi="Arial" w:cs="Arial"/>
          <w:color w:val="000000"/>
          <w:kern w:val="0"/>
          <w:sz w:val="27"/>
          <w:szCs w:val="27"/>
          <w:lang w:eastAsia="es-UY"/>
          <w14:ligatures w14:val="none"/>
        </w:rPr>
        <w:t>” resurrecciones” implica negar “</w:t>
      </w:r>
      <w:r w:rsidRPr="00163822">
        <w:rPr>
          <w:rFonts w:ascii="Arial" w:eastAsia="Times New Roman" w:hAnsi="Arial" w:cs="Arial"/>
          <w:i/>
          <w:iCs/>
          <w:color w:val="000000"/>
          <w:kern w:val="0"/>
          <w:sz w:val="27"/>
          <w:szCs w:val="27"/>
          <w:lang w:eastAsia="es-UY"/>
          <w14:ligatures w14:val="none"/>
        </w:rPr>
        <w:t>la</w:t>
      </w:r>
      <w:r w:rsidRPr="00163822">
        <w:rPr>
          <w:rFonts w:ascii="Arial" w:eastAsia="Times New Roman" w:hAnsi="Arial" w:cs="Arial"/>
          <w:color w:val="000000"/>
          <w:kern w:val="0"/>
          <w:sz w:val="27"/>
          <w:szCs w:val="27"/>
          <w:lang w:eastAsia="es-UY"/>
          <w14:ligatures w14:val="none"/>
        </w:rPr>
        <w:t>” resurrección primera.</w:t>
      </w:r>
    </w:p>
    <w:p w14:paraId="416CE77C"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 </w:t>
      </w:r>
    </w:p>
    <w:p w14:paraId="09F960B5"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lastRenderedPageBreak/>
        <w:t>Los vv.21-22 preparan un tema que luego desarrollará extensamente en otra carta: la relación de tipo y anti-tipo entre Cristo y Adán (cf. Rom 5,12-21). Con Adán se desata para la humanidad “</w:t>
      </w:r>
      <w:r w:rsidRPr="00163822">
        <w:rPr>
          <w:rFonts w:ascii="Arial" w:eastAsia="Times New Roman" w:hAnsi="Arial" w:cs="Arial"/>
          <w:i/>
          <w:iCs/>
          <w:color w:val="000000"/>
          <w:kern w:val="0"/>
          <w:sz w:val="27"/>
          <w:szCs w:val="27"/>
          <w:lang w:eastAsia="es-UY"/>
          <w14:ligatures w14:val="none"/>
        </w:rPr>
        <w:t>la muerte</w:t>
      </w:r>
      <w:r w:rsidRPr="00163822">
        <w:rPr>
          <w:rFonts w:ascii="Arial" w:eastAsia="Times New Roman" w:hAnsi="Arial" w:cs="Arial"/>
          <w:color w:val="000000"/>
          <w:kern w:val="0"/>
          <w:sz w:val="27"/>
          <w:szCs w:val="27"/>
          <w:lang w:eastAsia="es-UY"/>
          <w14:ligatures w14:val="none"/>
        </w:rPr>
        <w:t>”, “</w:t>
      </w:r>
      <w:r w:rsidRPr="00163822">
        <w:rPr>
          <w:rFonts w:ascii="Arial" w:eastAsia="Times New Roman" w:hAnsi="Arial" w:cs="Arial"/>
          <w:i/>
          <w:iCs/>
          <w:color w:val="000000"/>
          <w:kern w:val="0"/>
          <w:sz w:val="27"/>
          <w:szCs w:val="27"/>
          <w:lang w:eastAsia="es-UY"/>
          <w14:ligatures w14:val="none"/>
        </w:rPr>
        <w:t>todos mueren</w:t>
      </w:r>
      <w:r w:rsidRPr="00163822">
        <w:rPr>
          <w:rFonts w:ascii="Arial" w:eastAsia="Times New Roman" w:hAnsi="Arial" w:cs="Arial"/>
          <w:color w:val="000000"/>
          <w:kern w:val="0"/>
          <w:sz w:val="27"/>
          <w:szCs w:val="27"/>
          <w:lang w:eastAsia="es-UY"/>
          <w14:ligatures w14:val="none"/>
        </w:rPr>
        <w:t>”; por el “nuevo Adán” (Pablo dice “último Adán”, cf. 1 Cor 15,45) se desencadena el proceso de resurrecciones.</w:t>
      </w:r>
    </w:p>
    <w:p w14:paraId="3EFFBF5E"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 </w:t>
      </w:r>
    </w:p>
    <w:p w14:paraId="745D5B27"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El tema comienza con una afirmación tajante que contrasta con las suposiciones (“</w:t>
      </w:r>
      <w:r w:rsidRPr="00163822">
        <w:rPr>
          <w:rFonts w:ascii="Arial" w:eastAsia="Times New Roman" w:hAnsi="Arial" w:cs="Arial"/>
          <w:i/>
          <w:iCs/>
          <w:color w:val="000000"/>
          <w:kern w:val="0"/>
          <w:sz w:val="27"/>
          <w:szCs w:val="27"/>
          <w:lang w:eastAsia="es-UY"/>
          <w14:ligatures w14:val="none"/>
        </w:rPr>
        <w:t>si no hubiera</w:t>
      </w:r>
      <w:r w:rsidRPr="00163822">
        <w:rPr>
          <w:rFonts w:ascii="Arial" w:eastAsia="Times New Roman" w:hAnsi="Arial" w:cs="Arial"/>
          <w:color w:val="000000"/>
          <w:kern w:val="0"/>
          <w:sz w:val="27"/>
          <w:szCs w:val="27"/>
          <w:lang w:eastAsia="es-UY"/>
          <w14:ligatures w14:val="none"/>
        </w:rPr>
        <w:t>…”, vv.12.29): “¡pero no! ¡Cristo resucitó!” La referencia a las </w:t>
      </w:r>
      <w:r w:rsidRPr="00163822">
        <w:rPr>
          <w:rFonts w:ascii="Arial" w:eastAsia="Times New Roman" w:hAnsi="Arial" w:cs="Arial"/>
          <w:i/>
          <w:iCs/>
          <w:color w:val="000000"/>
          <w:kern w:val="0"/>
          <w:sz w:val="27"/>
          <w:szCs w:val="27"/>
          <w:lang w:eastAsia="es-UY"/>
          <w14:ligatures w14:val="none"/>
        </w:rPr>
        <w:t>primicias </w:t>
      </w:r>
      <w:r w:rsidRPr="00163822">
        <w:rPr>
          <w:rFonts w:ascii="Arial" w:eastAsia="Times New Roman" w:hAnsi="Arial" w:cs="Arial"/>
          <w:color w:val="000000"/>
          <w:kern w:val="0"/>
          <w:sz w:val="27"/>
          <w:szCs w:val="27"/>
          <w:lang w:eastAsia="es-UY"/>
          <w14:ligatures w14:val="none"/>
        </w:rPr>
        <w:t>(cf. Lev 23,9-14) alude a la consagración, un tema aquí ausente. La imagen aquí es temporal y es metáfora que refiere a la precedencia, como la prenda de herencia (cf. 2 Cor 1,22; 5,5), o el “primogénito” (cf. Rom 8,29). La referencia a los frutos prepara el tema del “cuerpo” nuevo que desarrollará en vv.35-49. </w:t>
      </w:r>
    </w:p>
    <w:p w14:paraId="3C7ED77C"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91D94AC"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Adán fue “primicias” de la humanidad. </w:t>
      </w:r>
    </w:p>
    <w:p w14:paraId="2EDD8884"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i/>
          <w:iCs/>
          <w:color w:val="000000"/>
          <w:kern w:val="0"/>
          <w:sz w:val="27"/>
          <w:szCs w:val="27"/>
          <w:lang w:eastAsia="es-UY"/>
          <w14:ligatures w14:val="none"/>
        </w:rPr>
        <w:t>Porque por un hombre la muerte</w:t>
      </w:r>
    </w:p>
    <w:p w14:paraId="03CAF75D"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i/>
          <w:iCs/>
          <w:color w:val="000000"/>
          <w:kern w:val="0"/>
          <w:sz w:val="27"/>
          <w:szCs w:val="27"/>
          <w:lang w:eastAsia="es-UY"/>
          <w14:ligatures w14:val="none"/>
        </w:rPr>
        <w:t>         y por un hombre la resurrección de los muertos (v.21)</w:t>
      </w:r>
    </w:p>
    <w:p w14:paraId="1C80623C"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i/>
          <w:iCs/>
          <w:color w:val="000000"/>
          <w:kern w:val="0"/>
          <w:sz w:val="27"/>
          <w:szCs w:val="27"/>
          <w:lang w:eastAsia="es-UY"/>
          <w14:ligatures w14:val="none"/>
        </w:rPr>
        <w:t>Porque como  en Adán todos mueren</w:t>
      </w:r>
    </w:p>
    <w:p w14:paraId="04455B29"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i/>
          <w:iCs/>
          <w:color w:val="000000"/>
          <w:kern w:val="0"/>
          <w:sz w:val="27"/>
          <w:szCs w:val="27"/>
          <w:lang w:eastAsia="es-UY"/>
          <w14:ligatures w14:val="none"/>
        </w:rPr>
        <w:t>                           Así en Cristo todos revivirán (v.22)</w:t>
      </w:r>
    </w:p>
    <w:p w14:paraId="73C6F2AE"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 </w:t>
      </w:r>
    </w:p>
    <w:p w14:paraId="325905A8"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Es interesante el paralelo (que Pablo no llama aquí “tipo”, cosa que sí hace en Rom 5, en un texto mucho más desarrollado, cf. 5,14), en realidad – además de que Romanos es más tardía – no es el tema del pecado y la desobediencia lo que le interesa a Pablo aquí sino el de la muerte y la resurrección. Hay una solidaridad inter-humana en ambos tipos sin que se desarrollen todos los aspectos. Estar “en Adán” conduce a la muerte (“</w:t>
      </w:r>
      <w:r w:rsidRPr="00163822">
        <w:rPr>
          <w:rFonts w:ascii="Arial" w:eastAsia="Times New Roman" w:hAnsi="Arial" w:cs="Arial"/>
          <w:i/>
          <w:iCs/>
          <w:color w:val="000000"/>
          <w:kern w:val="0"/>
          <w:sz w:val="27"/>
          <w:szCs w:val="27"/>
          <w:lang w:eastAsia="es-UY"/>
          <w14:ligatures w14:val="none"/>
        </w:rPr>
        <w:t>mueren</w:t>
      </w:r>
      <w:r w:rsidRPr="00163822">
        <w:rPr>
          <w:rFonts w:ascii="Arial" w:eastAsia="Times New Roman" w:hAnsi="Arial" w:cs="Arial"/>
          <w:color w:val="000000"/>
          <w:kern w:val="0"/>
          <w:sz w:val="27"/>
          <w:szCs w:val="27"/>
          <w:lang w:eastAsia="es-UY"/>
          <w14:ligatures w14:val="none"/>
        </w:rPr>
        <w:t>”, tiempo presente, mientras que estar “en Cristo” conduce a la vida futura (“</w:t>
      </w:r>
      <w:r w:rsidRPr="00163822">
        <w:rPr>
          <w:rFonts w:ascii="Arial" w:eastAsia="Times New Roman" w:hAnsi="Arial" w:cs="Arial"/>
          <w:i/>
          <w:iCs/>
          <w:color w:val="000000"/>
          <w:kern w:val="0"/>
          <w:sz w:val="27"/>
          <w:szCs w:val="27"/>
          <w:lang w:eastAsia="es-UY"/>
          <w14:ligatures w14:val="none"/>
        </w:rPr>
        <w:t>revivirán</w:t>
      </w:r>
      <w:r w:rsidRPr="00163822">
        <w:rPr>
          <w:rFonts w:ascii="Arial" w:eastAsia="Times New Roman" w:hAnsi="Arial" w:cs="Arial"/>
          <w:color w:val="000000"/>
          <w:kern w:val="0"/>
          <w:sz w:val="27"/>
          <w:szCs w:val="27"/>
          <w:lang w:eastAsia="es-UY"/>
          <w14:ligatures w14:val="none"/>
        </w:rPr>
        <w:t>”, tiempo futuro). La solidaridad fatal en Adán conduce a la humanidad a la catástrofe, mientras que la solidaridad en cristo conduce a la victoria de la resurrección, a la promesa del “último Adán”. El uso del término “</w:t>
      </w:r>
      <w:r w:rsidRPr="00163822">
        <w:rPr>
          <w:rFonts w:ascii="Arial" w:eastAsia="Times New Roman" w:hAnsi="Arial" w:cs="Arial"/>
          <w:i/>
          <w:iCs/>
          <w:color w:val="000000"/>
          <w:kern w:val="0"/>
          <w:sz w:val="27"/>
          <w:szCs w:val="27"/>
          <w:lang w:eastAsia="es-UY"/>
          <w14:ligatures w14:val="none"/>
        </w:rPr>
        <w:t>todos</w:t>
      </w:r>
      <w:r w:rsidRPr="00163822">
        <w:rPr>
          <w:rFonts w:ascii="Arial" w:eastAsia="Times New Roman" w:hAnsi="Arial" w:cs="Arial"/>
          <w:color w:val="000000"/>
          <w:kern w:val="0"/>
          <w:sz w:val="27"/>
          <w:szCs w:val="27"/>
          <w:lang w:eastAsia="es-UY"/>
          <w14:ligatures w14:val="none"/>
        </w:rPr>
        <w:t>” rompe la lógica del esquema, ya que “</w:t>
      </w:r>
      <w:r w:rsidRPr="00163822">
        <w:rPr>
          <w:rFonts w:ascii="Arial" w:eastAsia="Times New Roman" w:hAnsi="Arial" w:cs="Arial"/>
          <w:i/>
          <w:iCs/>
          <w:color w:val="000000"/>
          <w:kern w:val="0"/>
          <w:sz w:val="27"/>
          <w:szCs w:val="27"/>
          <w:lang w:eastAsia="es-UY"/>
          <w14:ligatures w14:val="none"/>
        </w:rPr>
        <w:t>todos mueren</w:t>
      </w:r>
      <w:r w:rsidRPr="00163822">
        <w:rPr>
          <w:rFonts w:ascii="Arial" w:eastAsia="Times New Roman" w:hAnsi="Arial" w:cs="Arial"/>
          <w:color w:val="000000"/>
          <w:kern w:val="0"/>
          <w:sz w:val="27"/>
          <w:szCs w:val="27"/>
          <w:lang w:eastAsia="es-UY"/>
          <w14:ligatures w14:val="none"/>
        </w:rPr>
        <w:t>” porque “todos” están “</w:t>
      </w:r>
      <w:r w:rsidRPr="00163822">
        <w:rPr>
          <w:rFonts w:ascii="Arial" w:eastAsia="Times New Roman" w:hAnsi="Arial" w:cs="Arial"/>
          <w:i/>
          <w:iCs/>
          <w:color w:val="000000"/>
          <w:kern w:val="0"/>
          <w:sz w:val="27"/>
          <w:szCs w:val="27"/>
          <w:lang w:eastAsia="es-UY"/>
          <w14:ligatures w14:val="none"/>
        </w:rPr>
        <w:t>en Adán</w:t>
      </w:r>
      <w:r w:rsidRPr="00163822">
        <w:rPr>
          <w:rFonts w:ascii="Arial" w:eastAsia="Times New Roman" w:hAnsi="Arial" w:cs="Arial"/>
          <w:color w:val="000000"/>
          <w:kern w:val="0"/>
          <w:sz w:val="27"/>
          <w:szCs w:val="27"/>
          <w:lang w:eastAsia="es-UY"/>
          <w14:ligatures w14:val="none"/>
        </w:rPr>
        <w:t>”, no hay forma de evitarlo; mientras que “</w:t>
      </w:r>
      <w:r w:rsidRPr="00163822">
        <w:rPr>
          <w:rFonts w:ascii="Arial" w:eastAsia="Times New Roman" w:hAnsi="Arial" w:cs="Arial"/>
          <w:i/>
          <w:iCs/>
          <w:color w:val="000000"/>
          <w:kern w:val="0"/>
          <w:sz w:val="27"/>
          <w:szCs w:val="27"/>
          <w:lang w:eastAsia="es-UY"/>
          <w14:ligatures w14:val="none"/>
        </w:rPr>
        <w:t>todos</w:t>
      </w:r>
      <w:r w:rsidRPr="00163822">
        <w:rPr>
          <w:rFonts w:ascii="Arial" w:eastAsia="Times New Roman" w:hAnsi="Arial" w:cs="Arial"/>
          <w:color w:val="000000"/>
          <w:kern w:val="0"/>
          <w:sz w:val="27"/>
          <w:szCs w:val="27"/>
          <w:lang w:eastAsia="es-UY"/>
          <w14:ligatures w14:val="none"/>
        </w:rPr>
        <w:t>” los que “</w:t>
      </w:r>
      <w:r w:rsidRPr="00163822">
        <w:rPr>
          <w:rFonts w:ascii="Arial" w:eastAsia="Times New Roman" w:hAnsi="Arial" w:cs="Arial"/>
          <w:i/>
          <w:iCs/>
          <w:color w:val="000000"/>
          <w:kern w:val="0"/>
          <w:sz w:val="27"/>
          <w:szCs w:val="27"/>
          <w:lang w:eastAsia="es-UY"/>
          <w14:ligatures w14:val="none"/>
        </w:rPr>
        <w:t>están en Cristo</w:t>
      </w:r>
      <w:r w:rsidRPr="00163822">
        <w:rPr>
          <w:rFonts w:ascii="Arial" w:eastAsia="Times New Roman" w:hAnsi="Arial" w:cs="Arial"/>
          <w:color w:val="000000"/>
          <w:kern w:val="0"/>
          <w:sz w:val="27"/>
          <w:szCs w:val="27"/>
          <w:lang w:eastAsia="es-UY"/>
          <w14:ligatures w14:val="none"/>
        </w:rPr>
        <w:t>” son los que vivirán (cf. 1 Cor 1,18; 5,13; 6,9-10). La creencia en la resurrección entre los judíos no es uniforme; Pablo aquí pareciera que espera la resurrección solamente de los creyentes, no de los no creyentes. En otros textos se alude a la resurrección de “todos”, unos para la vida y otros para la condenación (cf. Dn 12,2; Ap 20; Jn 5,29). El “</w:t>
      </w:r>
      <w:r w:rsidRPr="00163822">
        <w:rPr>
          <w:rFonts w:ascii="Arial" w:eastAsia="Times New Roman" w:hAnsi="Arial" w:cs="Arial"/>
          <w:i/>
          <w:iCs/>
          <w:color w:val="000000"/>
          <w:kern w:val="0"/>
          <w:sz w:val="27"/>
          <w:szCs w:val="27"/>
          <w:lang w:eastAsia="es-UY"/>
          <w14:ligatures w14:val="none"/>
        </w:rPr>
        <w:t>tiempo</w:t>
      </w:r>
      <w:r w:rsidRPr="00163822">
        <w:rPr>
          <w:rFonts w:ascii="Arial" w:eastAsia="Times New Roman" w:hAnsi="Arial" w:cs="Arial"/>
          <w:color w:val="000000"/>
          <w:kern w:val="0"/>
          <w:sz w:val="27"/>
          <w:szCs w:val="27"/>
          <w:lang w:eastAsia="es-UY"/>
          <w14:ligatures w14:val="none"/>
        </w:rPr>
        <w:t>” de dicha resurrección será en la “venida” de Jesús. Si bien la “venida” en el lenguaje técnico aludía a la “visita” de altas autoridades políticas, en el cristianismo se señaló contraculturalmente la futura venida inminente de Jesús (1 Tes 2,19; 3,13; 4,15; 5,23; cf. 2 Tes 2,1; como se ve fue utilizada especialmente en los primeros escritos; luego el término – no la expectativa – fue reemplazado).</w:t>
      </w:r>
    </w:p>
    <w:p w14:paraId="1C3ACF08"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 </w:t>
      </w:r>
    </w:p>
    <w:p w14:paraId="172526F2"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753DEDF" w14:textId="77777777" w:rsidR="00163822" w:rsidRPr="00163822" w:rsidRDefault="00163822" w:rsidP="00163822">
      <w:pPr>
        <w:spacing w:after="0" w:line="240" w:lineRule="auto"/>
        <w:jc w:val="both"/>
        <w:rPr>
          <w:rFonts w:ascii="Times New Roman" w:eastAsia="Times New Roman" w:hAnsi="Times New Roman" w:cs="Times New Roman"/>
          <w:b/>
          <w:bCs/>
          <w:color w:val="000000"/>
          <w:kern w:val="0"/>
          <w:sz w:val="27"/>
          <w:szCs w:val="27"/>
          <w:shd w:val="clear" w:color="auto" w:fill="FFFFFF"/>
          <w:lang w:eastAsia="es-UY"/>
          <w14:ligatures w14:val="none"/>
        </w:rPr>
      </w:pPr>
      <w:r w:rsidRPr="00163822">
        <w:rPr>
          <w:rFonts w:ascii="Arial" w:eastAsia="Times New Roman" w:hAnsi="Arial" w:cs="Arial"/>
          <w:b/>
          <w:bCs/>
          <w:color w:val="000000"/>
          <w:kern w:val="0"/>
          <w:sz w:val="27"/>
          <w:szCs w:val="27"/>
          <w:shd w:val="clear" w:color="auto" w:fill="FFFFFF"/>
          <w:lang w:eastAsia="es-UY"/>
          <w14:ligatures w14:val="none"/>
        </w:rPr>
        <w:t>Evangelio de nuestro Señor Jesucristo según san Lucas     24, 1-8</w:t>
      </w:r>
    </w:p>
    <w:p w14:paraId="3799B308"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E75FF38" w14:textId="77777777" w:rsidR="00163822" w:rsidRPr="00163822" w:rsidRDefault="00163822" w:rsidP="00163822">
      <w:pPr>
        <w:spacing w:after="0" w:line="240" w:lineRule="auto"/>
        <w:rPr>
          <w:rFonts w:ascii="Times New Roman" w:eastAsia="Times New Roman" w:hAnsi="Times New Roman" w:cs="Times New Roman"/>
          <w:i/>
          <w:iCs/>
          <w:color w:val="000000"/>
          <w:kern w:val="0"/>
          <w:sz w:val="27"/>
          <w:szCs w:val="27"/>
          <w:shd w:val="clear" w:color="auto" w:fill="FFFFFF"/>
          <w:lang w:eastAsia="es-UY"/>
          <w14:ligatures w14:val="none"/>
        </w:rPr>
      </w:pPr>
      <w:r w:rsidRPr="00163822">
        <w:rPr>
          <w:rFonts w:ascii="Arial" w:eastAsia="Times New Roman" w:hAnsi="Arial" w:cs="Arial"/>
          <w:i/>
          <w:iCs/>
          <w:color w:val="000000"/>
          <w:kern w:val="0"/>
          <w:sz w:val="27"/>
          <w:szCs w:val="27"/>
          <w:shd w:val="clear" w:color="auto" w:fill="FFFFFF"/>
          <w:lang w:eastAsia="es-UY"/>
          <w14:ligatures w14:val="none"/>
        </w:rPr>
        <w:t>Resumen: Las mujeres van al sepulcro a ungir el cuerpo de Jesús, y no encuentran su cuerpo ante la tumba vacía. Pero los enviados divinos les aportan la interpretación del hecho: ¡ha resucitado! Eso es algo que Jesús ya les había anunciado a los apóstoles y deben recordarlo.</w:t>
      </w:r>
    </w:p>
    <w:p w14:paraId="2FCCBB7F"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C41BACC"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Es curioso que los cuatro evangelistas presentan elementos ligeramente diferentes entre sí en el momento del anuncio a las mujeres que van a la tumba. Mientras en Marcos las mujeres se encuentran con “un joven”, en Mateo se trata de “un ángel”, son “dos hombres” en Lucas y “dos ángeles” en Juan. Las mujeres son también diversas: “María Magdalena y la otra María” en Mateo, “María Magdalena, María de Santiago y Salomé” en Marcos, “María Magdalena, Juana y María la de Santiago” en Lucas y solo “María Magdalena” en Juan. La piedra, que está removida en Marcos, Lucas y Juan, fue movida por un “sismo” en Mateo. Los que temen, en Mateo, son los cuidadores del sepulcro, no las mujeres, como en Marcos y Lucas. El mensaje del/los personaje/s a las mujeres tiene matices: “sé que buscan a Jesús” (Mateo), “¿buscan a Jesús?” (Marcos) “¿Por qué buscan?” (Lucas; otros leen “¿qué buscan?”), mientras que en Juan le preguntan “¿por qué lloras?” La referencia “al que ha sido crucificado” tiene un importante cambio en Lucas: “</w:t>
      </w:r>
      <w:r w:rsidRPr="00163822">
        <w:rPr>
          <w:rFonts w:ascii="Arial" w:eastAsia="Times New Roman" w:hAnsi="Arial" w:cs="Arial"/>
          <w:i/>
          <w:iCs/>
          <w:color w:val="000000"/>
          <w:kern w:val="0"/>
          <w:sz w:val="27"/>
          <w:szCs w:val="27"/>
          <w:lang w:eastAsia="es-UY"/>
          <w14:ligatures w14:val="none"/>
        </w:rPr>
        <w:t>al viviente</w:t>
      </w:r>
      <w:r w:rsidRPr="00163822">
        <w:rPr>
          <w:rFonts w:ascii="Arial" w:eastAsia="Times New Roman" w:hAnsi="Arial" w:cs="Arial"/>
          <w:color w:val="000000"/>
          <w:kern w:val="0"/>
          <w:sz w:val="27"/>
          <w:szCs w:val="27"/>
          <w:lang w:eastAsia="es-UY"/>
          <w14:ligatures w14:val="none"/>
        </w:rPr>
        <w:t>”, y en todos los caso se afirma que se ha “despertado de entre los muertos”. La constatación de la tumba vacía se destaca en Marcos y Mateo (“he aquí / vean el lugar”). Las mujeres en Marcos y Mateo tienen el encardo de “decir a los discípulos” mientras que en Lucas deben “</w:t>
      </w:r>
      <w:r w:rsidRPr="00163822">
        <w:rPr>
          <w:rFonts w:ascii="Arial" w:eastAsia="Times New Roman" w:hAnsi="Arial" w:cs="Arial"/>
          <w:i/>
          <w:iCs/>
          <w:color w:val="000000"/>
          <w:kern w:val="0"/>
          <w:sz w:val="27"/>
          <w:szCs w:val="27"/>
          <w:lang w:eastAsia="es-UY"/>
          <w14:ligatures w14:val="none"/>
        </w:rPr>
        <w:t>recordar</w:t>
      </w:r>
      <w:r w:rsidRPr="00163822">
        <w:rPr>
          <w:rFonts w:ascii="Arial" w:eastAsia="Times New Roman" w:hAnsi="Arial" w:cs="Arial"/>
          <w:color w:val="000000"/>
          <w:kern w:val="0"/>
          <w:sz w:val="27"/>
          <w:szCs w:val="27"/>
          <w:lang w:eastAsia="es-UY"/>
          <w14:ligatures w14:val="none"/>
        </w:rPr>
        <w:t>”. El nuevo cambio importante en Lucas alude a </w:t>
      </w:r>
      <w:hyperlink r:id="rId15" w:tgtFrame="_blank" w:history="1">
        <w:r w:rsidRPr="00163822">
          <w:rPr>
            <w:rFonts w:ascii="Arial" w:eastAsia="Times New Roman" w:hAnsi="Arial" w:cs="Arial"/>
            <w:color w:val="1155CC"/>
            <w:kern w:val="0"/>
            <w:sz w:val="27"/>
            <w:szCs w:val="27"/>
            <w:u w:val="single"/>
            <w:lang w:eastAsia="es-UY"/>
            <w14:ligatures w14:val="none"/>
          </w:rPr>
          <w:t>Galilea</w:t>
        </w:r>
      </w:hyperlink>
      <w:r w:rsidRPr="00163822">
        <w:rPr>
          <w:rFonts w:ascii="Arial" w:eastAsia="Times New Roman" w:hAnsi="Arial" w:cs="Arial"/>
          <w:color w:val="000000"/>
          <w:kern w:val="0"/>
          <w:sz w:val="27"/>
          <w:szCs w:val="27"/>
          <w:lang w:eastAsia="es-UY"/>
          <w14:ligatures w14:val="none"/>
        </w:rPr>
        <w:t>: mientras Mateo y Marcos las mujeres deben decir que “en Galilea lo verán”, en Lucas las mujeres deben recordar lo que </w:t>
      </w:r>
      <w:r w:rsidRPr="00163822">
        <w:rPr>
          <w:rFonts w:ascii="Arial" w:eastAsia="Times New Roman" w:hAnsi="Arial" w:cs="Arial"/>
          <w:i/>
          <w:iCs/>
          <w:color w:val="000000"/>
          <w:kern w:val="0"/>
          <w:sz w:val="27"/>
          <w:szCs w:val="27"/>
          <w:lang w:eastAsia="es-UY"/>
          <w14:ligatures w14:val="none"/>
        </w:rPr>
        <w:t>dijo en Galilea</w:t>
      </w:r>
      <w:r w:rsidRPr="00163822">
        <w:rPr>
          <w:rFonts w:ascii="Arial" w:eastAsia="Times New Roman" w:hAnsi="Arial" w:cs="Arial"/>
          <w:color w:val="000000"/>
          <w:kern w:val="0"/>
          <w:sz w:val="27"/>
          <w:szCs w:val="27"/>
          <w:lang w:eastAsia="es-UY"/>
          <w14:ligatures w14:val="none"/>
        </w:rPr>
        <w:t>. Y lo que les decía (propio de Lucas) es una repetición libre de los anuncios de la Pasión y resurrección. El último cambio viene dado con que en Marcos las mujeres “no dicen nada”, mientras sí lo hacen en Mateo (“a los discípulos”) y en Lucas (“a los Once y los demás”).</w:t>
      </w:r>
    </w:p>
    <w:p w14:paraId="60A7FEC5"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7E5C387"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Sin duda las diferencias permiten vislumbrar elementos importantes de la teología de cada evangelista. Notemos los elementos propios de Lucas.</w:t>
      </w:r>
    </w:p>
    <w:p w14:paraId="348AE477"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F6B7B93"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 xml:space="preserve">Las mujeres van con prisa al sepulcro para embalsamar (untar con bálsamo) el cadáver de Jesús, cosa que no habían podido hacer el día de la muerte con la llegada del sábado. El sepulcro vacío no les dice nada a ellas, ese paso lo darán recién cuando los mensajeros le den la interpretación adecuada. Los anuncios de la muerte y resurrección no </w:t>
      </w:r>
      <w:r w:rsidRPr="00163822">
        <w:rPr>
          <w:rFonts w:ascii="Arial" w:eastAsia="Times New Roman" w:hAnsi="Arial" w:cs="Arial"/>
          <w:color w:val="000000"/>
          <w:kern w:val="0"/>
          <w:sz w:val="27"/>
          <w:szCs w:val="27"/>
          <w:lang w:eastAsia="es-UY"/>
          <w14:ligatures w14:val="none"/>
        </w:rPr>
        <w:lastRenderedPageBreak/>
        <w:t>parecen haberles dicho nada, ellas sólo desean cumplir el deber del luto.</w:t>
      </w:r>
    </w:p>
    <w:p w14:paraId="6970A824"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1EF62F1"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i/>
          <w:iCs/>
          <w:color w:val="000000"/>
          <w:kern w:val="0"/>
          <w:sz w:val="27"/>
          <w:szCs w:val="27"/>
          <w:lang w:eastAsia="es-UY"/>
          <w14:ligatures w14:val="none"/>
        </w:rPr>
        <w:t>Breve nota sobre las mujeres en el sepulcro: ya hemos señalado en otro lugar que las mujeres cumplen un rol muy importante en los relatos de duelo. Allí se reúnen (y se les intentará limitar su participación) y allí se hará memoria del difunto, se cantará y llorará su pasado, y hasta se denunciará a los adversarios. Ciertamente es muy razonable pensar que las mujeres fueran, en su rol de plañideras, responsables – si no originadoras – del anuncio de la memoria de Jesús, e inicio de la predicación cuando “algo” les provoque un cambio en sus (des) esperanzas. </w:t>
      </w:r>
    </w:p>
    <w:p w14:paraId="77B386AC"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D426D7E"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Será Dios mismo el que dará la interpretación de la ausencia de cadáver en la tumba. Como es razonable ante estos acontecimientos, la mirada está “en tierra” ya que la visión supone un temor reverencial en las mujeres. No tiene sentido buscar “</w:t>
      </w:r>
      <w:r w:rsidRPr="00163822">
        <w:rPr>
          <w:rFonts w:ascii="Arial" w:eastAsia="Times New Roman" w:hAnsi="Arial" w:cs="Arial"/>
          <w:i/>
          <w:iCs/>
          <w:color w:val="000000"/>
          <w:kern w:val="0"/>
          <w:sz w:val="27"/>
          <w:szCs w:val="27"/>
          <w:lang w:eastAsia="es-UY"/>
          <w14:ligatures w14:val="none"/>
        </w:rPr>
        <w:t>metà tôn nekrôn</w:t>
      </w:r>
      <w:r w:rsidRPr="00163822">
        <w:rPr>
          <w:rFonts w:ascii="Arial" w:eastAsia="Times New Roman" w:hAnsi="Arial" w:cs="Arial"/>
          <w:color w:val="000000"/>
          <w:kern w:val="0"/>
          <w:sz w:val="27"/>
          <w:szCs w:val="27"/>
          <w:lang w:eastAsia="es-UY"/>
          <w14:ligatures w14:val="none"/>
        </w:rPr>
        <w:t>” (entre los muertos) a un “viviente” (</w:t>
      </w:r>
      <w:r w:rsidRPr="00163822">
        <w:rPr>
          <w:rFonts w:ascii="Arial" w:eastAsia="Times New Roman" w:hAnsi="Arial" w:cs="Arial"/>
          <w:i/>
          <w:iCs/>
          <w:color w:val="000000"/>
          <w:kern w:val="0"/>
          <w:sz w:val="27"/>
          <w:szCs w:val="27"/>
          <w:lang w:eastAsia="es-UY"/>
          <w14:ligatures w14:val="none"/>
        </w:rPr>
        <w:t>zônta</w:t>
      </w:r>
      <w:r w:rsidRPr="00163822">
        <w:rPr>
          <w:rFonts w:ascii="Arial" w:eastAsia="Times New Roman" w:hAnsi="Arial" w:cs="Arial"/>
          <w:color w:val="000000"/>
          <w:kern w:val="0"/>
          <w:sz w:val="27"/>
          <w:szCs w:val="27"/>
          <w:lang w:eastAsia="es-UY"/>
          <w14:ligatures w14:val="none"/>
        </w:rPr>
        <w:t>). Ser “</w:t>
      </w:r>
      <w:r w:rsidRPr="00163822">
        <w:rPr>
          <w:rFonts w:ascii="Arial" w:eastAsia="Times New Roman" w:hAnsi="Arial" w:cs="Arial"/>
          <w:i/>
          <w:iCs/>
          <w:color w:val="000000"/>
          <w:kern w:val="0"/>
          <w:sz w:val="27"/>
          <w:szCs w:val="27"/>
          <w:lang w:eastAsia="es-UY"/>
          <w14:ligatures w14:val="none"/>
        </w:rPr>
        <w:t>viviente</w:t>
      </w:r>
      <w:r w:rsidRPr="00163822">
        <w:rPr>
          <w:rFonts w:ascii="Arial" w:eastAsia="Times New Roman" w:hAnsi="Arial" w:cs="Arial"/>
          <w:color w:val="000000"/>
          <w:kern w:val="0"/>
          <w:sz w:val="27"/>
          <w:szCs w:val="27"/>
          <w:lang w:eastAsia="es-UY"/>
          <w14:ligatures w14:val="none"/>
        </w:rPr>
        <w:t>” es algo que se dice de Dios (2 Re 19,4.16; Sal 42,3; 84,3; Os 4,15; Is 37,4.17; Dn 12,7; Hch 14,15). “</w:t>
      </w:r>
      <w:r w:rsidRPr="00163822">
        <w:rPr>
          <w:rFonts w:ascii="Arial" w:eastAsia="Times New Roman" w:hAnsi="Arial" w:cs="Arial"/>
          <w:i/>
          <w:iCs/>
          <w:color w:val="000000"/>
          <w:kern w:val="0"/>
          <w:sz w:val="27"/>
          <w:szCs w:val="27"/>
          <w:lang w:eastAsia="es-UY"/>
          <w14:ligatures w14:val="none"/>
        </w:rPr>
        <w:t>Por qué buscan</w:t>
      </w:r>
      <w:r w:rsidRPr="00163822">
        <w:rPr>
          <w:rFonts w:ascii="Arial" w:eastAsia="Times New Roman" w:hAnsi="Arial" w:cs="Arial"/>
          <w:color w:val="000000"/>
          <w:kern w:val="0"/>
          <w:sz w:val="27"/>
          <w:szCs w:val="27"/>
          <w:lang w:eastAsia="es-UY"/>
          <w14:ligatures w14:val="none"/>
        </w:rPr>
        <w:t>” es retórico, para destacar el punto de partida errado de las mujeres. Si se ha de dejar “que los muertos entierren a los muertos” (9,60) las mujeres se están ocupando de los muertos en vez de ocuparse del viviente.</w:t>
      </w:r>
    </w:p>
    <w:p w14:paraId="386F621A"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413456E"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La referencia a Galilea como “memoria” pretende – como es propio de Lucas – no referir las apariciones de Jesús a la región sino “</w:t>
      </w:r>
      <w:r w:rsidRPr="00163822">
        <w:rPr>
          <w:rFonts w:ascii="Arial" w:eastAsia="Times New Roman" w:hAnsi="Arial" w:cs="Arial"/>
          <w:i/>
          <w:iCs/>
          <w:color w:val="000000"/>
          <w:kern w:val="0"/>
          <w:sz w:val="27"/>
          <w:szCs w:val="27"/>
          <w:lang w:eastAsia="es-UY"/>
          <w14:ligatures w14:val="none"/>
        </w:rPr>
        <w:t>recordar</w:t>
      </w:r>
      <w:r w:rsidRPr="00163822">
        <w:rPr>
          <w:rFonts w:ascii="Arial" w:eastAsia="Times New Roman" w:hAnsi="Arial" w:cs="Arial"/>
          <w:color w:val="000000"/>
          <w:kern w:val="0"/>
          <w:sz w:val="27"/>
          <w:szCs w:val="27"/>
          <w:lang w:eastAsia="es-UY"/>
          <w14:ligatures w14:val="none"/>
        </w:rPr>
        <w:t>” ya que Jesús – a diferencia de Marcos y Mateo – se aparecerá en torno a Jerusalén. Es interesante que la referencia a que Jesús “será entregado en manos de los pecadores” se encuentra en el anuncio de Jesús a los discípulos en el huerto anunciando la inminente llegada de Judas y los que van a capturarlo; el texto – omitido en Lucas – se encuentra aquí como referencia al anuncio de la pasión. Pero es importante recordar que todo esto “</w:t>
      </w:r>
      <w:r w:rsidRPr="00163822">
        <w:rPr>
          <w:rFonts w:ascii="Arial" w:eastAsia="Times New Roman" w:hAnsi="Arial" w:cs="Arial"/>
          <w:i/>
          <w:iCs/>
          <w:color w:val="000000"/>
          <w:kern w:val="0"/>
          <w:sz w:val="27"/>
          <w:szCs w:val="27"/>
          <w:lang w:eastAsia="es-UY"/>
          <w14:ligatures w14:val="none"/>
        </w:rPr>
        <w:t>deì</w:t>
      </w:r>
      <w:r w:rsidRPr="00163822">
        <w:rPr>
          <w:rFonts w:ascii="Arial" w:eastAsia="Times New Roman" w:hAnsi="Arial" w:cs="Arial"/>
          <w:color w:val="000000"/>
          <w:kern w:val="0"/>
          <w:sz w:val="27"/>
          <w:szCs w:val="27"/>
          <w:lang w:eastAsia="es-UY"/>
          <w14:ligatures w14:val="none"/>
        </w:rPr>
        <w:t>” (debe) ocurrir, algo que refiere frecuentemente a la realización de la voluntad de Dios. El crucificado es “viviente” por voluntad de Dios. Ellas, entonces, como se les pidió en v.6, “recordaron”; no habían tenido otro encargo (como “anunciar”, que se encuentra en Mateo y Marcos).</w:t>
      </w:r>
    </w:p>
    <w:p w14:paraId="125B5977"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 </w:t>
      </w:r>
    </w:p>
    <w:p w14:paraId="5583EF2A"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17AFC4B" w14:textId="77777777" w:rsidR="00163822" w:rsidRPr="00163822" w:rsidRDefault="00163822" w:rsidP="0016382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63822">
        <w:rPr>
          <w:rFonts w:ascii="Arial" w:eastAsia="Times New Roman" w:hAnsi="Arial" w:cs="Arial"/>
          <w:color w:val="000000"/>
          <w:kern w:val="0"/>
          <w:sz w:val="27"/>
          <w:szCs w:val="27"/>
          <w:lang w:eastAsia="es-UY"/>
          <w14:ligatures w14:val="none"/>
        </w:rPr>
        <w:t>Foto tomada de </w:t>
      </w:r>
      <w:hyperlink r:id="rId16" w:tgtFrame="_blank" w:history="1">
        <w:r w:rsidRPr="00163822">
          <w:rPr>
            <w:rFonts w:ascii="Arial" w:eastAsia="Times New Roman" w:hAnsi="Arial" w:cs="Arial"/>
            <w:color w:val="1155CC"/>
            <w:kern w:val="0"/>
            <w:sz w:val="27"/>
            <w:szCs w:val="27"/>
            <w:u w:val="single"/>
            <w:lang w:eastAsia="es-UY"/>
            <w14:ligatures w14:val="none"/>
          </w:rPr>
          <w:t>jesusharesucitadohoy.blogspot.com</w:t>
        </w:r>
      </w:hyperlink>
    </w:p>
    <w:p w14:paraId="262DA183" w14:textId="77777777" w:rsidR="00163822" w:rsidRPr="00163822" w:rsidRDefault="00163822" w:rsidP="00163822">
      <w:pPr>
        <w:spacing w:after="0" w:line="240" w:lineRule="auto"/>
        <w:jc w:val="both"/>
        <w:rPr>
          <w:rFonts w:ascii="Times New Roman" w:eastAsia="Times New Roman" w:hAnsi="Times New Roman" w:cs="Times New Roman"/>
          <w:color w:val="000000"/>
          <w:kern w:val="0"/>
          <w:sz w:val="27"/>
          <w:szCs w:val="27"/>
          <w:shd w:val="clear" w:color="auto" w:fill="FFFFFF"/>
          <w:lang w:eastAsia="es-UY"/>
          <w14:ligatures w14:val="none"/>
        </w:rPr>
      </w:pPr>
      <w:r w:rsidRPr="00163822">
        <w:rPr>
          <w:rFonts w:ascii="Arial" w:eastAsia="Times New Roman" w:hAnsi="Arial" w:cs="Arial"/>
          <w:color w:val="000000"/>
          <w:kern w:val="0"/>
          <w:sz w:val="27"/>
          <w:szCs w:val="27"/>
          <w:shd w:val="clear" w:color="auto" w:fill="FFFFFF"/>
          <w:lang w:eastAsia="es-UY"/>
          <w14:ligatures w14:val="none"/>
        </w:rPr>
        <w:t> </w:t>
      </w:r>
    </w:p>
    <w:p w14:paraId="699D648F"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22"/>
    <w:rsid w:val="00163822"/>
    <w:rsid w:val="00926044"/>
    <w:rsid w:val="00DE17AC"/>
    <w:rsid w:val="00FD4DC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B9357"/>
  <w15:chartTrackingRefBased/>
  <w15:docId w15:val="{06E5A720-528D-4A7A-B709-753E9B4F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638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638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6382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6382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6382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6382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382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382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382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382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6382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6382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6382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6382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6382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382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382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3822"/>
    <w:rPr>
      <w:rFonts w:eastAsiaTheme="majorEastAsia" w:cstheme="majorBidi"/>
      <w:color w:val="272727" w:themeColor="text1" w:themeTint="D8"/>
    </w:rPr>
  </w:style>
  <w:style w:type="paragraph" w:styleId="Ttulo">
    <w:name w:val="Title"/>
    <w:basedOn w:val="Normal"/>
    <w:next w:val="Normal"/>
    <w:link w:val="TtuloCar"/>
    <w:uiPriority w:val="10"/>
    <w:qFormat/>
    <w:rsid w:val="001638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38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382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382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3822"/>
    <w:pPr>
      <w:spacing w:before="160"/>
      <w:jc w:val="center"/>
    </w:pPr>
    <w:rPr>
      <w:i/>
      <w:iCs/>
      <w:color w:val="404040" w:themeColor="text1" w:themeTint="BF"/>
    </w:rPr>
  </w:style>
  <w:style w:type="character" w:customStyle="1" w:styleId="CitaCar">
    <w:name w:val="Cita Car"/>
    <w:basedOn w:val="Fuentedeprrafopredeter"/>
    <w:link w:val="Cita"/>
    <w:uiPriority w:val="29"/>
    <w:rsid w:val="00163822"/>
    <w:rPr>
      <w:i/>
      <w:iCs/>
      <w:color w:val="404040" w:themeColor="text1" w:themeTint="BF"/>
    </w:rPr>
  </w:style>
  <w:style w:type="paragraph" w:styleId="Prrafodelista">
    <w:name w:val="List Paragraph"/>
    <w:basedOn w:val="Normal"/>
    <w:uiPriority w:val="34"/>
    <w:qFormat/>
    <w:rsid w:val="00163822"/>
    <w:pPr>
      <w:ind w:left="720"/>
      <w:contextualSpacing/>
    </w:pPr>
  </w:style>
  <w:style w:type="character" w:styleId="nfasisintenso">
    <w:name w:val="Intense Emphasis"/>
    <w:basedOn w:val="Fuentedeprrafopredeter"/>
    <w:uiPriority w:val="21"/>
    <w:qFormat/>
    <w:rsid w:val="00163822"/>
    <w:rPr>
      <w:i/>
      <w:iCs/>
      <w:color w:val="0F4761" w:themeColor="accent1" w:themeShade="BF"/>
    </w:rPr>
  </w:style>
  <w:style w:type="paragraph" w:styleId="Citadestacada">
    <w:name w:val="Intense Quote"/>
    <w:basedOn w:val="Normal"/>
    <w:next w:val="Normal"/>
    <w:link w:val="CitadestacadaCar"/>
    <w:uiPriority w:val="30"/>
    <w:qFormat/>
    <w:rsid w:val="001638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63822"/>
    <w:rPr>
      <w:i/>
      <w:iCs/>
      <w:color w:val="0F4761" w:themeColor="accent1" w:themeShade="BF"/>
    </w:rPr>
  </w:style>
  <w:style w:type="character" w:styleId="Referenciaintensa">
    <w:name w:val="Intense Reference"/>
    <w:basedOn w:val="Fuentedeprrafopredeter"/>
    <w:uiPriority w:val="32"/>
    <w:qFormat/>
    <w:rsid w:val="001638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12761899174334620" TargetMode="External"/><Relationship Id="rId13" Type="http://schemas.openxmlformats.org/officeDocument/2006/relationships/hyperlink" Target="https://www.blogger.com/blog/post/edit/2845060600014161194/1276189917433462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ogger.com/blog/post/edit/2845060600014161194/12761899174334620" TargetMode="External"/><Relationship Id="rId12" Type="http://schemas.openxmlformats.org/officeDocument/2006/relationships/hyperlink" Target="https://www.blogger.com/blog/post/edit/2845060600014161194/12761899174334620"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logger.com/blog/post/edit/2845060600014161194/12761899174334620"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blogger.com/blog/post/edit/2845060600014161194/12761899174334620" TargetMode="External"/><Relationship Id="rId5" Type="http://schemas.openxmlformats.org/officeDocument/2006/relationships/hyperlink" Target="https://www.blogger.com/blog/post/edit/2845060600014161194/12761899174334620" TargetMode="External"/><Relationship Id="rId15" Type="http://schemas.openxmlformats.org/officeDocument/2006/relationships/hyperlink" Target="https://www.blogger.com/blog/post/edit/2845060600014161194/12761899174334620" TargetMode="External"/><Relationship Id="rId10" Type="http://schemas.openxmlformats.org/officeDocument/2006/relationships/hyperlink" Target="https://www.blogger.com/blog/post/edit/2845060600014161194/12761899174334620" TargetMode="External"/><Relationship Id="rId4" Type="http://schemas.openxmlformats.org/officeDocument/2006/relationships/hyperlink" Target="https://www.blogger.com/blog/post/edit/2845060600014161194/12761899174334620" TargetMode="External"/><Relationship Id="rId9" Type="http://schemas.openxmlformats.org/officeDocument/2006/relationships/hyperlink" Target="https://www.blogger.com/blog/post/edit/2845060600014161194/12761899174334620" TargetMode="External"/><Relationship Id="rId14" Type="http://schemas.openxmlformats.org/officeDocument/2006/relationships/hyperlink" Target="https://www.blogger.com/blog/post/edit/2845060600014161194/1276189917433462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3230</Words>
  <Characters>17768</Characters>
  <Application>Microsoft Office Word</Application>
  <DocSecurity>0</DocSecurity>
  <Lines>148</Lines>
  <Paragraphs>41</Paragraphs>
  <ScaleCrop>false</ScaleCrop>
  <Company/>
  <LinksUpToDate>false</LinksUpToDate>
  <CharactersWithSpaces>20957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2025-10-28T17:41:00Z</dcterms:created>
  <dcterms:modified xsi:type="dcterms:W3CDTF">2025-10-28T17:41:00Z</dcterms:modified>
</cp:coreProperties>
</file>