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90448" w14:textId="77777777" w:rsidR="00AC3E39" w:rsidRPr="00AC3E39" w:rsidRDefault="00AC3E39" w:rsidP="00AC3E39">
      <w:pPr>
        <w:shd w:val="clear" w:color="auto" w:fill="FFFFFF"/>
        <w:spacing w:after="100" w:afterAutospacing="1" w:line="240" w:lineRule="auto"/>
        <w:outlineLvl w:val="0"/>
        <w:rPr>
          <w:rFonts w:ascii="Segoe UI" w:eastAsia="Times New Roman" w:hAnsi="Segoe UI" w:cs="Segoe UI"/>
          <w:color w:val="212529"/>
          <w:kern w:val="36"/>
          <w:sz w:val="48"/>
          <w:szCs w:val="48"/>
          <w:lang w:eastAsia="es-UY"/>
          <w14:ligatures w14:val="none"/>
        </w:rPr>
      </w:pPr>
      <w:r w:rsidRPr="00AC3E39">
        <w:rPr>
          <w:rFonts w:ascii="Segoe UI" w:eastAsia="Times New Roman" w:hAnsi="Segoe UI" w:cs="Segoe UI"/>
          <w:color w:val="212529"/>
          <w:kern w:val="36"/>
          <w:sz w:val="48"/>
          <w:szCs w:val="48"/>
          <w:lang w:eastAsia="es-UY"/>
          <w14:ligatures w14:val="none"/>
        </w:rPr>
        <w:t xml:space="preserve">Cosas de antes: Las huchas del </w:t>
      </w:r>
      <w:proofErr w:type="spellStart"/>
      <w:r w:rsidRPr="00AC3E39">
        <w:rPr>
          <w:rFonts w:ascii="Segoe UI" w:eastAsia="Times New Roman" w:hAnsi="Segoe UI" w:cs="Segoe UI"/>
          <w:color w:val="212529"/>
          <w:kern w:val="36"/>
          <w:sz w:val="48"/>
          <w:szCs w:val="48"/>
          <w:lang w:eastAsia="es-UY"/>
          <w14:ligatures w14:val="none"/>
        </w:rPr>
        <w:t>Domund</w:t>
      </w:r>
      <w:proofErr w:type="spellEnd"/>
    </w:p>
    <w:p w14:paraId="0612F7A9" w14:textId="68E5E683" w:rsidR="00AC3E39" w:rsidRPr="00AC3E39" w:rsidRDefault="00AC3E39" w:rsidP="00AC3E39">
      <w:pPr>
        <w:shd w:val="clear" w:color="auto" w:fill="FFFFFF"/>
        <w:spacing w:after="0" w:line="240" w:lineRule="auto"/>
        <w:rPr>
          <w:rFonts w:ascii="Times New Roman" w:eastAsia="Times New Roman" w:hAnsi="Times New Roman" w:cs="Times New Roman"/>
          <w:kern w:val="0"/>
          <w:sz w:val="24"/>
          <w:szCs w:val="24"/>
          <w:lang w:eastAsia="es-UY"/>
          <w14:ligatures w14:val="none"/>
        </w:rPr>
      </w:pPr>
      <w:hyperlink r:id="rId4" w:history="1">
        <w:r w:rsidRPr="00AC3E39">
          <w:rPr>
            <w:rFonts w:ascii="Times New Roman" w:eastAsia="Times New Roman" w:hAnsi="Times New Roman" w:cs="Times New Roman"/>
            <w:b/>
            <w:bCs/>
            <w:color w:val="B2222D"/>
            <w:kern w:val="0"/>
            <w:sz w:val="27"/>
            <w:szCs w:val="27"/>
            <w:u w:val="single"/>
            <w:lang w:eastAsia="es-UY"/>
            <w14:ligatures w14:val="none"/>
          </w:rPr>
          <w:t>Víctor</w:t>
        </w:r>
      </w:hyperlink>
      <w:r>
        <w:rPr>
          <w:rFonts w:ascii="Times New Roman" w:eastAsia="Times New Roman" w:hAnsi="Times New Roman" w:cs="Times New Roman"/>
          <w:kern w:val="0"/>
          <w:sz w:val="24"/>
          <w:szCs w:val="24"/>
          <w:lang w:eastAsia="es-UY"/>
          <w14:ligatures w14:val="none"/>
        </w:rPr>
        <w:t xml:space="preserve"> </w:t>
      </w:r>
      <w:hyperlink r:id="rId5" w:history="1">
        <w:r w:rsidRPr="00AC3E39">
          <w:rPr>
            <w:rFonts w:ascii="Times New Roman" w:eastAsia="Times New Roman" w:hAnsi="Times New Roman" w:cs="Times New Roman"/>
            <w:b/>
            <w:bCs/>
            <w:color w:val="B2222D"/>
            <w:kern w:val="0"/>
            <w:sz w:val="27"/>
            <w:szCs w:val="27"/>
            <w:u w:val="single"/>
            <w:lang w:eastAsia="es-UY"/>
            <w14:ligatures w14:val="none"/>
          </w:rPr>
          <w:t>Rodríguez e Iñigo</w:t>
        </w:r>
      </w:hyperlink>
    </w:p>
    <w:p w14:paraId="20B3B5A9" w14:textId="77777777" w:rsidR="00AC3E39" w:rsidRPr="00AC3E39" w:rsidRDefault="00AC3E39" w:rsidP="00AC3E39">
      <w:pPr>
        <w:shd w:val="clear" w:color="auto" w:fill="FFFFFF"/>
        <w:spacing w:after="0" w:line="240" w:lineRule="auto"/>
        <w:rPr>
          <w:rFonts w:ascii="Times New Roman" w:eastAsia="Times New Roman" w:hAnsi="Times New Roman" w:cs="Times New Roman"/>
          <w:kern w:val="0"/>
          <w:sz w:val="24"/>
          <w:szCs w:val="24"/>
          <w:lang w:eastAsia="es-UY"/>
          <w14:ligatures w14:val="none"/>
        </w:rPr>
      </w:pPr>
      <w:r w:rsidRPr="00AC3E39">
        <w:rPr>
          <w:rFonts w:ascii="Times New Roman" w:eastAsia="Times New Roman" w:hAnsi="Times New Roman" w:cs="Times New Roman"/>
          <w:kern w:val="0"/>
          <w:sz w:val="24"/>
          <w:szCs w:val="24"/>
          <w:lang w:eastAsia="es-UY"/>
          <w14:ligatures w14:val="none"/>
        </w:rPr>
        <w:t>lun. 13/10/2025</w:t>
      </w:r>
    </w:p>
    <w:p w14:paraId="294CCEC4" w14:textId="77777777" w:rsidR="00AC3E39" w:rsidRPr="00AC3E39" w:rsidRDefault="00AC3E39" w:rsidP="00AC3E39">
      <w:pPr>
        <w:shd w:val="clear" w:color="auto" w:fill="FFFFFF"/>
        <w:spacing w:after="0" w:line="240" w:lineRule="auto"/>
        <w:jc w:val="both"/>
        <w:rPr>
          <w:rFonts w:eastAsia="Times New Roman" w:cs="Times New Roman"/>
          <w:kern w:val="0"/>
          <w:sz w:val="24"/>
          <w:szCs w:val="24"/>
          <w:lang w:eastAsia="es-UY"/>
          <w14:ligatures w14:val="none"/>
        </w:rPr>
      </w:pPr>
      <w:r w:rsidRPr="00AC3E39">
        <w:rPr>
          <w:rFonts w:eastAsia="Times New Roman" w:cs="Times New Roman"/>
          <w:noProof/>
          <w:kern w:val="0"/>
          <w:sz w:val="24"/>
          <w:szCs w:val="24"/>
          <w:lang w:eastAsia="es-UY"/>
          <w14:ligatures w14:val="none"/>
        </w:rPr>
        <w:drawing>
          <wp:inline distT="0" distB="0" distL="0" distR="0" wp14:anchorId="589F666E" wp14:editId="6A319EB2">
            <wp:extent cx="5226050" cy="2939653"/>
            <wp:effectExtent l="0" t="0" r="0" b="0"/>
            <wp:docPr id="2" name="Imagen 2" descr="cosas-de antes-huchas-Dom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sas-de antes-huchas-Dom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0490" cy="2947776"/>
                    </a:xfrm>
                    <a:prstGeom prst="rect">
                      <a:avLst/>
                    </a:prstGeom>
                    <a:noFill/>
                    <a:ln>
                      <a:noFill/>
                    </a:ln>
                  </pic:spPr>
                </pic:pic>
              </a:graphicData>
            </a:graphic>
          </wp:inline>
        </w:drawing>
      </w:r>
    </w:p>
    <w:p w14:paraId="010D2D9E" w14:textId="77777777" w:rsidR="00AC3E39" w:rsidRPr="00AC3E39" w:rsidRDefault="00AC3E39" w:rsidP="00AC3E39">
      <w:pPr>
        <w:shd w:val="clear" w:color="auto" w:fill="FFFFFF"/>
        <w:spacing w:after="0" w:line="240" w:lineRule="auto"/>
        <w:jc w:val="both"/>
        <w:rPr>
          <w:rFonts w:eastAsia="Times New Roman" w:cs="Times New Roman"/>
          <w:kern w:val="0"/>
          <w:lang w:eastAsia="es-UY"/>
          <w14:ligatures w14:val="none"/>
        </w:rPr>
      </w:pPr>
      <w:hyperlink r:id="rId7" w:tgtFrame="_blank" w:history="1">
        <w:r w:rsidRPr="00AC3E39">
          <w:rPr>
            <w:rFonts w:eastAsia="Times New Roman" w:cs="Times New Roman"/>
            <w:color w:val="B2222D"/>
            <w:kern w:val="0"/>
            <w:u w:val="single"/>
            <w:lang w:eastAsia="es-UY"/>
            <w14:ligatures w14:val="none"/>
          </w:rPr>
          <w:t>Cosas de Antes</w:t>
        </w:r>
      </w:hyperlink>
    </w:p>
    <w:p w14:paraId="3D08EADE" w14:textId="77777777" w:rsid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p>
    <w:p w14:paraId="719BB1B4" w14:textId="0CA1FA38" w:rsidR="00AC3E39" w:rsidRP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r w:rsidRPr="00AC3E39">
        <w:rPr>
          <w:rFonts w:eastAsia="Times New Roman" w:cs="Times New Roman"/>
          <w:kern w:val="0"/>
          <w:sz w:val="24"/>
          <w:szCs w:val="24"/>
          <w:lang w:eastAsia="es-UY"/>
          <w14:ligatures w14:val="none"/>
        </w:rPr>
        <w:t xml:space="preserve">El tercer domingo de octubre y por tradición, en los días anteriores, la iglesia celebra el Domingo mundial de las misiones, una celebración conocida popularmente como el </w:t>
      </w:r>
      <w:proofErr w:type="spellStart"/>
      <w:r w:rsidRPr="00AC3E39">
        <w:rPr>
          <w:rFonts w:eastAsia="Times New Roman" w:cs="Times New Roman"/>
          <w:kern w:val="0"/>
          <w:sz w:val="24"/>
          <w:szCs w:val="24"/>
          <w:lang w:eastAsia="es-UY"/>
          <w14:ligatures w14:val="none"/>
        </w:rPr>
        <w:t>Domund</w:t>
      </w:r>
      <w:proofErr w:type="spellEnd"/>
      <w:r w:rsidRPr="00AC3E39">
        <w:rPr>
          <w:rFonts w:eastAsia="Times New Roman" w:cs="Times New Roman"/>
          <w:kern w:val="0"/>
          <w:sz w:val="24"/>
          <w:szCs w:val="24"/>
          <w:lang w:eastAsia="es-UY"/>
          <w14:ligatures w14:val="none"/>
        </w:rPr>
        <w:t xml:space="preserve"> por poner consideración el valor misionero de la iglesia en territorios tradicionalmente no cristianos. Es una iniciativa que desde 1926 -ya punto del centenario- se promueve desde el Vaticano, concretamente por las Obras Misioneras Pontificias.</w:t>
      </w:r>
    </w:p>
    <w:p w14:paraId="7CFD4624" w14:textId="77777777" w:rsidR="00AC3E39" w:rsidRP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r w:rsidRPr="00AC3E39">
        <w:rPr>
          <w:rFonts w:eastAsia="Times New Roman" w:cs="Times New Roman"/>
          <w:kern w:val="0"/>
          <w:sz w:val="24"/>
          <w:szCs w:val="24"/>
          <w:lang w:eastAsia="es-UY"/>
          <w14:ligatures w14:val="none"/>
        </w:rPr>
        <w:t xml:space="preserve">El </w:t>
      </w:r>
      <w:proofErr w:type="spellStart"/>
      <w:r w:rsidRPr="00AC3E39">
        <w:rPr>
          <w:rFonts w:eastAsia="Times New Roman" w:cs="Times New Roman"/>
          <w:kern w:val="0"/>
          <w:sz w:val="24"/>
          <w:szCs w:val="24"/>
          <w:lang w:eastAsia="es-UY"/>
          <w14:ligatures w14:val="none"/>
        </w:rPr>
        <w:t>Domund</w:t>
      </w:r>
      <w:proofErr w:type="spellEnd"/>
      <w:r w:rsidRPr="00AC3E39">
        <w:rPr>
          <w:rFonts w:eastAsia="Times New Roman" w:cs="Times New Roman"/>
          <w:kern w:val="0"/>
          <w:sz w:val="24"/>
          <w:szCs w:val="24"/>
          <w:lang w:eastAsia="es-UY"/>
          <w14:ligatures w14:val="none"/>
        </w:rPr>
        <w:t xml:space="preserve"> en nuestra casa es recordado por muchas personas por las captas que se hacían - y se hacen - en escuelas, parroquias e instituciones vinculadas a la iglesia para recoger dinero para las misiones católicas de todo el mundo y ayudar así en su labor evangelizadora y social.</w:t>
      </w:r>
    </w:p>
    <w:p w14:paraId="1B78D348" w14:textId="77777777" w:rsidR="00AC3E39" w:rsidRP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r w:rsidRPr="00AC3E39">
        <w:rPr>
          <w:rFonts w:eastAsia="Times New Roman" w:cs="Times New Roman"/>
          <w:kern w:val="0"/>
          <w:sz w:val="24"/>
          <w:szCs w:val="24"/>
          <w:lang w:eastAsia="es-UY"/>
          <w14:ligatures w14:val="none"/>
        </w:rPr>
        <w:t xml:space="preserve">Pero para recoger los donativos era necesario un objeto que lo hiciera posible: la hucha. Antes de la llegada del plástico, pues, las huchas eran o bien metálicas o bien de barro y cerámica. En nuestro país se elaboró </w:t>
      </w:r>
      <w:r w:rsidRPr="00AC3E39">
        <w:rPr>
          <w:rFonts w:ascii="Arial" w:eastAsia="Times New Roman" w:hAnsi="Arial" w:cs="Arial"/>
          <w:kern w:val="0"/>
          <w:sz w:val="24"/>
          <w:szCs w:val="24"/>
          <w:lang w:eastAsia="es-UY"/>
          <w14:ligatures w14:val="none"/>
        </w:rPr>
        <w:t>​​</w:t>
      </w:r>
      <w:r w:rsidRPr="00AC3E39">
        <w:rPr>
          <w:rFonts w:eastAsia="Times New Roman" w:cs="Times New Roman"/>
          <w:kern w:val="0"/>
          <w:sz w:val="24"/>
          <w:szCs w:val="24"/>
          <w:lang w:eastAsia="es-UY"/>
          <w14:ligatures w14:val="none"/>
        </w:rPr>
        <w:t>unas singulares: piezas cer</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micas con los rostros de diferentes nativos de todo el mundo: africanos, indios, orientales... La cer</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mica permit</w:t>
      </w:r>
      <w:r w:rsidRPr="00AC3E39">
        <w:rPr>
          <w:rFonts w:ascii="Aptos" w:eastAsia="Times New Roman" w:hAnsi="Aptos" w:cs="Aptos"/>
          <w:kern w:val="0"/>
          <w:sz w:val="24"/>
          <w:szCs w:val="24"/>
          <w:lang w:eastAsia="es-UY"/>
          <w14:ligatures w14:val="none"/>
        </w:rPr>
        <w:t>í</w:t>
      </w:r>
      <w:r w:rsidRPr="00AC3E39">
        <w:rPr>
          <w:rFonts w:eastAsia="Times New Roman" w:cs="Times New Roman"/>
          <w:kern w:val="0"/>
          <w:sz w:val="24"/>
          <w:szCs w:val="24"/>
          <w:lang w:eastAsia="es-UY"/>
          <w14:ligatures w14:val="none"/>
        </w:rPr>
        <w:t>a visualizar de una manera mucho m</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s clara y n</w:t>
      </w:r>
      <w:r w:rsidRPr="00AC3E39">
        <w:rPr>
          <w:rFonts w:ascii="Aptos" w:eastAsia="Times New Roman" w:hAnsi="Aptos" w:cs="Aptos"/>
          <w:kern w:val="0"/>
          <w:sz w:val="24"/>
          <w:szCs w:val="24"/>
          <w:lang w:eastAsia="es-UY"/>
          <w14:ligatures w14:val="none"/>
        </w:rPr>
        <w:t>í</w:t>
      </w:r>
      <w:r w:rsidRPr="00AC3E39">
        <w:rPr>
          <w:rFonts w:eastAsia="Times New Roman" w:cs="Times New Roman"/>
          <w:kern w:val="0"/>
          <w:sz w:val="24"/>
          <w:szCs w:val="24"/>
          <w:lang w:eastAsia="es-UY"/>
          <w14:ligatures w14:val="none"/>
        </w:rPr>
        <w:t>tida el destino de los donativos m</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s all</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 xml:space="preserve"> de una hucha met</w:t>
      </w:r>
      <w:r w:rsidRPr="00AC3E39">
        <w:rPr>
          <w:rFonts w:ascii="Aptos" w:eastAsia="Times New Roman" w:hAnsi="Aptos" w:cs="Aptos"/>
          <w:kern w:val="0"/>
          <w:sz w:val="24"/>
          <w:szCs w:val="24"/>
          <w:lang w:eastAsia="es-UY"/>
          <w14:ligatures w14:val="none"/>
        </w:rPr>
        <w:t>á</w:t>
      </w:r>
      <w:r w:rsidRPr="00AC3E39">
        <w:rPr>
          <w:rFonts w:eastAsia="Times New Roman" w:cs="Times New Roman"/>
          <w:kern w:val="0"/>
          <w:sz w:val="24"/>
          <w:szCs w:val="24"/>
          <w:lang w:eastAsia="es-UY"/>
          <w14:ligatures w14:val="none"/>
        </w:rPr>
        <w:t>lica cualquiera.</w:t>
      </w:r>
    </w:p>
    <w:p w14:paraId="054E42E8" w14:textId="77777777" w:rsidR="00AC3E39" w:rsidRPr="00AC3E39" w:rsidRDefault="00AC3E39" w:rsidP="00AC3E39">
      <w:pPr>
        <w:shd w:val="clear" w:color="auto" w:fill="FFFFFF"/>
        <w:spacing w:after="0" w:line="240" w:lineRule="auto"/>
        <w:jc w:val="both"/>
        <w:rPr>
          <w:rFonts w:eastAsia="Times New Roman" w:cs="Times New Roman"/>
          <w:color w:val="212529"/>
          <w:kern w:val="0"/>
          <w:sz w:val="24"/>
          <w:szCs w:val="24"/>
          <w:lang w:eastAsia="es-UY"/>
          <w14:ligatures w14:val="none"/>
        </w:rPr>
      </w:pPr>
      <w:r w:rsidRPr="00AC3E39">
        <w:rPr>
          <w:rFonts w:eastAsia="Times New Roman" w:cs="Times New Roman"/>
          <w:noProof/>
          <w:color w:val="212529"/>
          <w:kern w:val="0"/>
          <w:sz w:val="24"/>
          <w:szCs w:val="24"/>
          <w:lang w:eastAsia="es-UY"/>
          <w14:ligatures w14:val="none"/>
        </w:rPr>
        <w:lastRenderedPageBreak/>
        <w:drawing>
          <wp:inline distT="0" distB="0" distL="0" distR="0" wp14:anchorId="2C8D6528" wp14:editId="2099A6F7">
            <wp:extent cx="5283200" cy="2971800"/>
            <wp:effectExtent l="0" t="0" r="0" b="0"/>
            <wp:docPr id="3" name="Imagen 1" descr="farolillo-cosas-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rolillo-cosas-an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451" cy="2976441"/>
                    </a:xfrm>
                    <a:prstGeom prst="rect">
                      <a:avLst/>
                    </a:prstGeom>
                    <a:noFill/>
                    <a:ln>
                      <a:noFill/>
                    </a:ln>
                  </pic:spPr>
                </pic:pic>
              </a:graphicData>
            </a:graphic>
          </wp:inline>
        </w:drawing>
      </w:r>
    </w:p>
    <w:p w14:paraId="26697847" w14:textId="77777777" w:rsidR="00AC3E39" w:rsidRPr="00AC3E39" w:rsidRDefault="00AC3E39" w:rsidP="00AC3E39">
      <w:pPr>
        <w:shd w:val="clear" w:color="auto" w:fill="FFFFFF"/>
        <w:spacing w:after="120" w:line="240" w:lineRule="auto"/>
        <w:jc w:val="both"/>
        <w:outlineLvl w:val="3"/>
        <w:rPr>
          <w:rFonts w:eastAsia="Times New Roman" w:cs="Segoe UI"/>
          <w:color w:val="212529"/>
          <w:kern w:val="0"/>
          <w:sz w:val="24"/>
          <w:szCs w:val="24"/>
          <w:lang w:eastAsia="es-UY"/>
          <w14:ligatures w14:val="none"/>
        </w:rPr>
      </w:pPr>
      <w:hyperlink r:id="rId9" w:history="1">
        <w:r w:rsidRPr="00AC3E39">
          <w:rPr>
            <w:rFonts w:eastAsia="Times New Roman" w:cs="Segoe UI"/>
            <w:color w:val="212529"/>
            <w:kern w:val="0"/>
            <w:sz w:val="24"/>
            <w:szCs w:val="24"/>
            <w:u w:val="single"/>
            <w:lang w:eastAsia="es-UY"/>
            <w14:ligatures w14:val="none"/>
          </w:rPr>
          <w:t>Cosas de Antes: La campana y el farolillo del Viático</w:t>
        </w:r>
      </w:hyperlink>
    </w:p>
    <w:p w14:paraId="373805E6" w14:textId="77777777" w:rsidR="00AC3E39" w:rsidRP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r w:rsidRPr="00AC3E39">
        <w:rPr>
          <w:rFonts w:eastAsia="Times New Roman" w:cs="Times New Roman"/>
          <w:kern w:val="0"/>
          <w:sz w:val="24"/>
          <w:szCs w:val="24"/>
          <w:lang w:eastAsia="es-UY"/>
          <w14:ligatures w14:val="none"/>
        </w:rPr>
        <w:t xml:space="preserve">Estas huchas elaboradas expresamente cada año por el </w:t>
      </w:r>
      <w:proofErr w:type="spellStart"/>
      <w:r w:rsidRPr="00AC3E39">
        <w:rPr>
          <w:rFonts w:eastAsia="Times New Roman" w:cs="Times New Roman"/>
          <w:kern w:val="0"/>
          <w:sz w:val="24"/>
          <w:szCs w:val="24"/>
          <w:lang w:eastAsia="es-UY"/>
          <w14:ligatures w14:val="none"/>
        </w:rPr>
        <w:t>Domund</w:t>
      </w:r>
      <w:proofErr w:type="spellEnd"/>
      <w:r w:rsidRPr="00AC3E39">
        <w:rPr>
          <w:rFonts w:eastAsia="Times New Roman" w:cs="Times New Roman"/>
          <w:kern w:val="0"/>
          <w:sz w:val="24"/>
          <w:szCs w:val="24"/>
          <w:lang w:eastAsia="es-UY"/>
          <w14:ligatures w14:val="none"/>
        </w:rPr>
        <w:t xml:space="preserve"> tuvieron mucha popularidad a mediados del siglo pasado y hasta la llegada de nuevos formatos más prácticos, económicos y menos artesanales. El hecho de mostrar también rostros de diversas etnias contribuyó a ir quedando relegadas por las huchas de carácter general. Hoy, estas huchas tienen un alto valor económico en el mercado, tanto por su antigüedad como por su singularidad: y es que para recoger los donativos era necesario romperlas. Esto supuso que fueran tanto un objeto muy popular como a la vez, poco común, ya que se rompían cuando la jornada terminaba para recoger su capta. </w:t>
      </w:r>
    </w:p>
    <w:p w14:paraId="7B4714AE" w14:textId="77777777" w:rsidR="00AC3E39" w:rsidRPr="00AC3E39" w:rsidRDefault="00AC3E39" w:rsidP="00AC3E39">
      <w:pPr>
        <w:shd w:val="clear" w:color="auto" w:fill="FFFFFF"/>
        <w:spacing w:after="100" w:afterAutospacing="1" w:line="240" w:lineRule="auto"/>
        <w:jc w:val="both"/>
        <w:rPr>
          <w:rFonts w:eastAsia="Times New Roman" w:cs="Times New Roman"/>
          <w:kern w:val="0"/>
          <w:sz w:val="24"/>
          <w:szCs w:val="24"/>
          <w:lang w:eastAsia="es-UY"/>
          <w14:ligatures w14:val="none"/>
        </w:rPr>
      </w:pPr>
      <w:r w:rsidRPr="00AC3E39">
        <w:rPr>
          <w:rFonts w:eastAsia="Times New Roman" w:cs="Times New Roman"/>
          <w:kern w:val="0"/>
          <w:sz w:val="24"/>
          <w:szCs w:val="24"/>
          <w:lang w:eastAsia="es-UY"/>
          <w14:ligatures w14:val="none"/>
        </w:rPr>
        <w:t>Hoy, por tanto, son un objeto preciado por los coleccionistas porque forman parte del imaginario popular de una parte importante de la población, pero al mismo tiempo son una pieza coleccionable difícil de encontrar.</w:t>
      </w:r>
    </w:p>
    <w:p w14:paraId="70F14607" w14:textId="6D005EBC" w:rsidR="00AC3E39" w:rsidRDefault="00AC3E39" w:rsidP="00AC3E39">
      <w:pPr>
        <w:shd w:val="clear" w:color="auto" w:fill="FFFFFF"/>
        <w:spacing w:after="0" w:line="240" w:lineRule="auto"/>
        <w:rPr>
          <w:rFonts w:ascii="Times New Roman" w:eastAsia="Times New Roman" w:hAnsi="Times New Roman" w:cs="Times New Roman"/>
          <w:b/>
          <w:bCs/>
          <w:i/>
          <w:iCs/>
          <w:kern w:val="0"/>
          <w:sz w:val="24"/>
          <w:szCs w:val="24"/>
          <w:lang w:eastAsia="es-UY"/>
          <w14:ligatures w14:val="none"/>
        </w:rPr>
      </w:pPr>
      <w:hyperlink r:id="rId10" w:history="1">
        <w:r w:rsidRPr="00F47B03">
          <w:rPr>
            <w:rStyle w:val="Hipervnculo"/>
            <w:rFonts w:ascii="Times New Roman" w:eastAsia="Times New Roman" w:hAnsi="Times New Roman" w:cs="Times New Roman"/>
            <w:b/>
            <w:bCs/>
            <w:i/>
            <w:iCs/>
            <w:kern w:val="0"/>
            <w:sz w:val="24"/>
            <w:szCs w:val="24"/>
            <w:lang w:eastAsia="es-UY"/>
            <w14:ligatures w14:val="none"/>
          </w:rPr>
          <w:t>https://www.catalunyareligio.cat/ca/coses-antes-guardioles-domund</w:t>
        </w:r>
      </w:hyperlink>
    </w:p>
    <w:p w14:paraId="47C3B49C" w14:textId="77777777" w:rsidR="00AC3E39" w:rsidRPr="00AC3E39" w:rsidRDefault="00AC3E39" w:rsidP="00AC3E39">
      <w:pPr>
        <w:shd w:val="clear" w:color="auto" w:fill="FFFFFF"/>
        <w:spacing w:after="0" w:line="240" w:lineRule="auto"/>
        <w:rPr>
          <w:rFonts w:ascii="Times New Roman" w:eastAsia="Times New Roman" w:hAnsi="Times New Roman" w:cs="Times New Roman"/>
          <w:b/>
          <w:bCs/>
          <w:i/>
          <w:iCs/>
          <w:kern w:val="0"/>
          <w:sz w:val="24"/>
          <w:szCs w:val="24"/>
          <w:lang w:eastAsia="es-UY"/>
          <w14:ligatures w14:val="none"/>
        </w:rPr>
      </w:pPr>
    </w:p>
    <w:sectPr w:rsidR="00AC3E39" w:rsidRPr="00AC3E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E39"/>
    <w:rsid w:val="00926044"/>
    <w:rsid w:val="00AC3E39"/>
    <w:rsid w:val="00C702C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2F9A3"/>
  <w15:chartTrackingRefBased/>
  <w15:docId w15:val="{3A6323FA-FC78-4B47-9E4F-F1D9BDC8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C3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3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3E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3E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3E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3E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3E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3E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3E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3E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C3E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C3E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C3E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C3E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C3E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C3E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C3E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C3E39"/>
    <w:rPr>
      <w:rFonts w:eastAsiaTheme="majorEastAsia" w:cstheme="majorBidi"/>
      <w:color w:val="272727" w:themeColor="text1" w:themeTint="D8"/>
    </w:rPr>
  </w:style>
  <w:style w:type="paragraph" w:styleId="Ttulo">
    <w:name w:val="Title"/>
    <w:basedOn w:val="Normal"/>
    <w:next w:val="Normal"/>
    <w:link w:val="TtuloCar"/>
    <w:uiPriority w:val="10"/>
    <w:qFormat/>
    <w:rsid w:val="00AC3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3E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C3E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3E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C3E39"/>
    <w:pPr>
      <w:spacing w:before="160"/>
      <w:jc w:val="center"/>
    </w:pPr>
    <w:rPr>
      <w:i/>
      <w:iCs/>
      <w:color w:val="404040" w:themeColor="text1" w:themeTint="BF"/>
    </w:rPr>
  </w:style>
  <w:style w:type="character" w:customStyle="1" w:styleId="CitaCar">
    <w:name w:val="Cita Car"/>
    <w:basedOn w:val="Fuentedeprrafopredeter"/>
    <w:link w:val="Cita"/>
    <w:uiPriority w:val="29"/>
    <w:rsid w:val="00AC3E39"/>
    <w:rPr>
      <w:i/>
      <w:iCs/>
      <w:color w:val="404040" w:themeColor="text1" w:themeTint="BF"/>
    </w:rPr>
  </w:style>
  <w:style w:type="paragraph" w:styleId="Prrafodelista">
    <w:name w:val="List Paragraph"/>
    <w:basedOn w:val="Normal"/>
    <w:uiPriority w:val="34"/>
    <w:qFormat/>
    <w:rsid w:val="00AC3E39"/>
    <w:pPr>
      <w:ind w:left="720"/>
      <w:contextualSpacing/>
    </w:pPr>
  </w:style>
  <w:style w:type="character" w:styleId="nfasisintenso">
    <w:name w:val="Intense Emphasis"/>
    <w:basedOn w:val="Fuentedeprrafopredeter"/>
    <w:uiPriority w:val="21"/>
    <w:qFormat/>
    <w:rsid w:val="00AC3E39"/>
    <w:rPr>
      <w:i/>
      <w:iCs/>
      <w:color w:val="0F4761" w:themeColor="accent1" w:themeShade="BF"/>
    </w:rPr>
  </w:style>
  <w:style w:type="paragraph" w:styleId="Citadestacada">
    <w:name w:val="Intense Quote"/>
    <w:basedOn w:val="Normal"/>
    <w:next w:val="Normal"/>
    <w:link w:val="CitadestacadaCar"/>
    <w:uiPriority w:val="30"/>
    <w:qFormat/>
    <w:rsid w:val="00AC3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3E39"/>
    <w:rPr>
      <w:i/>
      <w:iCs/>
      <w:color w:val="0F4761" w:themeColor="accent1" w:themeShade="BF"/>
    </w:rPr>
  </w:style>
  <w:style w:type="character" w:styleId="Referenciaintensa">
    <w:name w:val="Intense Reference"/>
    <w:basedOn w:val="Fuentedeprrafopredeter"/>
    <w:uiPriority w:val="32"/>
    <w:qFormat/>
    <w:rsid w:val="00AC3E39"/>
    <w:rPr>
      <w:b/>
      <w:bCs/>
      <w:smallCaps/>
      <w:color w:val="0F4761" w:themeColor="accent1" w:themeShade="BF"/>
      <w:spacing w:val="5"/>
    </w:rPr>
  </w:style>
  <w:style w:type="character" w:styleId="Hipervnculo">
    <w:name w:val="Hyperlink"/>
    <w:basedOn w:val="Fuentedeprrafopredeter"/>
    <w:uiPriority w:val="99"/>
    <w:unhideWhenUsed/>
    <w:rsid w:val="00AC3E39"/>
    <w:rPr>
      <w:color w:val="467886" w:themeColor="hyperlink"/>
      <w:u w:val="single"/>
    </w:rPr>
  </w:style>
  <w:style w:type="character" w:styleId="Mencinsinresolver">
    <w:name w:val="Unresolved Mention"/>
    <w:basedOn w:val="Fuentedeprrafopredeter"/>
    <w:uiPriority w:val="99"/>
    <w:semiHidden/>
    <w:unhideWhenUsed/>
    <w:rsid w:val="00AC3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catalunyareligio.cat/ca/etiqueta/coses-ant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catalunyareligio.cat/ca/profile/victor-rodriguez-inigo" TargetMode="External"/><Relationship Id="rId10" Type="http://schemas.openxmlformats.org/officeDocument/2006/relationships/hyperlink" Target="https://www.catalunyareligio.cat/ca/coses-antes-guardioles-domund" TargetMode="External"/><Relationship Id="rId4" Type="http://schemas.openxmlformats.org/officeDocument/2006/relationships/hyperlink" Target="https://www.catalunyareligio.cat/ca/profile/victor-rodriguez-inigo" TargetMode="External"/><Relationship Id="rId9" Type="http://schemas.openxmlformats.org/officeDocument/2006/relationships/hyperlink" Target="https://www.catalunyareligio.cat/ca/coses-antes-campana-fanalet-viati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414</Words>
  <Characters>2277</Characters>
  <Application>Microsoft Office Word</Application>
  <DocSecurity>0</DocSecurity>
  <Lines>18</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2025-10-13T14:20:00Z</dcterms:created>
  <dcterms:modified xsi:type="dcterms:W3CDTF">2025-10-13T14:22:00Z</dcterms:modified>
</cp:coreProperties>
</file>