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8C0E52">
        <w:trPr>
          <w:trHeight w:val="3636"/>
        </w:trPr>
        <w:tc>
          <w:tcPr>
            <w:tcW w:w="3802" w:type="dxa"/>
            <w:shd w:val="clear" w:color="auto" w:fill="002060"/>
          </w:tcPr>
          <w:p w14:paraId="13AC6113" w14:textId="77777777" w:rsidR="00527F74" w:rsidRDefault="004B7D2B" w:rsidP="00453401">
            <w:pPr>
              <w:pStyle w:val="Sinespaciado"/>
              <w:jc w:val="center"/>
              <w:rPr>
                <w:b/>
                <w:bCs/>
                <w:sz w:val="32"/>
                <w:szCs w:val="32"/>
                <w:lang w:val="pt-PT" w:bidi="es-ES"/>
              </w:rPr>
            </w:pPr>
            <w:r w:rsidRPr="004B7D2B">
              <w:rPr>
                <w:b/>
                <w:bCs/>
                <w:sz w:val="32"/>
                <w:szCs w:val="32"/>
                <w:lang w:val="pt-PT" w:bidi="es-ES"/>
              </w:rPr>
              <w:t>San</w:t>
            </w:r>
            <w:r>
              <w:rPr>
                <w:b/>
                <w:bCs/>
                <w:sz w:val="32"/>
                <w:szCs w:val="32"/>
                <w:lang w:val="pt-PT" w:bidi="es-ES"/>
              </w:rPr>
              <w:t>t</w:t>
            </w:r>
            <w:r w:rsidRPr="004B7D2B">
              <w:rPr>
                <w:b/>
                <w:bCs/>
                <w:sz w:val="32"/>
                <w:szCs w:val="32"/>
                <w:lang w:val="pt-PT" w:bidi="es-ES"/>
              </w:rPr>
              <w:t>a Margarita María Alacoque, r</w:t>
            </w:r>
            <w:r>
              <w:rPr>
                <w:b/>
                <w:bCs/>
                <w:sz w:val="32"/>
                <w:szCs w:val="32"/>
                <w:lang w:val="pt-PT" w:bidi="es-ES"/>
              </w:rPr>
              <w:t xml:space="preserve">eligiosa </w:t>
            </w:r>
          </w:p>
          <w:p w14:paraId="0920E1B5" w14:textId="718A1E69" w:rsidR="004B7D2B" w:rsidRPr="004B7D2B" w:rsidRDefault="004B7D2B" w:rsidP="00453401">
            <w:pPr>
              <w:pStyle w:val="Sinespaciado"/>
              <w:jc w:val="center"/>
              <w:rPr>
                <w:b/>
                <w:bCs/>
                <w:sz w:val="32"/>
                <w:szCs w:val="32"/>
                <w:lang w:val="pt-PT" w:bidi="es-ES"/>
              </w:rPr>
            </w:pPr>
            <w:r>
              <w:rPr>
                <w:noProof/>
              </w:rPr>
              <w:drawing>
                <wp:inline distT="0" distB="0" distL="0" distR="0" wp14:anchorId="06078E77" wp14:editId="12FBB3D2">
                  <wp:extent cx="1571625" cy="1718310"/>
                  <wp:effectExtent l="0" t="0" r="9525" b="0"/>
                  <wp:docPr id="1031573502" name="Imagen 1" descr="Margarita María Alacoque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rgarita María Alacoque - Wikipedia, la enciclopedia lib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0847" cy="1728393"/>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Pr="004B7D2B" w:rsidRDefault="00F946BA" w:rsidP="00F946BA">
            <w:pPr>
              <w:pStyle w:val="Sinespaciado"/>
              <w:jc w:val="center"/>
              <w:rPr>
                <w:rFonts w:ascii="Georgia" w:hAnsi="Georgia"/>
                <w:color w:val="000000" w:themeColor="text1"/>
                <w:sz w:val="36"/>
                <w:szCs w:val="36"/>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4A4B6841" w:rsidR="00EC62D7" w:rsidRPr="00D2414C" w:rsidRDefault="00EC62D7" w:rsidP="00EC62D7">
            <w:pPr>
              <w:pStyle w:val="Sinespaciado"/>
              <w:jc w:val="center"/>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A536B"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BE182B">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615B2AC" w:rsidR="00F946BA" w:rsidRPr="00D066FD" w:rsidRDefault="00171EF6" w:rsidP="00F946BA">
            <w:pPr>
              <w:pStyle w:val="Sinespaciado"/>
              <w:jc w:val="center"/>
              <w:rPr>
                <w:rFonts w:ascii="Georgia" w:hAnsi="Georgia"/>
                <w:b/>
                <w:bCs/>
                <w:sz w:val="32"/>
                <w:szCs w:val="32"/>
                <w:lang w:val="pt-PT"/>
              </w:rPr>
            </w:pPr>
            <w:r>
              <w:rPr>
                <w:rFonts w:ascii="Georgia" w:hAnsi="Georgia"/>
                <w:b/>
                <w:bCs/>
                <w:sz w:val="32"/>
                <w:szCs w:val="32"/>
                <w:lang w:val="pt-PT"/>
              </w:rPr>
              <w:t>1</w:t>
            </w:r>
            <w:r w:rsidR="00BE182B">
              <w:rPr>
                <w:rFonts w:ascii="Georgia" w:hAnsi="Georgia"/>
                <w:b/>
                <w:bCs/>
                <w:sz w:val="32"/>
                <w:szCs w:val="32"/>
                <w:lang w:val="pt-PT"/>
              </w:rPr>
              <w:t>6</w:t>
            </w:r>
            <w:r w:rsidR="00002CDF" w:rsidRPr="00D066FD">
              <w:rPr>
                <w:rFonts w:ascii="Georgia" w:hAnsi="Georgia"/>
                <w:b/>
                <w:bCs/>
                <w:sz w:val="32"/>
                <w:szCs w:val="32"/>
                <w:lang w:val="pt-PT"/>
              </w:rPr>
              <w:t>/</w:t>
            </w:r>
            <w:r w:rsidR="005E0E7A" w:rsidRPr="00D066FD">
              <w:rPr>
                <w:rFonts w:ascii="Georgia" w:hAnsi="Georgia"/>
                <w:b/>
                <w:bCs/>
                <w:sz w:val="32"/>
                <w:szCs w:val="32"/>
                <w:lang w:val="pt-PT"/>
              </w:rPr>
              <w:t>10</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51D7600C" w14:textId="77777777" w:rsidR="009A206A" w:rsidRPr="00D066FD" w:rsidRDefault="009A206A" w:rsidP="00F946BA">
            <w:pPr>
              <w:pStyle w:val="Sinespaciado"/>
              <w:jc w:val="center"/>
              <w:rPr>
                <w:rFonts w:ascii="Georgia" w:hAnsi="Georgia"/>
                <w:sz w:val="28"/>
                <w:szCs w:val="28"/>
                <w:lang w:val="pt-PT"/>
              </w:rPr>
            </w:pP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7F51C613" w14:textId="77777777" w:rsidR="008C0E52" w:rsidRDefault="008C0E52" w:rsidP="00D94E85">
      <w:pPr>
        <w:pStyle w:val="Sinespaciado"/>
        <w:jc w:val="center"/>
        <w:rPr>
          <w:sz w:val="18"/>
          <w:szCs w:val="18"/>
          <w:lang w:bidi="es-ES"/>
        </w:rPr>
      </w:pPr>
    </w:p>
    <w:p w14:paraId="6B9C4F65" w14:textId="77777777" w:rsidR="00220F42" w:rsidRDefault="00220F42" w:rsidP="00220F42">
      <w:pPr>
        <w:pStyle w:val="Sinespaciado"/>
        <w:jc w:val="center"/>
        <w:rPr>
          <w:b/>
          <w:bCs/>
          <w:sz w:val="40"/>
          <w:szCs w:val="40"/>
        </w:rPr>
      </w:pPr>
      <w:r w:rsidRPr="00012422">
        <w:rPr>
          <w:b/>
          <w:bCs/>
          <w:sz w:val="40"/>
          <w:szCs w:val="40"/>
        </w:rPr>
        <w:t>Tutela Minorum: Segundo informe propone medidas reparadoras contra los abusos</w:t>
      </w:r>
    </w:p>
    <w:p w14:paraId="669ED8BD" w14:textId="77777777" w:rsidR="00220F42" w:rsidRPr="00012422" w:rsidRDefault="00220F42" w:rsidP="00220F42">
      <w:pPr>
        <w:pStyle w:val="Sinespaciado"/>
        <w:jc w:val="center"/>
        <w:rPr>
          <w:b/>
          <w:bCs/>
          <w:sz w:val="40"/>
          <w:szCs w:val="40"/>
        </w:rPr>
      </w:pPr>
      <w:r>
        <w:rPr>
          <w:noProof/>
        </w:rPr>
        <w:drawing>
          <wp:inline distT="0" distB="0" distL="0" distR="0" wp14:anchorId="6B259377" wp14:editId="1B9730E5">
            <wp:extent cx="5200650" cy="2938780"/>
            <wp:effectExtent l="0" t="0" r="0" b="0"/>
            <wp:docPr id="21424979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97952" name=""/>
                    <pic:cNvPicPr/>
                  </pic:nvPicPr>
                  <pic:blipFill>
                    <a:blip r:embed="rId10"/>
                    <a:stretch>
                      <a:fillRect/>
                    </a:stretch>
                  </pic:blipFill>
                  <pic:spPr>
                    <a:xfrm>
                      <a:off x="0" y="0"/>
                      <a:ext cx="5215783" cy="2947331"/>
                    </a:xfrm>
                    <a:prstGeom prst="rect">
                      <a:avLst/>
                    </a:prstGeom>
                  </pic:spPr>
                </pic:pic>
              </a:graphicData>
            </a:graphic>
          </wp:inline>
        </w:drawing>
      </w:r>
    </w:p>
    <w:p w14:paraId="76EDBF05" w14:textId="77777777" w:rsidR="00220F42" w:rsidRPr="00012422" w:rsidRDefault="00220F42" w:rsidP="00220F42">
      <w:pPr>
        <w:pStyle w:val="Sinespaciado"/>
        <w:jc w:val="both"/>
        <w:rPr>
          <w:sz w:val="26"/>
          <w:szCs w:val="26"/>
        </w:rPr>
      </w:pPr>
      <w:r w:rsidRPr="00012422">
        <w:rPr>
          <w:sz w:val="26"/>
          <w:szCs w:val="26"/>
        </w:rPr>
        <w:t>El documento publicado por la Comisión Pontificia presenta un vademécum con indicaciones para la "escucha informada" y para el apoyo económico, psicológico y espiritual a las víctimas. Destaca la necesidad de una comunicación más transparente, la asunción pública de responsabilidades por parte de la Iglesia y la agilización de los mecanismos de denuncia.</w:t>
      </w:r>
    </w:p>
    <w:p w14:paraId="19C62665" w14:textId="77777777" w:rsidR="00220F42" w:rsidRDefault="00220F42" w:rsidP="00220F42">
      <w:pPr>
        <w:pStyle w:val="Sinespaciado"/>
        <w:jc w:val="both"/>
        <w:rPr>
          <w:sz w:val="26"/>
          <w:szCs w:val="26"/>
        </w:rPr>
      </w:pPr>
      <w:r w:rsidRPr="00012422">
        <w:rPr>
          <w:sz w:val="26"/>
          <w:szCs w:val="26"/>
        </w:rPr>
        <w:t>Edoardo Giribaldi - Ciudad del Vaticano</w:t>
      </w:r>
      <w:r>
        <w:rPr>
          <w:sz w:val="26"/>
          <w:szCs w:val="26"/>
        </w:rPr>
        <w:t xml:space="preserve"> – 16/10/2025</w:t>
      </w:r>
    </w:p>
    <w:p w14:paraId="61BBA2AB" w14:textId="77777777" w:rsidR="00220F42" w:rsidRPr="00012422" w:rsidRDefault="00220F42" w:rsidP="00220F42">
      <w:pPr>
        <w:pStyle w:val="Sinespaciado"/>
        <w:jc w:val="both"/>
        <w:rPr>
          <w:sz w:val="26"/>
          <w:szCs w:val="26"/>
        </w:rPr>
      </w:pPr>
    </w:p>
    <w:p w14:paraId="765C59E0" w14:textId="77777777" w:rsidR="00220F42" w:rsidRDefault="00220F42" w:rsidP="00220F42">
      <w:pPr>
        <w:pStyle w:val="Sinespaciado"/>
        <w:jc w:val="both"/>
        <w:rPr>
          <w:sz w:val="26"/>
          <w:szCs w:val="26"/>
        </w:rPr>
      </w:pPr>
      <w:r w:rsidRPr="00012422">
        <w:rPr>
          <w:sz w:val="26"/>
          <w:szCs w:val="26"/>
        </w:rPr>
        <w:t xml:space="preserve">Un vademécum operativo, elaborado a partir de la escucha activa de quienes han sufrido abusos en primera persona. Se trata de unas directrices destinadas a ayudar a las comunidades eclesiales en la aplicación de "medidas reparadoras", siguiendo paso a paso el proceso de denuncia y esperando su agilización general. Las directrices incluyen: "escucha informada" inicial, acceso a la información sobre el propio caso y apoyo económico, psicológico y espiritual. Todo ello asistido por declaraciones oficiales transparentes que "reconozcan el daño causado" y asuman públicamente la responsabilidad. Una "peregrinación perpetua", así definió el arzobispo Thibault </w:t>
      </w:r>
      <w:r w:rsidRPr="00012422">
        <w:rPr>
          <w:sz w:val="26"/>
          <w:szCs w:val="26"/>
        </w:rPr>
        <w:lastRenderedPageBreak/>
        <w:t>Verny -presidente de la Pontificia Comisión para la Protección de Menores, nombrada por el Papa León XIV el pasado mes de julio- la misión que se plasma en el </w:t>
      </w:r>
      <w:r w:rsidRPr="00012422">
        <w:rPr>
          <w:i/>
          <w:iCs/>
          <w:sz w:val="26"/>
          <w:szCs w:val="26"/>
        </w:rPr>
        <w:t>II Informe anual sobre las políticas de protección en la Iglesia católica</w:t>
      </w:r>
      <w:r w:rsidRPr="00012422">
        <w:rPr>
          <w:sz w:val="26"/>
          <w:szCs w:val="26"/>
        </w:rPr>
        <w:t>, publicado hoy, 16 de octubre.</w:t>
      </w:r>
    </w:p>
    <w:p w14:paraId="4FF0EBD2" w14:textId="77777777" w:rsidR="00220F42" w:rsidRPr="00012422" w:rsidRDefault="00220F42" w:rsidP="00220F42">
      <w:pPr>
        <w:pStyle w:val="Sinespaciado"/>
        <w:jc w:val="both"/>
        <w:rPr>
          <w:sz w:val="26"/>
          <w:szCs w:val="26"/>
        </w:rPr>
      </w:pPr>
    </w:p>
    <w:p w14:paraId="6893C475" w14:textId="77777777" w:rsidR="00220F42" w:rsidRDefault="00220F42" w:rsidP="00220F42">
      <w:pPr>
        <w:pStyle w:val="Sinespaciado"/>
        <w:jc w:val="both"/>
        <w:rPr>
          <w:sz w:val="26"/>
          <w:szCs w:val="26"/>
        </w:rPr>
      </w:pPr>
      <w:r w:rsidRPr="00012422">
        <w:rPr>
          <w:b/>
          <w:bCs/>
          <w:sz w:val="26"/>
          <w:szCs w:val="26"/>
        </w:rPr>
        <w:t>Escucha directa a las víctimas y a las organizaciones no eclesiales</w:t>
      </w:r>
      <w:r>
        <w:rPr>
          <w:b/>
          <w:bCs/>
          <w:sz w:val="26"/>
          <w:szCs w:val="26"/>
        </w:rPr>
        <w:t xml:space="preserve"> --- </w:t>
      </w:r>
      <w:r w:rsidRPr="00012422">
        <w:rPr>
          <w:sz w:val="26"/>
          <w:szCs w:val="26"/>
        </w:rPr>
        <w:t>Como en el caso del 1er Informe Anual, el estudio también se ha elaborado mediante la consulta al Grupo de Escucha de Víctimas y Supervivientes y al </w:t>
      </w:r>
      <w:r w:rsidRPr="00012422">
        <w:rPr>
          <w:i/>
          <w:iCs/>
          <w:sz w:val="26"/>
          <w:szCs w:val="26"/>
        </w:rPr>
        <w:t>Grupo de Enfoque del Informe Anual </w:t>
      </w:r>
      <w:r w:rsidRPr="00012422">
        <w:rPr>
          <w:sz w:val="26"/>
          <w:szCs w:val="26"/>
        </w:rPr>
        <w:t>de la Comisión</w:t>
      </w:r>
      <w:r w:rsidRPr="00012422">
        <w:rPr>
          <w:i/>
          <w:iCs/>
          <w:sz w:val="26"/>
          <w:szCs w:val="26"/>
        </w:rPr>
        <w:t>. </w:t>
      </w:r>
      <w:r w:rsidRPr="00012422">
        <w:rPr>
          <w:sz w:val="26"/>
          <w:szCs w:val="26"/>
        </w:rPr>
        <w:t>Compuesto de forma voluntaria, fue seleccionado con criterios de diversidad en cuanto a edad, sexo y origen étnico, incluyendo cuatro regiones mundiales. Además de estos datos, se recogieron encuestas de organizaciones no eclesiásticas. Entre las cuestiones críticas que surgieron estaban la "necesidad de una Iglesia que escuche más" y la "falta de estructuras de clarificación y de información y denuncia".</w:t>
      </w:r>
    </w:p>
    <w:p w14:paraId="07E4AF4C" w14:textId="77777777" w:rsidR="00220F42" w:rsidRPr="00012422" w:rsidRDefault="00220F42" w:rsidP="00220F42">
      <w:pPr>
        <w:pStyle w:val="Sinespaciado"/>
        <w:jc w:val="both"/>
        <w:rPr>
          <w:sz w:val="26"/>
          <w:szCs w:val="26"/>
        </w:rPr>
      </w:pPr>
    </w:p>
    <w:p w14:paraId="6B25B493" w14:textId="77777777" w:rsidR="00220F42" w:rsidRDefault="00220F42" w:rsidP="00220F42">
      <w:pPr>
        <w:pStyle w:val="Sinespaciado"/>
        <w:jc w:val="both"/>
        <w:rPr>
          <w:sz w:val="26"/>
          <w:szCs w:val="26"/>
        </w:rPr>
      </w:pPr>
      <w:r w:rsidRPr="00012422">
        <w:rPr>
          <w:b/>
          <w:bCs/>
          <w:sz w:val="26"/>
          <w:szCs w:val="26"/>
        </w:rPr>
        <w:t>Medidas reparadoras</w:t>
      </w:r>
      <w:r>
        <w:rPr>
          <w:b/>
          <w:bCs/>
          <w:sz w:val="26"/>
          <w:szCs w:val="26"/>
        </w:rPr>
        <w:t xml:space="preserve"> --- </w:t>
      </w:r>
      <w:r w:rsidRPr="00012422">
        <w:rPr>
          <w:sz w:val="26"/>
          <w:szCs w:val="26"/>
        </w:rPr>
        <w:t>Una primera parte del Informe está dedicada a las medidas reparadoras para las víctimas de abusos, basadas en la "escucha informada" y proporcionales al daño sufrido. El vademécum destinado a las comunidades locales prevé en primer lugar la creación de "espacios seguros" donde las víctimas/sobrevivientes puedan compartir sus experiencias, también directamente con las autoridades eclesiásticas. Se analiza el concepto de "reparación", que la encíclica </w:t>
      </w:r>
      <w:hyperlink r:id="rId11" w:tgtFrame="_blank" w:history="1">
        <w:r w:rsidRPr="00012422">
          <w:rPr>
            <w:rStyle w:val="Hipervnculo"/>
            <w:i/>
            <w:iCs/>
            <w:sz w:val="26"/>
            <w:szCs w:val="26"/>
          </w:rPr>
          <w:t>Dilexit nos</w:t>
        </w:r>
      </w:hyperlink>
      <w:r w:rsidRPr="00012422">
        <w:rPr>
          <w:sz w:val="26"/>
          <w:szCs w:val="26"/>
        </w:rPr>
        <w:t> subraya no sólo como "un deber individual, sino como una responsabilidad compartida de toda la comunidad -con excepción únicamente de las víctimas/sobrevivientes- para promover un ambiente de atención y respeto mutuo". A continuación, se pide a la Iglesia que emita declaraciones oficiales "reconociendo el daño causado" y asumiendo públicamente su responsabilidad.</w:t>
      </w:r>
    </w:p>
    <w:p w14:paraId="208D4D90" w14:textId="77777777" w:rsidR="00220F42" w:rsidRPr="00012422" w:rsidRDefault="00220F42" w:rsidP="00220F42">
      <w:pPr>
        <w:pStyle w:val="Sinespaciado"/>
        <w:jc w:val="both"/>
        <w:rPr>
          <w:sz w:val="26"/>
          <w:szCs w:val="26"/>
        </w:rPr>
      </w:pPr>
    </w:p>
    <w:p w14:paraId="67E53EFD" w14:textId="77777777" w:rsidR="00220F42" w:rsidRDefault="00220F42" w:rsidP="00220F42">
      <w:pPr>
        <w:pStyle w:val="Sinespaciado"/>
        <w:jc w:val="both"/>
        <w:rPr>
          <w:sz w:val="26"/>
          <w:szCs w:val="26"/>
        </w:rPr>
      </w:pPr>
      <w:r w:rsidRPr="00012422">
        <w:rPr>
          <w:b/>
          <w:bCs/>
          <w:sz w:val="26"/>
          <w:szCs w:val="26"/>
        </w:rPr>
        <w:t>Apoyo integral</w:t>
      </w:r>
      <w:r>
        <w:rPr>
          <w:b/>
          <w:bCs/>
          <w:sz w:val="26"/>
          <w:szCs w:val="26"/>
        </w:rPr>
        <w:t xml:space="preserve"> --- </w:t>
      </w:r>
      <w:r w:rsidRPr="00012422">
        <w:rPr>
          <w:sz w:val="26"/>
          <w:szCs w:val="26"/>
        </w:rPr>
        <w:t>Luego se aborda el tema del apoyo, articulado en varios ámbitos, con el fin de garantizar un asesoramiento profesional y un acompañamiento espiritual a las víctimas/sobrevivientes, "con un enfoque a largo plazo". Se añade una ayuda económica adecuada para sufragar los gastos ocasionados por los abusos, incluida la atención médica y psicológica. El vademécum también prevé reforzar la protección de las víctimas mediante la imposición de sanciones significativas contra quienes hayan cometido o facilitado abusos. Las víctimas "no deben quedar en la incertidumbre sobre la responsabilidad de los autores y de quienes facilitaron o encubrieron los abusos".</w:t>
      </w:r>
    </w:p>
    <w:p w14:paraId="60AE5A28" w14:textId="77777777" w:rsidR="00220F42" w:rsidRPr="00012422" w:rsidRDefault="00220F42" w:rsidP="00220F42">
      <w:pPr>
        <w:pStyle w:val="Sinespaciado"/>
        <w:jc w:val="both"/>
        <w:rPr>
          <w:sz w:val="26"/>
          <w:szCs w:val="26"/>
        </w:rPr>
      </w:pPr>
    </w:p>
    <w:p w14:paraId="1BC5A01A" w14:textId="77777777" w:rsidR="00220F42" w:rsidRDefault="00220F42" w:rsidP="00220F42">
      <w:pPr>
        <w:pStyle w:val="Sinespaciado"/>
        <w:jc w:val="both"/>
        <w:rPr>
          <w:sz w:val="26"/>
          <w:szCs w:val="26"/>
        </w:rPr>
      </w:pPr>
      <w:r w:rsidRPr="00012422">
        <w:rPr>
          <w:b/>
          <w:bCs/>
          <w:sz w:val="26"/>
          <w:szCs w:val="26"/>
        </w:rPr>
        <w:t>Transparencia y sensibilización</w:t>
      </w:r>
      <w:r>
        <w:rPr>
          <w:b/>
          <w:bCs/>
          <w:sz w:val="26"/>
          <w:szCs w:val="26"/>
        </w:rPr>
        <w:t xml:space="preserve"> --- </w:t>
      </w:r>
      <w:r w:rsidRPr="00012422">
        <w:rPr>
          <w:sz w:val="26"/>
          <w:szCs w:val="26"/>
        </w:rPr>
        <w:t>A continuación, el Informe subraya la necesidad "fundamental" de acceder a la información sobre el propio caso, elemento esencial en el proceso de curación, y pide programas de sensibilización dirigidos al clero, los religiosos y los fieles laicos para promover "un proceso de curación colectivo".</w:t>
      </w:r>
    </w:p>
    <w:p w14:paraId="079BCAAF" w14:textId="77777777" w:rsidR="00220F42" w:rsidRPr="00012422" w:rsidRDefault="00220F42" w:rsidP="00220F42">
      <w:pPr>
        <w:pStyle w:val="Sinespaciado"/>
        <w:jc w:val="both"/>
        <w:rPr>
          <w:sz w:val="26"/>
          <w:szCs w:val="26"/>
        </w:rPr>
      </w:pPr>
    </w:p>
    <w:p w14:paraId="7EBB48C1" w14:textId="77777777" w:rsidR="00220F42" w:rsidRDefault="00220F42" w:rsidP="00220F42">
      <w:pPr>
        <w:pStyle w:val="Sinespaciado"/>
        <w:jc w:val="both"/>
        <w:rPr>
          <w:sz w:val="26"/>
          <w:szCs w:val="26"/>
        </w:rPr>
      </w:pPr>
      <w:r w:rsidRPr="00012422">
        <w:rPr>
          <w:b/>
          <w:bCs/>
          <w:sz w:val="26"/>
          <w:szCs w:val="26"/>
        </w:rPr>
        <w:t>Procedimientos simplificados y comunicación clara</w:t>
      </w:r>
      <w:r>
        <w:rPr>
          <w:b/>
          <w:bCs/>
          <w:sz w:val="26"/>
          <w:szCs w:val="26"/>
        </w:rPr>
        <w:t xml:space="preserve"> --- </w:t>
      </w:r>
      <w:r w:rsidRPr="00012422">
        <w:rPr>
          <w:sz w:val="26"/>
          <w:szCs w:val="26"/>
        </w:rPr>
        <w:t xml:space="preserve">Entre otras conclusiones más significativas, la Comisión reitera la importancia de desarrollar un "procedimiento simplificado" para la destitución de los líderes eclesiásticos implicados en "acciones y/o inacciones administrativas pasadas que hayan sido fuente de nuevos daños para las víctimas/sobrevivientes". También se recomienda "comunicar claramente" las razones de las dimisiones o destituciones y una evaluación efectiva de los progresos realizados por las iglesias locales y las órdenes religiosas </w:t>
      </w:r>
      <w:r w:rsidRPr="00012422">
        <w:rPr>
          <w:sz w:val="26"/>
          <w:szCs w:val="26"/>
        </w:rPr>
        <w:lastRenderedPageBreak/>
        <w:t>en la aplicación concreta de las políticas de protección. Para ello, se propone la creación de una "red académica internacional" en la que participen centros universitarios católicos especializados en derechos humanos, prevención de abusos y protección, con el fin de recopilar datos relevantes en los países que abarca el Informe.</w:t>
      </w:r>
    </w:p>
    <w:p w14:paraId="71E30241" w14:textId="77777777" w:rsidR="00220F42" w:rsidRPr="00012422" w:rsidRDefault="00220F42" w:rsidP="00220F42">
      <w:pPr>
        <w:pStyle w:val="Sinespaciado"/>
        <w:jc w:val="both"/>
        <w:rPr>
          <w:sz w:val="26"/>
          <w:szCs w:val="26"/>
        </w:rPr>
      </w:pPr>
    </w:p>
    <w:p w14:paraId="2CDA786B" w14:textId="77777777" w:rsidR="00220F42" w:rsidRDefault="00220F42" w:rsidP="00220F42">
      <w:pPr>
        <w:pStyle w:val="Sinespaciado"/>
        <w:jc w:val="both"/>
        <w:rPr>
          <w:sz w:val="26"/>
          <w:szCs w:val="26"/>
        </w:rPr>
      </w:pPr>
      <w:r w:rsidRPr="00012422">
        <w:rPr>
          <w:b/>
          <w:bCs/>
          <w:sz w:val="26"/>
          <w:szCs w:val="26"/>
        </w:rPr>
        <w:t>Acompañando al Ministerio de salvaguardia</w:t>
      </w:r>
      <w:r>
        <w:rPr>
          <w:b/>
          <w:bCs/>
          <w:sz w:val="26"/>
          <w:szCs w:val="26"/>
        </w:rPr>
        <w:t xml:space="preserve"> --- </w:t>
      </w:r>
      <w:r w:rsidRPr="00012422">
        <w:rPr>
          <w:sz w:val="26"/>
          <w:szCs w:val="26"/>
        </w:rPr>
        <w:t>También se sugiere la creación de un "mecanismo de denuncia/notificación sistémico y obligatorio", que sea utilizado por los distintos organismos de protección a nivel local. La comunidad eclesial, señala el Informe, tiene la capacidad de "promover una mayor transparencia y el ejercicio de la responsabilidad institucional", en línea con la petición del Papa Francisco de ofrecer "un informe fiable sobre lo que está sucediendo y lo que aún debe cambiar, para que las autoridades competentes puedan actuar". Por último, se reafirma el papel clave de los nuncios apostólicos dentro de las Iglesias locales, como apoyo y acompañamiento en el "ministerio de la protección".</w:t>
      </w:r>
    </w:p>
    <w:p w14:paraId="544A5DA3" w14:textId="77777777" w:rsidR="00220F42" w:rsidRPr="00012422" w:rsidRDefault="00220F42" w:rsidP="00220F42">
      <w:pPr>
        <w:pStyle w:val="Sinespaciado"/>
        <w:jc w:val="both"/>
        <w:rPr>
          <w:sz w:val="26"/>
          <w:szCs w:val="26"/>
        </w:rPr>
      </w:pPr>
    </w:p>
    <w:p w14:paraId="43F71BF8" w14:textId="77777777" w:rsidR="00220F42" w:rsidRDefault="00220F42" w:rsidP="00220F42">
      <w:pPr>
        <w:pStyle w:val="Sinespaciado"/>
        <w:jc w:val="both"/>
        <w:rPr>
          <w:sz w:val="26"/>
          <w:szCs w:val="26"/>
        </w:rPr>
      </w:pPr>
      <w:r w:rsidRPr="00012422">
        <w:rPr>
          <w:b/>
          <w:bCs/>
          <w:sz w:val="26"/>
          <w:szCs w:val="26"/>
        </w:rPr>
        <w:t>Las Iglesias locales examinadas</w:t>
      </w:r>
      <w:r>
        <w:rPr>
          <w:b/>
          <w:bCs/>
          <w:sz w:val="26"/>
          <w:szCs w:val="26"/>
        </w:rPr>
        <w:t xml:space="preserve"> --- </w:t>
      </w:r>
      <w:r w:rsidRPr="00012422">
        <w:rPr>
          <w:sz w:val="26"/>
          <w:szCs w:val="26"/>
        </w:rPr>
        <w:t>En la sección 1, el Informe examina la labor de tutela en las Iglesias locales de varios países, como Italia, Gabón, Japón, Guinea Ecuatorial, Etiopía, Guinea (Conakry), Bosnia-Herzegovina, Portugal, Eslovaquia, Malta, Corea, Mozambique, Lesotho, Namibia, Malí, Kenia, Grecia y la Conferencia Episcopal Regional del Norte de África (que incluye Argelia, Marruecos, Sáhara Occidental, Libia y Túnez). Los datos se basan en el análisis de la información recogida a través del proceso </w:t>
      </w:r>
      <w:r w:rsidRPr="00012422">
        <w:rPr>
          <w:i/>
          <w:iCs/>
          <w:sz w:val="26"/>
          <w:szCs w:val="26"/>
        </w:rPr>
        <w:t>ad limina </w:t>
      </w:r>
      <w:r w:rsidRPr="00012422">
        <w:rPr>
          <w:sz w:val="26"/>
          <w:szCs w:val="26"/>
        </w:rPr>
        <w:t>de la Comisión y se complementan con fuentes adicionales.</w:t>
      </w:r>
    </w:p>
    <w:p w14:paraId="79F8C631" w14:textId="77777777" w:rsidR="00220F42" w:rsidRPr="00012422" w:rsidRDefault="00220F42" w:rsidP="00220F42">
      <w:pPr>
        <w:pStyle w:val="Sinespaciado"/>
        <w:jc w:val="both"/>
        <w:rPr>
          <w:sz w:val="26"/>
          <w:szCs w:val="26"/>
        </w:rPr>
      </w:pPr>
    </w:p>
    <w:p w14:paraId="57D8427B" w14:textId="77777777" w:rsidR="00220F42" w:rsidRDefault="00220F42" w:rsidP="00220F42">
      <w:pPr>
        <w:pStyle w:val="Sinespaciado"/>
        <w:jc w:val="both"/>
        <w:rPr>
          <w:sz w:val="26"/>
          <w:szCs w:val="26"/>
        </w:rPr>
      </w:pPr>
      <w:r w:rsidRPr="00012422">
        <w:rPr>
          <w:b/>
          <w:bCs/>
          <w:sz w:val="26"/>
          <w:szCs w:val="26"/>
        </w:rPr>
        <w:t>El caso italiano</w:t>
      </w:r>
      <w:r>
        <w:rPr>
          <w:b/>
          <w:bCs/>
          <w:sz w:val="26"/>
          <w:szCs w:val="26"/>
        </w:rPr>
        <w:t xml:space="preserve"> --- </w:t>
      </w:r>
      <w:r w:rsidRPr="00012422">
        <w:rPr>
          <w:sz w:val="26"/>
          <w:szCs w:val="26"/>
        </w:rPr>
        <w:t>Por lo que respecta a Italia, se visitaron las diócesis de Lacio, Liguria, Lombardía, Cerdeña, Sicilia, Emilia-Romaña y Toscana. A lo largo de los años, señala el Informe, se ha avanzado considerablemente en el desarrollo de "instrumentos y políticas integrales" de prevención y protección. La Comisión reconoce el trabajo realizado por la Conferencia Episcopal Italiana (CEI) en la creación de un sistema multinivel (nacional, regional, diocesano e interdiocesano) de "coordinación, formación y supervisión", destinado a apoyar a las Iglesias locales con personal profesional y adecuadamente formado. La Conferencia informa de la existencia de 16 servicios regionales de tutela, 226 servicios diocesanos e interdiocesanos y 108 centros de escucha. Ofrecen un servicio pastoral de acogida y recepción de denuncias. Sin embargo, siguen existiendo algunos retos: la Comisión señala que, aunque algunas iglesias locales han puesto en marcha iniciativas pioneras y colaboraciones con la sociedad civil, persisten "disparidades entre las distintas regiones" y la falta de una oficina centralizada para recibir y analizar las denuncias, necesaria para garantizar una gestión uniforme y eficaz de los casos.</w:t>
      </w:r>
    </w:p>
    <w:p w14:paraId="1E7B4C1E" w14:textId="77777777" w:rsidR="00220F42" w:rsidRPr="00012422" w:rsidRDefault="00220F42" w:rsidP="00220F42">
      <w:pPr>
        <w:pStyle w:val="Sinespaciado"/>
        <w:jc w:val="both"/>
        <w:rPr>
          <w:sz w:val="26"/>
          <w:szCs w:val="26"/>
        </w:rPr>
      </w:pPr>
    </w:p>
    <w:p w14:paraId="7B23CFCB" w14:textId="77777777" w:rsidR="00220F42" w:rsidRDefault="00220F42" w:rsidP="00220F42">
      <w:pPr>
        <w:pStyle w:val="Sinespaciado"/>
        <w:jc w:val="both"/>
        <w:rPr>
          <w:sz w:val="26"/>
          <w:szCs w:val="26"/>
        </w:rPr>
      </w:pPr>
      <w:r w:rsidRPr="00012422">
        <w:rPr>
          <w:b/>
          <w:bCs/>
          <w:sz w:val="26"/>
          <w:szCs w:val="26"/>
        </w:rPr>
        <w:t>Iglesias continentales y buenas prácticas</w:t>
      </w:r>
      <w:r>
        <w:rPr>
          <w:b/>
          <w:bCs/>
          <w:sz w:val="26"/>
          <w:szCs w:val="26"/>
        </w:rPr>
        <w:t xml:space="preserve"> --- </w:t>
      </w:r>
      <w:r w:rsidRPr="00012422">
        <w:rPr>
          <w:sz w:val="26"/>
          <w:szCs w:val="26"/>
        </w:rPr>
        <w:t>A nivel mundial, señala el documento, aunque algunas Iglesias de América, Europa y Oceanía muestran un fuerte compromiso con las reparaciones, existe una "excesiva dependencia" de la compensación económica, que corre el riesgo de limitar una "comprensión integral" del proceso de sanación. Además, muchas zonas de América Central y Latina, África y Asia siguen careciendo de recursos adecuados para el acompañamiento de víctimas y supervivientes. Sin embargo, se informa de prácticas ejemplares como: la práctica tradicional de curación </w:t>
      </w:r>
      <w:r w:rsidRPr="00012422">
        <w:rPr>
          <w:i/>
          <w:iCs/>
          <w:sz w:val="26"/>
          <w:szCs w:val="26"/>
        </w:rPr>
        <w:t>comunitaria Hu Louifi </w:t>
      </w:r>
      <w:r w:rsidRPr="00012422">
        <w:rPr>
          <w:sz w:val="26"/>
          <w:szCs w:val="26"/>
        </w:rPr>
        <w:t xml:space="preserve">en Tonga; el informe anual sobre los servicios de acompañamiento a las víctimas en los Estados Unidos; los procesos de revisión </w:t>
      </w:r>
      <w:r w:rsidRPr="00012422">
        <w:rPr>
          <w:sz w:val="26"/>
          <w:szCs w:val="26"/>
        </w:rPr>
        <w:lastRenderedPageBreak/>
        <w:t>de directrices en curso en Kenia, Malawi y Ghana; y el proyecto de </w:t>
      </w:r>
      <w:r w:rsidRPr="00012422">
        <w:rPr>
          <w:i/>
          <w:iCs/>
          <w:sz w:val="26"/>
          <w:szCs w:val="26"/>
        </w:rPr>
        <w:t>búsqueda de la verdad The Courage to </w:t>
      </w:r>
      <w:r w:rsidRPr="00012422">
        <w:rPr>
          <w:sz w:val="26"/>
          <w:szCs w:val="26"/>
        </w:rPr>
        <w:t>Look, en la diócesis de Bolzano-Bressanone.</w:t>
      </w:r>
    </w:p>
    <w:p w14:paraId="27E7A817" w14:textId="77777777" w:rsidR="00220F42" w:rsidRPr="00012422" w:rsidRDefault="00220F42" w:rsidP="00220F42">
      <w:pPr>
        <w:pStyle w:val="Sinespaciado"/>
        <w:jc w:val="both"/>
        <w:rPr>
          <w:sz w:val="26"/>
          <w:szCs w:val="26"/>
        </w:rPr>
      </w:pPr>
    </w:p>
    <w:p w14:paraId="7D28523E" w14:textId="77777777" w:rsidR="00220F42" w:rsidRDefault="00220F42" w:rsidP="00220F42">
      <w:pPr>
        <w:pStyle w:val="Sinespaciado"/>
        <w:jc w:val="both"/>
        <w:rPr>
          <w:sz w:val="26"/>
          <w:szCs w:val="26"/>
        </w:rPr>
      </w:pPr>
      <w:r w:rsidRPr="00012422">
        <w:rPr>
          <w:b/>
          <w:bCs/>
          <w:sz w:val="26"/>
          <w:szCs w:val="26"/>
        </w:rPr>
        <w:t>Curia Romana y colaboración interdicasterial</w:t>
      </w:r>
      <w:r>
        <w:rPr>
          <w:b/>
          <w:bCs/>
          <w:sz w:val="26"/>
          <w:szCs w:val="26"/>
        </w:rPr>
        <w:t xml:space="preserve"> - </w:t>
      </w:r>
      <w:r w:rsidRPr="00012422">
        <w:rPr>
          <w:sz w:val="26"/>
          <w:szCs w:val="26"/>
        </w:rPr>
        <w:t>La tercera sección del documento explora las competencias de la Curia Romana en materia de protección, promoviendo un enfoque interdicasterial. En particular, el Informe analiza la contribución del Dicasterio para la Evangelización - Sección para la Primera Evangelización y las Nuevas Iglesias Particulares, que apoya a las comunidades eclesiásticas locales en los diversos territorios, supervisando no sólo la administración general, sino también las iniciativas de salvaguardia. Esta Sección asiste a unos 1.200 distritos eclesiásticos y ha participado activamente en la elaboración del Informe.</w:t>
      </w:r>
    </w:p>
    <w:p w14:paraId="0EE81734" w14:textId="77777777" w:rsidR="00220F42" w:rsidRPr="00012422" w:rsidRDefault="00220F42" w:rsidP="00220F42">
      <w:pPr>
        <w:pStyle w:val="Sinespaciado"/>
        <w:jc w:val="both"/>
        <w:rPr>
          <w:sz w:val="26"/>
          <w:szCs w:val="26"/>
        </w:rPr>
      </w:pPr>
    </w:p>
    <w:p w14:paraId="78CED0F9" w14:textId="77777777" w:rsidR="00220F42" w:rsidRDefault="00220F42" w:rsidP="00220F42">
      <w:pPr>
        <w:pStyle w:val="Sinespaciado"/>
        <w:jc w:val="both"/>
        <w:rPr>
          <w:sz w:val="26"/>
          <w:szCs w:val="26"/>
        </w:rPr>
      </w:pPr>
      <w:r w:rsidRPr="00012422">
        <w:rPr>
          <w:b/>
          <w:bCs/>
          <w:sz w:val="26"/>
          <w:szCs w:val="26"/>
        </w:rPr>
        <w:t>Ministerios sociales y protección</w:t>
      </w:r>
      <w:r>
        <w:rPr>
          <w:b/>
          <w:bCs/>
          <w:sz w:val="26"/>
          <w:szCs w:val="26"/>
        </w:rPr>
        <w:t xml:space="preserve"> --- </w:t>
      </w:r>
      <w:r w:rsidRPr="00012422">
        <w:rPr>
          <w:sz w:val="26"/>
          <w:szCs w:val="26"/>
        </w:rPr>
        <w:t>La Sección 4 del documento está dedicada a analizar las diversas dimensiones de la Iglesia en la sociedad, destacando las realidades que promueven los derechos de los menores y los adultos vulnerables. La edición de este año presenta una metodología piloto, aplicada a la asociación laica </w:t>
      </w:r>
      <w:r w:rsidRPr="00012422">
        <w:rPr>
          <w:i/>
          <w:iCs/>
          <w:sz w:val="26"/>
          <w:szCs w:val="26"/>
        </w:rPr>
        <w:t>Opera di Maria - Movimiento de los Focolares</w:t>
      </w:r>
      <w:r w:rsidRPr="00012422">
        <w:rPr>
          <w:sz w:val="26"/>
          <w:szCs w:val="26"/>
        </w:rPr>
        <w:t>. Acoge con satisfacción las reformas adoptadas recientemente por el Movimiento, tales como: la creación de una Comisión Central independiente para el tratamiento de los casos de abusos; una política de información sobre los abusos sexuales; y directrices para el apoyo y la reparación económica de las víctimas.</w:t>
      </w:r>
    </w:p>
    <w:p w14:paraId="3133CB4E" w14:textId="77777777" w:rsidR="00220F42" w:rsidRPr="00012422" w:rsidRDefault="00220F42" w:rsidP="00220F42">
      <w:pPr>
        <w:pStyle w:val="Sinespaciado"/>
        <w:jc w:val="both"/>
        <w:rPr>
          <w:sz w:val="26"/>
          <w:szCs w:val="26"/>
        </w:rPr>
      </w:pPr>
    </w:p>
    <w:p w14:paraId="2B0B4A13" w14:textId="77777777" w:rsidR="00220F42" w:rsidRPr="00012422" w:rsidRDefault="00220F42" w:rsidP="00220F42">
      <w:pPr>
        <w:pStyle w:val="Sinespaciado"/>
        <w:jc w:val="both"/>
        <w:rPr>
          <w:sz w:val="26"/>
          <w:szCs w:val="26"/>
        </w:rPr>
      </w:pPr>
      <w:r w:rsidRPr="00012422">
        <w:rPr>
          <w:b/>
          <w:bCs/>
          <w:sz w:val="26"/>
          <w:szCs w:val="26"/>
        </w:rPr>
        <w:t>La Iniciativa Memorare</w:t>
      </w:r>
      <w:r>
        <w:rPr>
          <w:b/>
          <w:bCs/>
          <w:sz w:val="26"/>
          <w:szCs w:val="26"/>
        </w:rPr>
        <w:t xml:space="preserve"> --- </w:t>
      </w:r>
      <w:r w:rsidRPr="00012422">
        <w:rPr>
          <w:sz w:val="26"/>
          <w:szCs w:val="26"/>
        </w:rPr>
        <w:t>La última parte del documento está dedicada a los avances de la Iniciativa </w:t>
      </w:r>
      <w:r w:rsidRPr="00012422">
        <w:rPr>
          <w:i/>
          <w:iCs/>
          <w:sz w:val="26"/>
          <w:szCs w:val="26"/>
        </w:rPr>
        <w:t>Memorare</w:t>
      </w:r>
      <w:r w:rsidRPr="00012422">
        <w:rPr>
          <w:sz w:val="26"/>
          <w:szCs w:val="26"/>
        </w:rPr>
        <w:t>: creada por la Comisión en 2022, ha recaudado fondos restringidos de conferencias episcopales, órdenes religiosas y fundaciones filantrópicas para apoyar a las Iglesias con menos recursos del Sur Global. En la actualidad, existen 20 acuerdos para apoyar Iniciativas Memorare locales en todo el mundo, y una docena están en proceso de negociación. Entre los implicados se encuentran: Ruanda, Venezuela, Archidiócesis de Ciudad de México (México), AMECEA - Asociación de Miembros de Conferencias Episcopales de África Oriental, Provincia Eclesiástica de Chubut (Argentina), Honduras, Uruguay, Haití, Provincia Eclesiástica de Mombasa (Kenia), provincia eclesiástica de San Luis Potosí (México), Tonga, República Centroafricana, Malawi, provincia eclesiástica de Paraná (Argentina), Paraguay, IMBISA - Reunión Interregional de Obispos de África Austral, Panamá, provincia eclesiástica de Santa Fe (Argentina), Costa Rica y Zimbabue.</w:t>
      </w:r>
    </w:p>
    <w:p w14:paraId="1913AD9D" w14:textId="77777777" w:rsidR="00BE182B" w:rsidRDefault="00BE182B" w:rsidP="00D94E85">
      <w:pPr>
        <w:pStyle w:val="Sinespaciado"/>
        <w:jc w:val="center"/>
        <w:rPr>
          <w:sz w:val="18"/>
          <w:szCs w:val="18"/>
          <w:lang w:bidi="es-ES"/>
        </w:rPr>
      </w:pPr>
    </w:p>
    <w:p w14:paraId="4B4E2F63" w14:textId="77777777" w:rsidR="00BE182B" w:rsidRDefault="00BE182B" w:rsidP="00BE182B">
      <w:pPr>
        <w:pStyle w:val="Sinespaciado"/>
        <w:jc w:val="both"/>
        <w:rPr>
          <w:sz w:val="26"/>
          <w:szCs w:val="26"/>
          <w:lang w:bidi="es-ES"/>
        </w:rPr>
      </w:pPr>
    </w:p>
    <w:p w14:paraId="4978D263" w14:textId="08CA132C" w:rsidR="00BE182B" w:rsidRDefault="00BE182B" w:rsidP="00BE182B">
      <w:pPr>
        <w:pStyle w:val="Sinespaciado"/>
        <w:jc w:val="both"/>
        <w:rPr>
          <w:sz w:val="26"/>
          <w:szCs w:val="26"/>
          <w:lang w:bidi="es-ES"/>
        </w:rPr>
      </w:pPr>
      <w:r w:rsidRPr="00BE182B">
        <w:rPr>
          <w:sz w:val="26"/>
          <w:szCs w:val="26"/>
          <w:lang w:bidi="es-ES"/>
        </w:rPr>
        <w:t xml:space="preserve">Estimado Oscar: </w:t>
      </w:r>
    </w:p>
    <w:p w14:paraId="39906493" w14:textId="77777777" w:rsidR="00220F42" w:rsidRDefault="00220F42" w:rsidP="00220F42">
      <w:pPr>
        <w:pStyle w:val="Sinespaciado"/>
        <w:jc w:val="both"/>
        <w:rPr>
          <w:sz w:val="26"/>
          <w:szCs w:val="26"/>
          <w:lang w:bidi="es-ES"/>
        </w:rPr>
      </w:pPr>
      <w:r w:rsidRPr="00BE182B">
        <w:rPr>
          <w:sz w:val="26"/>
          <w:szCs w:val="26"/>
          <w:lang w:bidi="es-ES"/>
        </w:rPr>
        <w:t xml:space="preserve">Cartel de Vocaciones Verán algunas caras nuevas en el cartel: los novicios que comenzaron sus primeros pasos en la formación en agosto. Es un largo camino antes de que se conviertan en frailes dominicos completamente formados. Por eso, me tomo un momento para pedirles a nuestros amigos que apoyen a estos jóvenes en su camino hacia nuestro Señor Jesucristo. Como frailes dominicos, estamos comprometidos a predicar el Evangelio para la salvación de las almas. Esa gracia de la predicación comienza con la formación que recibe un noviciado. </w:t>
      </w:r>
    </w:p>
    <w:p w14:paraId="736F40C7" w14:textId="77777777" w:rsidR="00220F42" w:rsidRDefault="00220F42" w:rsidP="00220F42">
      <w:pPr>
        <w:pStyle w:val="Sinespaciado"/>
        <w:jc w:val="both"/>
        <w:rPr>
          <w:sz w:val="26"/>
          <w:szCs w:val="26"/>
          <w:lang w:bidi="es-ES"/>
        </w:rPr>
      </w:pPr>
    </w:p>
    <w:p w14:paraId="0E150948" w14:textId="77777777" w:rsidR="00220F42" w:rsidRPr="00BE182B" w:rsidRDefault="00220F42" w:rsidP="00220F42">
      <w:pPr>
        <w:pStyle w:val="Sinespaciado"/>
        <w:jc w:val="both"/>
        <w:rPr>
          <w:sz w:val="26"/>
          <w:szCs w:val="26"/>
        </w:rPr>
      </w:pPr>
      <w:r w:rsidRPr="00BE182B">
        <w:rPr>
          <w:sz w:val="26"/>
          <w:szCs w:val="26"/>
          <w:lang w:bidi="es-ES"/>
        </w:rPr>
        <w:t xml:space="preserve">No podemos descuidar este largo período de formación, pues las personas necesitan escuchar la verdad católica en su totalidad. Contamos con su ayuda para apoyar a estos hombres durante siete años de formación. Con su donativo, usted contribuye a la formación de un fraile que ofrece su </w:t>
      </w:r>
      <w:r w:rsidRPr="00BE182B">
        <w:rPr>
          <w:sz w:val="26"/>
          <w:szCs w:val="26"/>
          <w:lang w:bidi="es-ES"/>
        </w:rPr>
        <w:lastRenderedPageBreak/>
        <w:t>vida a Dios y a la Iglesia por la salvación de las almas. ¡Por favor, haga su más generosa ofrenda hoy!</w:t>
      </w:r>
    </w:p>
    <w:p w14:paraId="45FA976F" w14:textId="77777777" w:rsidR="00220F42" w:rsidRDefault="00220F42" w:rsidP="00BE182B">
      <w:pPr>
        <w:pStyle w:val="Sinespaciado"/>
        <w:jc w:val="both"/>
        <w:rPr>
          <w:sz w:val="26"/>
          <w:szCs w:val="26"/>
          <w:lang w:bidi="es-ES"/>
        </w:rPr>
      </w:pPr>
    </w:p>
    <w:p w14:paraId="79C86ECB" w14:textId="03829CA8" w:rsidR="00BE182B" w:rsidRDefault="00BE182B" w:rsidP="00BE182B">
      <w:pPr>
        <w:pStyle w:val="Sinespaciado"/>
        <w:jc w:val="center"/>
        <w:rPr>
          <w:sz w:val="26"/>
          <w:szCs w:val="26"/>
          <w:lang w:bidi="es-ES"/>
        </w:rPr>
      </w:pPr>
      <w:r>
        <w:rPr>
          <w:noProof/>
        </w:rPr>
        <w:drawing>
          <wp:inline distT="0" distB="0" distL="0" distR="0" wp14:anchorId="428DE905" wp14:editId="12C56432">
            <wp:extent cx="1981200" cy="2476500"/>
            <wp:effectExtent l="0" t="0" r="0" b="0"/>
            <wp:docPr id="9134834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6018" cy="2482523"/>
                    </a:xfrm>
                    <a:prstGeom prst="rect">
                      <a:avLst/>
                    </a:prstGeom>
                    <a:noFill/>
                    <a:ln>
                      <a:noFill/>
                    </a:ln>
                  </pic:spPr>
                </pic:pic>
              </a:graphicData>
            </a:graphic>
          </wp:inline>
        </w:drawing>
      </w:r>
    </w:p>
    <w:p w14:paraId="7C3E5400" w14:textId="77777777" w:rsidR="00BE182B" w:rsidRDefault="00BE182B" w:rsidP="00BE182B">
      <w:pPr>
        <w:pStyle w:val="Sinespaciado"/>
        <w:jc w:val="both"/>
        <w:rPr>
          <w:sz w:val="26"/>
          <w:szCs w:val="26"/>
          <w:lang w:bidi="es-ES"/>
        </w:rPr>
      </w:pPr>
      <w:r w:rsidRPr="00BE182B">
        <w:rPr>
          <w:sz w:val="26"/>
          <w:szCs w:val="26"/>
          <w:lang w:bidi="es-ES"/>
        </w:rPr>
        <w:t xml:space="preserve">¡El cartel de vocaciones 2025-2026 de la Provincia de San José acaba de publicarse! Me complace compartirlo con ustedes aquí, y pronto lo verán aparecer en toda la Provincia, en nuestras parroquias, centros intelectuales, ministerios universitarios y otros apostolados. </w:t>
      </w:r>
    </w:p>
    <w:p w14:paraId="57DEC681" w14:textId="77777777" w:rsidR="00220F42" w:rsidRDefault="00220F42" w:rsidP="00BE182B">
      <w:pPr>
        <w:pStyle w:val="Sinespaciado"/>
        <w:jc w:val="both"/>
        <w:rPr>
          <w:sz w:val="26"/>
          <w:szCs w:val="26"/>
          <w:lang w:bidi="es-ES"/>
        </w:rPr>
      </w:pPr>
    </w:p>
    <w:p w14:paraId="671C1C3E" w14:textId="77777777" w:rsidR="00BE182B" w:rsidRDefault="00BE182B">
      <w:pPr>
        <w:pStyle w:val="Sinespaciado"/>
        <w:jc w:val="both"/>
        <w:rPr>
          <w:sz w:val="26"/>
          <w:szCs w:val="26"/>
        </w:rPr>
      </w:pPr>
    </w:p>
    <w:p w14:paraId="5AFE9B72" w14:textId="2802AD77" w:rsidR="00BE182B" w:rsidRDefault="00BE182B" w:rsidP="00BE182B">
      <w:pPr>
        <w:pStyle w:val="Sinespaciado"/>
        <w:rPr>
          <w:sz w:val="26"/>
          <w:szCs w:val="26"/>
          <w:lang w:bidi="es-ES"/>
        </w:rPr>
      </w:pPr>
      <w:r w:rsidRPr="00BE182B">
        <w:rPr>
          <w:b/>
          <w:bCs/>
          <w:sz w:val="28"/>
          <w:szCs w:val="28"/>
          <w:lang w:bidi="es-ES"/>
        </w:rPr>
        <w:t>Fr. John Paul Kern, O.P.</w:t>
      </w:r>
      <w:r w:rsidRPr="00BE182B">
        <w:rPr>
          <w:sz w:val="26"/>
          <w:szCs w:val="26"/>
          <w:lang w:bidi="es-ES"/>
        </w:rPr>
        <w:br/>
        <w:t>Director Eje</w:t>
      </w:r>
      <w:r>
        <w:rPr>
          <w:sz w:val="26"/>
          <w:szCs w:val="26"/>
          <w:lang w:bidi="es-ES"/>
        </w:rPr>
        <w:t>cutivo</w:t>
      </w:r>
      <w:r w:rsidRPr="00BE182B">
        <w:rPr>
          <w:sz w:val="26"/>
          <w:szCs w:val="26"/>
          <w:lang w:bidi="es-ES"/>
        </w:rPr>
        <w:br/>
      </w:r>
      <w:r>
        <w:rPr>
          <w:sz w:val="26"/>
          <w:szCs w:val="26"/>
          <w:lang w:bidi="es-ES"/>
        </w:rPr>
        <w:t>Fundación de frailes Dominicos</w:t>
      </w:r>
    </w:p>
    <w:p w14:paraId="78AB5F38" w14:textId="568D60DE" w:rsidR="00BE182B" w:rsidRDefault="00BE182B" w:rsidP="00BE182B">
      <w:pPr>
        <w:pStyle w:val="Sinespaciado"/>
        <w:rPr>
          <w:sz w:val="26"/>
          <w:szCs w:val="26"/>
          <w:lang w:bidi="es-ES"/>
        </w:rPr>
      </w:pPr>
      <w:r>
        <w:rPr>
          <w:sz w:val="26"/>
          <w:szCs w:val="26"/>
          <w:lang w:bidi="es-ES"/>
        </w:rPr>
        <w:t xml:space="preserve">Provincia de San José, Estados Unidos  </w:t>
      </w:r>
    </w:p>
    <w:p w14:paraId="1BA87E0E" w14:textId="29F8AC57" w:rsidR="00BE182B" w:rsidRDefault="00000000" w:rsidP="00BE182B">
      <w:pPr>
        <w:pStyle w:val="Sinespaciado"/>
        <w:rPr>
          <w:sz w:val="26"/>
          <w:szCs w:val="26"/>
          <w:lang w:bidi="es-ES"/>
        </w:rPr>
      </w:pPr>
      <w:r>
        <w:rPr>
          <w:sz w:val="26"/>
          <w:szCs w:val="26"/>
          <w:lang w:bidi="es-ES"/>
        </w:rPr>
        <w:pict w14:anchorId="43F851E2">
          <v:rect id="_x0000_i1038" style="width:0;height:1.5pt" o:hralign="center" o:hrstd="t" o:hr="t" fillcolor="#a0a0a0" stroked="f"/>
        </w:pict>
      </w:r>
    </w:p>
    <w:p w14:paraId="6CF7B5AC" w14:textId="77777777" w:rsidR="00BE182B" w:rsidRPr="00BE182B" w:rsidRDefault="00BE182B" w:rsidP="00BE182B">
      <w:pPr>
        <w:pStyle w:val="Sinespaciado"/>
        <w:jc w:val="center"/>
        <w:rPr>
          <w:b/>
          <w:bCs/>
          <w:color w:val="385623" w:themeColor="accent6" w:themeShade="80"/>
          <w:sz w:val="40"/>
          <w:szCs w:val="40"/>
        </w:rPr>
      </w:pPr>
      <w:r w:rsidRPr="00BE182B">
        <w:rPr>
          <w:b/>
          <w:bCs/>
          <w:color w:val="385623" w:themeColor="accent6" w:themeShade="80"/>
          <w:sz w:val="40"/>
          <w:szCs w:val="40"/>
        </w:rPr>
        <w:t>La FAO celebra 80 años reforzando el compromiso global contra el hambre</w:t>
      </w:r>
    </w:p>
    <w:p w14:paraId="0DB20AE2" w14:textId="575173AC" w:rsidR="00BE182B" w:rsidRDefault="00BE182B" w:rsidP="00BE182B">
      <w:pPr>
        <w:pStyle w:val="Sinespaciado"/>
        <w:jc w:val="center"/>
        <w:rPr>
          <w:sz w:val="26"/>
          <w:szCs w:val="26"/>
        </w:rPr>
      </w:pPr>
      <w:r>
        <w:rPr>
          <w:noProof/>
        </w:rPr>
        <w:drawing>
          <wp:inline distT="0" distB="0" distL="0" distR="0" wp14:anchorId="6ACF6B5E" wp14:editId="63742D8F">
            <wp:extent cx="2867025" cy="1685925"/>
            <wp:effectExtent l="0" t="0" r="9525" b="9525"/>
            <wp:docPr id="18454122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412268" name=""/>
                    <pic:cNvPicPr/>
                  </pic:nvPicPr>
                  <pic:blipFill>
                    <a:blip r:embed="rId13"/>
                    <a:stretch>
                      <a:fillRect/>
                    </a:stretch>
                  </pic:blipFill>
                  <pic:spPr>
                    <a:xfrm>
                      <a:off x="0" y="0"/>
                      <a:ext cx="2867025" cy="1685925"/>
                    </a:xfrm>
                    <a:prstGeom prst="rect">
                      <a:avLst/>
                    </a:prstGeom>
                  </pic:spPr>
                </pic:pic>
              </a:graphicData>
            </a:graphic>
          </wp:inline>
        </w:drawing>
      </w:r>
    </w:p>
    <w:p w14:paraId="76016F68" w14:textId="7B04A85A" w:rsidR="00BE182B" w:rsidRPr="00BE182B" w:rsidRDefault="00BE182B" w:rsidP="00BE182B">
      <w:pPr>
        <w:pStyle w:val="Sinespaciado"/>
        <w:jc w:val="both"/>
        <w:rPr>
          <w:sz w:val="26"/>
          <w:szCs w:val="26"/>
        </w:rPr>
      </w:pPr>
      <w:r w:rsidRPr="00BE182B">
        <w:rPr>
          <w:sz w:val="26"/>
          <w:szCs w:val="26"/>
        </w:rPr>
        <w:t>En el marco del 80º aniversario de la Organización de las Naciones Unidas para la Alimentación y la Agricultura (FAO), el Papa León XIV visitará por primera vez la sede del organismo en Roma para participar en la ceremonia central del Día Mundial de la Alimentación. Entrevista al Observador permanente de la Santa Sede.</w:t>
      </w:r>
    </w:p>
    <w:p w14:paraId="301BE696" w14:textId="341AA74E" w:rsidR="00BE182B" w:rsidRPr="00BE182B" w:rsidRDefault="00BE182B" w:rsidP="00BE182B">
      <w:pPr>
        <w:pStyle w:val="Sinespaciado"/>
        <w:jc w:val="both"/>
        <w:rPr>
          <w:b/>
          <w:bCs/>
          <w:sz w:val="26"/>
          <w:szCs w:val="26"/>
        </w:rPr>
      </w:pPr>
      <w:r w:rsidRPr="00BE182B">
        <w:rPr>
          <w:b/>
          <w:bCs/>
          <w:sz w:val="26"/>
          <w:szCs w:val="26"/>
        </w:rPr>
        <w:t>Patricia Ynestroza - Ciudad del Vaticano – 15/10/2025</w:t>
      </w:r>
    </w:p>
    <w:p w14:paraId="4586DE78" w14:textId="77777777" w:rsidR="00BE182B" w:rsidRPr="00BE182B" w:rsidRDefault="00BE182B" w:rsidP="00BE182B">
      <w:pPr>
        <w:pStyle w:val="Sinespaciado"/>
        <w:jc w:val="both"/>
        <w:rPr>
          <w:sz w:val="26"/>
          <w:szCs w:val="26"/>
        </w:rPr>
      </w:pPr>
    </w:p>
    <w:p w14:paraId="3969E16F" w14:textId="77777777" w:rsidR="00BE182B" w:rsidRDefault="00BE182B" w:rsidP="00BE182B">
      <w:pPr>
        <w:pStyle w:val="Sinespaciado"/>
        <w:jc w:val="both"/>
        <w:rPr>
          <w:sz w:val="26"/>
          <w:szCs w:val="26"/>
        </w:rPr>
      </w:pPr>
      <w:r w:rsidRPr="00BE182B">
        <w:rPr>
          <w:sz w:val="26"/>
          <w:szCs w:val="26"/>
        </w:rPr>
        <w:lastRenderedPageBreak/>
        <w:t>La Organización de las Naciones Unidas para la Alimentación y la Agricultura (FAO) conmemora su 80º aniversario coincidiendo con el Día Mundial de la Alimentación. La sede del organismo en Roma acoge una semana de eventos internacionales que incluyen el Foro Mundial para la Alimentación y la ceremonia central del Día Mundial, con la participación del Papa León XIV.</w:t>
      </w:r>
    </w:p>
    <w:p w14:paraId="49EDB017" w14:textId="77777777" w:rsidR="00BE182B" w:rsidRDefault="00BE182B" w:rsidP="00BE182B">
      <w:pPr>
        <w:pStyle w:val="Sinespaciado"/>
        <w:jc w:val="both"/>
        <w:rPr>
          <w:sz w:val="26"/>
          <w:szCs w:val="26"/>
        </w:rPr>
      </w:pPr>
    </w:p>
    <w:p w14:paraId="2DFA2A1B" w14:textId="48002DE6" w:rsidR="00BE182B" w:rsidRDefault="00BE182B" w:rsidP="00BE182B">
      <w:pPr>
        <w:pStyle w:val="Sinespaciado"/>
        <w:jc w:val="both"/>
        <w:rPr>
          <w:sz w:val="26"/>
          <w:szCs w:val="26"/>
        </w:rPr>
      </w:pPr>
      <w:r w:rsidRPr="00BE182B">
        <w:rPr>
          <w:sz w:val="26"/>
          <w:szCs w:val="26"/>
        </w:rPr>
        <w:t>En una entrevista concedida a los medios vaticanos, Monseñor Fernando Chica Arellano, Observador Permanente de la Santa Sede ante la FAO, subrayó el compromiso del Vaticano con la erradicación del hambre y la defensa de la dignidad humana.</w:t>
      </w:r>
    </w:p>
    <w:p w14:paraId="438448D6" w14:textId="77777777" w:rsidR="00AD607C" w:rsidRDefault="00AD607C" w:rsidP="00BE182B">
      <w:pPr>
        <w:pStyle w:val="Sinespaciado"/>
        <w:jc w:val="both"/>
        <w:rPr>
          <w:sz w:val="26"/>
          <w:szCs w:val="26"/>
        </w:rPr>
      </w:pPr>
    </w:p>
    <w:p w14:paraId="712E0BEC" w14:textId="77777777" w:rsidR="00BE182B" w:rsidRDefault="00BE182B" w:rsidP="00BE182B">
      <w:pPr>
        <w:pStyle w:val="Sinespaciado"/>
        <w:jc w:val="both"/>
        <w:rPr>
          <w:sz w:val="26"/>
          <w:szCs w:val="26"/>
        </w:rPr>
      </w:pPr>
      <w:r w:rsidRPr="00BE182B">
        <w:rPr>
          <w:sz w:val="26"/>
          <w:szCs w:val="26"/>
        </w:rPr>
        <w:t>Además, destacó la estrecha relación histórica entre la Santa Sede y la FAO, recordando que esta institución de las Naciones Unidas fue el primer organismo internacional con el que la Santa Sede estableció relaciones diplomáticas regulares. Chica Arellano no dejó de subrayar que el Vaticano ha estado siempre muy cercano a esta entidad intergubernamental y los romanos pontífices han destacado continuamente los esfuerzos constantes que la FAO ha realizado para poner la agricultura en el centro de las iniciativas internacionales en aras de acabar con la plaga de la pobreza y el hambre en nuestro planeta.</w:t>
      </w:r>
    </w:p>
    <w:p w14:paraId="5430B2FB" w14:textId="77777777" w:rsidR="00BE182B" w:rsidRPr="00BE182B" w:rsidRDefault="00BE182B" w:rsidP="00BE182B">
      <w:pPr>
        <w:pStyle w:val="Sinespaciado"/>
        <w:jc w:val="both"/>
        <w:rPr>
          <w:sz w:val="26"/>
          <w:szCs w:val="26"/>
        </w:rPr>
      </w:pPr>
    </w:p>
    <w:p w14:paraId="376C30AA" w14:textId="5808811F" w:rsidR="00BE182B" w:rsidRDefault="00BE182B" w:rsidP="00BE182B">
      <w:pPr>
        <w:pStyle w:val="Sinespaciado"/>
        <w:jc w:val="both"/>
        <w:rPr>
          <w:sz w:val="26"/>
          <w:szCs w:val="26"/>
        </w:rPr>
      </w:pPr>
      <w:r w:rsidRPr="00BE182B">
        <w:rPr>
          <w:b/>
          <w:bCs/>
          <w:sz w:val="26"/>
          <w:szCs w:val="26"/>
        </w:rPr>
        <w:t>El Papa visita la FAO</w:t>
      </w:r>
      <w:r>
        <w:rPr>
          <w:b/>
          <w:bCs/>
          <w:sz w:val="26"/>
          <w:szCs w:val="26"/>
        </w:rPr>
        <w:t xml:space="preserve"> - </w:t>
      </w:r>
      <w:r w:rsidRPr="00BE182B">
        <w:rPr>
          <w:sz w:val="26"/>
          <w:szCs w:val="26"/>
        </w:rPr>
        <w:t>El Papa León XIV, quien asiste por primera vez a un acto oficial de la FAO, transmitirá —según Monseñor Chica— “un mensaje de ánimo y de realismo, para que el mundo comprenda que luchar contra el hambre es una tarea que compete a todos”. El Pontífice, añadió, “quiere poner a la persona humana en el centro de las políticas alimentarias y recordar que la técnica o la economía no pueden prevalecer sobre la dignidad humana”.</w:t>
      </w:r>
    </w:p>
    <w:p w14:paraId="30694983" w14:textId="77777777" w:rsidR="00BE182B" w:rsidRPr="00BE182B" w:rsidRDefault="00BE182B" w:rsidP="00BE182B">
      <w:pPr>
        <w:pStyle w:val="Sinespaciado"/>
        <w:jc w:val="both"/>
        <w:rPr>
          <w:sz w:val="26"/>
          <w:szCs w:val="26"/>
        </w:rPr>
      </w:pPr>
    </w:p>
    <w:p w14:paraId="5C3F30B1" w14:textId="494E10A0" w:rsidR="00BE182B" w:rsidRDefault="00BE182B" w:rsidP="00BE182B">
      <w:pPr>
        <w:pStyle w:val="Sinespaciado"/>
        <w:jc w:val="both"/>
        <w:rPr>
          <w:sz w:val="26"/>
          <w:szCs w:val="26"/>
        </w:rPr>
      </w:pPr>
      <w:r w:rsidRPr="00BE182B">
        <w:rPr>
          <w:b/>
          <w:bCs/>
          <w:sz w:val="26"/>
          <w:szCs w:val="26"/>
        </w:rPr>
        <w:t>Ética, solidaridad y compromiso</w:t>
      </w:r>
      <w:r>
        <w:rPr>
          <w:b/>
          <w:bCs/>
          <w:sz w:val="26"/>
          <w:szCs w:val="26"/>
        </w:rPr>
        <w:t xml:space="preserve"> - </w:t>
      </w:r>
      <w:r w:rsidRPr="00BE182B">
        <w:rPr>
          <w:sz w:val="26"/>
          <w:szCs w:val="26"/>
        </w:rPr>
        <w:t>Monseñor Chica insistió en que el mundo “tiene los medios científicos y técnicos para erradicar el hambre, pero falta la voluntad política. El hambre no se combate solo con datos o estrategias, sino con compromiso y colaboración en la puesta en práctica de planteamientos serios y de largo alcance, que salgan al frente de las necesidades de los más vulnerables. En este desafío, todos somos necesarios, porque todos pertenecemos a la misma familia humana”, afirmó.</w:t>
      </w:r>
    </w:p>
    <w:p w14:paraId="0F2FEA35" w14:textId="77777777" w:rsidR="00BE182B" w:rsidRPr="00BE182B" w:rsidRDefault="00BE182B" w:rsidP="00BE182B">
      <w:pPr>
        <w:pStyle w:val="Sinespaciado"/>
        <w:jc w:val="both"/>
        <w:rPr>
          <w:sz w:val="26"/>
          <w:szCs w:val="26"/>
        </w:rPr>
      </w:pPr>
    </w:p>
    <w:p w14:paraId="7F3BDE4C" w14:textId="77777777" w:rsidR="00BE182B" w:rsidRDefault="00BE182B" w:rsidP="00BE182B">
      <w:pPr>
        <w:pStyle w:val="Sinespaciado"/>
        <w:jc w:val="both"/>
        <w:rPr>
          <w:sz w:val="26"/>
          <w:szCs w:val="26"/>
        </w:rPr>
      </w:pPr>
      <w:r w:rsidRPr="00BE182B">
        <w:rPr>
          <w:sz w:val="26"/>
          <w:szCs w:val="26"/>
        </w:rPr>
        <w:t>Asimismo, recalcó la dimensión ética de la lucha contra el hambre, que pasa por “reducir las desigualdades y garantizar una distribución justa de los recursos”. En sus palabras, “mientras haya una persona que carezca de lo necesario para vivir, nadie puede estar tranquilo”.</w:t>
      </w:r>
    </w:p>
    <w:p w14:paraId="654FBADF" w14:textId="77777777" w:rsidR="00BE182B" w:rsidRPr="00BE182B" w:rsidRDefault="00BE182B" w:rsidP="00BE182B">
      <w:pPr>
        <w:pStyle w:val="Sinespaciado"/>
        <w:jc w:val="both"/>
        <w:rPr>
          <w:sz w:val="26"/>
          <w:szCs w:val="26"/>
        </w:rPr>
      </w:pPr>
    </w:p>
    <w:p w14:paraId="4D4DBA8D" w14:textId="7F81555B" w:rsidR="00BE182B" w:rsidRDefault="00BE182B" w:rsidP="00BE182B">
      <w:pPr>
        <w:pStyle w:val="Sinespaciado"/>
        <w:jc w:val="both"/>
        <w:rPr>
          <w:sz w:val="26"/>
          <w:szCs w:val="26"/>
        </w:rPr>
      </w:pPr>
      <w:r w:rsidRPr="00BE182B">
        <w:rPr>
          <w:b/>
          <w:bCs/>
          <w:sz w:val="26"/>
          <w:szCs w:val="26"/>
        </w:rPr>
        <w:t>El papel de la fe y los cambios estructurales</w:t>
      </w:r>
      <w:r>
        <w:rPr>
          <w:b/>
          <w:bCs/>
          <w:sz w:val="26"/>
          <w:szCs w:val="26"/>
        </w:rPr>
        <w:t xml:space="preserve"> - </w:t>
      </w:r>
      <w:r w:rsidRPr="00BE182B">
        <w:rPr>
          <w:sz w:val="26"/>
          <w:szCs w:val="26"/>
        </w:rPr>
        <w:t>El representante del Vaticano llamó a las religiones y comunidades de fe a promover estilos de vida más solidarios, reducir el desperdicio de alimentos y apoyar la agricultura familiar. “El hambre es un aldabonazo a nuestra conciencia —dijo—, una llamada a cambiar nuestros hábitos y apostar por un consumo responsable”.</w:t>
      </w:r>
    </w:p>
    <w:p w14:paraId="6CA1804E" w14:textId="77777777" w:rsidR="00BE182B" w:rsidRPr="00BE182B" w:rsidRDefault="00BE182B" w:rsidP="00BE182B">
      <w:pPr>
        <w:pStyle w:val="Sinespaciado"/>
        <w:jc w:val="both"/>
        <w:rPr>
          <w:sz w:val="26"/>
          <w:szCs w:val="26"/>
        </w:rPr>
      </w:pPr>
    </w:p>
    <w:p w14:paraId="39FA827F" w14:textId="77777777" w:rsidR="00BE182B" w:rsidRDefault="00BE182B" w:rsidP="00BE182B">
      <w:pPr>
        <w:pStyle w:val="Sinespaciado"/>
        <w:jc w:val="both"/>
        <w:rPr>
          <w:sz w:val="26"/>
          <w:szCs w:val="26"/>
        </w:rPr>
      </w:pPr>
      <w:r w:rsidRPr="00BE182B">
        <w:rPr>
          <w:sz w:val="26"/>
          <w:szCs w:val="26"/>
        </w:rPr>
        <w:t xml:space="preserve">Respecto a las regiones más afectadas, especialmente África y Asia Occidental, monseñor Chica señaló la urgencia que en las zonas más probadas del planeta se invierta en agricultura sostenible, desarrollo de infraestructuras, implantación de sistemas de agua limpia y fomento de la educación, sin olvidar el fortalecimiento de la protección social y el apoyo a las mujeres rurales y a los </w:t>
      </w:r>
      <w:r w:rsidRPr="00BE182B">
        <w:rPr>
          <w:sz w:val="26"/>
          <w:szCs w:val="26"/>
        </w:rPr>
        <w:lastRenderedPageBreak/>
        <w:t>jóvenes. “La reforma agraria y la redistribución de la tierra son mecanismos fundamentales para reducir la inseguridad alimentaria”, añadió.</w:t>
      </w:r>
    </w:p>
    <w:p w14:paraId="7338E7D0" w14:textId="77777777" w:rsidR="00BE182B" w:rsidRPr="00BE182B" w:rsidRDefault="00BE182B" w:rsidP="00BE182B">
      <w:pPr>
        <w:pStyle w:val="Sinespaciado"/>
        <w:jc w:val="both"/>
        <w:rPr>
          <w:sz w:val="26"/>
          <w:szCs w:val="26"/>
        </w:rPr>
      </w:pPr>
    </w:p>
    <w:p w14:paraId="27D9CBDB" w14:textId="7A3C81A8" w:rsidR="00BE182B" w:rsidRDefault="00BE182B" w:rsidP="00BE182B">
      <w:pPr>
        <w:pStyle w:val="Sinespaciado"/>
        <w:jc w:val="both"/>
        <w:rPr>
          <w:sz w:val="26"/>
          <w:szCs w:val="26"/>
        </w:rPr>
      </w:pPr>
      <w:r w:rsidRPr="00BE182B">
        <w:rPr>
          <w:b/>
          <w:bCs/>
          <w:sz w:val="26"/>
          <w:szCs w:val="26"/>
        </w:rPr>
        <w:t>Un llamado global</w:t>
      </w:r>
      <w:r>
        <w:rPr>
          <w:b/>
          <w:bCs/>
          <w:sz w:val="26"/>
          <w:szCs w:val="26"/>
        </w:rPr>
        <w:t xml:space="preserve">- </w:t>
      </w:r>
      <w:r w:rsidRPr="00BE182B">
        <w:rPr>
          <w:sz w:val="26"/>
          <w:szCs w:val="26"/>
        </w:rPr>
        <w:t>En el 80º aniversario de la FAO, el mensaje es claro: los avances son significativos, pero insuficientes. La organización y la Santa Sede coinciden en que erradicar el hambre exige cooperación internacional, voluntad política y una profunda conciencia ética. “Juntos podemos hacerlo mejor y hacerlo unidos”, concluyó monseñor Chica, recordando que la lucha contra el hambre “es un deber de toda la humanidad”.</w:t>
      </w:r>
    </w:p>
    <w:p w14:paraId="23E5CB8A" w14:textId="77777777" w:rsidR="00BE182B" w:rsidRPr="00BE182B" w:rsidRDefault="00BE182B" w:rsidP="00BE182B">
      <w:pPr>
        <w:pStyle w:val="Sinespaciado"/>
        <w:jc w:val="both"/>
        <w:rPr>
          <w:sz w:val="26"/>
          <w:szCs w:val="26"/>
        </w:rPr>
      </w:pPr>
    </w:p>
    <w:p w14:paraId="480C49BB" w14:textId="459CDCAD" w:rsidR="00BE182B" w:rsidRDefault="00BE182B" w:rsidP="00BE182B">
      <w:pPr>
        <w:pStyle w:val="Sinespaciado"/>
        <w:jc w:val="both"/>
        <w:rPr>
          <w:sz w:val="26"/>
          <w:szCs w:val="26"/>
        </w:rPr>
      </w:pPr>
      <w:r w:rsidRPr="00BE182B">
        <w:rPr>
          <w:b/>
          <w:bCs/>
          <w:sz w:val="26"/>
          <w:szCs w:val="26"/>
        </w:rPr>
        <w:t>Una semana de eventos celebrando los 80 años</w:t>
      </w:r>
      <w:r>
        <w:rPr>
          <w:b/>
          <w:bCs/>
          <w:sz w:val="26"/>
          <w:szCs w:val="26"/>
        </w:rPr>
        <w:t xml:space="preserve"> - </w:t>
      </w:r>
      <w:r w:rsidRPr="00BE182B">
        <w:rPr>
          <w:sz w:val="26"/>
          <w:szCs w:val="26"/>
        </w:rPr>
        <w:t>La sede del organismo en Roma acoge una semana de eventos con el objetivo de renovar los compromisos globales para erradicar el hambre y avanzar hacia sistemas agroalimentarios sostenibles e inclusivos. Durante la jornada principal, la FAO inaugurará además el MuNe, un museo educativo dedicado a la historia y los desafíos de la alimentación.</w:t>
      </w:r>
    </w:p>
    <w:p w14:paraId="2F7E56DE" w14:textId="77777777" w:rsidR="00BE182B" w:rsidRPr="00BE182B" w:rsidRDefault="00BE182B" w:rsidP="00BE182B">
      <w:pPr>
        <w:pStyle w:val="Sinespaciado"/>
        <w:jc w:val="both"/>
        <w:rPr>
          <w:sz w:val="26"/>
          <w:szCs w:val="26"/>
        </w:rPr>
      </w:pPr>
    </w:p>
    <w:p w14:paraId="1A757303" w14:textId="77777777" w:rsidR="00BE182B" w:rsidRDefault="00BE182B" w:rsidP="00BE182B">
      <w:pPr>
        <w:pStyle w:val="Sinespaciado"/>
        <w:jc w:val="both"/>
        <w:rPr>
          <w:sz w:val="26"/>
          <w:szCs w:val="26"/>
        </w:rPr>
      </w:pPr>
      <w:r w:rsidRPr="00BE182B">
        <w:rPr>
          <w:sz w:val="26"/>
          <w:szCs w:val="26"/>
        </w:rPr>
        <w:t>Según el informe sobre el Estado de la Seguridad Alimentaria y la Nutrición en el mundo (SOFI 2025), el hambre afecta a 673 millones de personas en el mundo, equivalente al 8,2 % de la población global. Aunque América Latina y el Caribe muestran mejoras, con una reducción de la subalimentación al 5,1 %, África y Asia Occidental siguen enfrentando graves crisis alimentarias. La FAO advierte que, de mantenerse las tendencias actuales, en 2030 512 millones de personas continuarán padeciendo hambre crónica, la mayoría en África.</w:t>
      </w:r>
    </w:p>
    <w:p w14:paraId="229A708D" w14:textId="53B9C791" w:rsidR="00FD0853" w:rsidRPr="00BE182B" w:rsidRDefault="00000000" w:rsidP="00BE182B">
      <w:pPr>
        <w:pStyle w:val="Sinespaciado"/>
        <w:jc w:val="both"/>
        <w:rPr>
          <w:sz w:val="26"/>
          <w:szCs w:val="26"/>
        </w:rPr>
      </w:pPr>
      <w:r>
        <w:rPr>
          <w:sz w:val="26"/>
          <w:szCs w:val="26"/>
          <w:lang w:bidi="es-ES"/>
        </w:rPr>
        <w:pict w14:anchorId="49155DBC">
          <v:rect id="_x0000_i1039" style="width:0;height:1.5pt" o:hralign="center" o:hrstd="t" o:hr="t" fillcolor="#a0a0a0" stroked="f"/>
        </w:pict>
      </w:r>
    </w:p>
    <w:p w14:paraId="11E43D66" w14:textId="77777777" w:rsidR="00012422" w:rsidRDefault="00012422" w:rsidP="004B7D2B">
      <w:pPr>
        <w:pStyle w:val="Sinespaciado"/>
        <w:jc w:val="both"/>
        <w:rPr>
          <w:sz w:val="26"/>
          <w:szCs w:val="26"/>
        </w:rPr>
      </w:pPr>
    </w:p>
    <w:p w14:paraId="72974B36" w14:textId="77777777" w:rsidR="001C3AD9" w:rsidRPr="004B7D2B" w:rsidRDefault="001C3AD9" w:rsidP="004B7D2B">
      <w:pPr>
        <w:pStyle w:val="Sinespaciado"/>
        <w:jc w:val="both"/>
        <w:rPr>
          <w:sz w:val="26"/>
          <w:szCs w:val="26"/>
        </w:rPr>
      </w:pPr>
    </w:p>
    <w:sectPr w:rsidR="001C3AD9" w:rsidRPr="004B7D2B"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4355" w14:textId="77777777" w:rsidR="00E60A4F" w:rsidRDefault="00E60A4F" w:rsidP="00A07A32">
      <w:r>
        <w:separator/>
      </w:r>
    </w:p>
  </w:endnote>
  <w:endnote w:type="continuationSeparator" w:id="0">
    <w:p w14:paraId="6484A4E3" w14:textId="77777777" w:rsidR="00E60A4F" w:rsidRDefault="00E60A4F"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4E94E" w14:textId="77777777" w:rsidR="00E60A4F" w:rsidRDefault="00E60A4F" w:rsidP="00A07A32">
      <w:r>
        <w:separator/>
      </w:r>
    </w:p>
  </w:footnote>
  <w:footnote w:type="continuationSeparator" w:id="0">
    <w:p w14:paraId="1C904091" w14:textId="77777777" w:rsidR="00E60A4F" w:rsidRDefault="00E60A4F"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9" style="width:0;height:1.5pt" o:hralign="center" o:bullet="t" o:hrstd="t" o:hr="t" fillcolor="#a0a0a0" stroked="f"/>
    </w:pict>
  </w:numPicBullet>
  <w:numPicBullet w:numPicBulletId="1">
    <w:pict>
      <v:rect id="_x0000_i1040" style="width:0;height:1.5pt" o:hralign="center" o:bullet="t" o:hrstd="t" o:hr="t" fillcolor="#a0a0a0" stroked="f"/>
    </w:pict>
  </w:numPicBullet>
  <w:numPicBullet w:numPicBulletId="2">
    <w:pict>
      <v:rect id="_x0000_i1041" style="width:0;height:1.5pt" o:hralign="center" o:bullet="t" o:hrstd="t" o:hr="t" fillcolor="#a0a0a0" stroked="f"/>
    </w:pict>
  </w:numPicBullet>
  <w:numPicBullet w:numPicBulletId="3">
    <w:pict>
      <v:rect id="_x0000_i1042" style="width:0;height:1.5pt" o:hralign="center" o:bullet="t" o:hrstd="t" o:hr="t" fillcolor="#a0a0a0" stroked="f"/>
    </w:pict>
  </w:numPicBullet>
  <w:numPicBullet w:numPicBulletId="4">
    <w:pict>
      <v:rect id="_x0000_i1043" style="width:0;height:1.5pt" o:hralign="center" o:bullet="t" o:hrstd="t" o:hr="t" fillcolor="#a0a0a0" stroked="f"/>
    </w:pict>
  </w:numPicBullet>
  <w:numPicBullet w:numPicBulletId="5">
    <w:pict>
      <v:rect id="_x0000_i1044" style="width:0;height:1.5pt" o:hralign="center" o:bullet="t" o:hrstd="t" o:hr="t" fillcolor="#a0a0a0" stroked="f"/>
    </w:pict>
  </w:numPicBullet>
  <w:numPicBullet w:numPicBulletId="6">
    <w:pict>
      <v:rect id="_x0000_i1045" style="width:0;height:1.5pt" o:hralign="center" o:bullet="t" o:hrstd="t" o:hr="t" fillcolor="#a0a0a0" stroked="f"/>
    </w:pict>
  </w:numPicBullet>
  <w:numPicBullet w:numPicBulletId="7">
    <w:pict>
      <v:rect id="_x0000_i1046" style="width:0;height:1.5pt" o:hralign="center" o:bullet="t" o:hrstd="t" o:hr="t" fillcolor="#a0a0a0" stroked="f"/>
    </w:pict>
  </w:numPicBullet>
  <w:numPicBullet w:numPicBulletId="8">
    <w:pict>
      <v:rect id="_x0000_i1047" style="width:0;height:1.5pt" o:hralign="center" o:bullet="t" o:hrstd="t" o:hr="t" fillcolor="#a0a0a0" stroked="f"/>
    </w:pict>
  </w:numPicBullet>
  <w:numPicBullet w:numPicBulletId="9">
    <w:pict>
      <v:rect id="_x0000_i1048" style="width:0;height:1.5pt" o:hralign="center" o:bullet="t" o:hrstd="t" o:hr="t" fillcolor="#a0a0a0" stroked="f"/>
    </w:pict>
  </w:numPicBullet>
  <w:numPicBullet w:numPicBulletId="10">
    <w:pict>
      <v:rect id="_x0000_i1049" style="width:0;height:1.5pt" o:hralign="center" o:bullet="t" o:hrstd="t" o:hr="t" fillcolor="#a0a0a0" stroked="f"/>
    </w:pict>
  </w:numPicBullet>
  <w:numPicBullet w:numPicBulletId="11">
    <w:pict>
      <v:rect id="_x0000_i1050" style="width:0;height:1.5pt" o:hralign="center" o:bullet="t" o:hrstd="t" o:hr="t" fillcolor="#a0a0a0" stroked="f"/>
    </w:pict>
  </w:numPicBullet>
  <w:numPicBullet w:numPicBulletId="12">
    <w:pict>
      <v:rect id="_x0000_i105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9C4FDD"/>
    <w:multiLevelType w:val="hybridMultilevel"/>
    <w:tmpl w:val="4844C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24CA9"/>
    <w:multiLevelType w:val="hybridMultilevel"/>
    <w:tmpl w:val="7AD26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5D5CB1"/>
    <w:multiLevelType w:val="multilevel"/>
    <w:tmpl w:val="6F7A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B6AE6"/>
    <w:multiLevelType w:val="hybridMultilevel"/>
    <w:tmpl w:val="A8AEC16A"/>
    <w:lvl w:ilvl="0" w:tplc="B260B5FE">
      <w:start w:val="1"/>
      <w:numFmt w:val="bullet"/>
      <w:lvlText w:val=""/>
      <w:lvlPicBulletId w:val="11"/>
      <w:lvlJc w:val="left"/>
      <w:pPr>
        <w:tabs>
          <w:tab w:val="num" w:pos="720"/>
        </w:tabs>
        <w:ind w:left="720" w:hanging="360"/>
      </w:pPr>
      <w:rPr>
        <w:rFonts w:ascii="Symbol" w:hAnsi="Symbol" w:hint="default"/>
      </w:rPr>
    </w:lvl>
    <w:lvl w:ilvl="1" w:tplc="7ADA6616" w:tentative="1">
      <w:start w:val="1"/>
      <w:numFmt w:val="bullet"/>
      <w:lvlText w:val=""/>
      <w:lvlJc w:val="left"/>
      <w:pPr>
        <w:tabs>
          <w:tab w:val="num" w:pos="1440"/>
        </w:tabs>
        <w:ind w:left="1440" w:hanging="360"/>
      </w:pPr>
      <w:rPr>
        <w:rFonts w:ascii="Symbol" w:hAnsi="Symbol" w:hint="default"/>
      </w:rPr>
    </w:lvl>
    <w:lvl w:ilvl="2" w:tplc="D5CA1DA6" w:tentative="1">
      <w:start w:val="1"/>
      <w:numFmt w:val="bullet"/>
      <w:lvlText w:val=""/>
      <w:lvlJc w:val="left"/>
      <w:pPr>
        <w:tabs>
          <w:tab w:val="num" w:pos="2160"/>
        </w:tabs>
        <w:ind w:left="2160" w:hanging="360"/>
      </w:pPr>
      <w:rPr>
        <w:rFonts w:ascii="Symbol" w:hAnsi="Symbol" w:hint="default"/>
      </w:rPr>
    </w:lvl>
    <w:lvl w:ilvl="3" w:tplc="D2A0D50C" w:tentative="1">
      <w:start w:val="1"/>
      <w:numFmt w:val="bullet"/>
      <w:lvlText w:val=""/>
      <w:lvlJc w:val="left"/>
      <w:pPr>
        <w:tabs>
          <w:tab w:val="num" w:pos="2880"/>
        </w:tabs>
        <w:ind w:left="2880" w:hanging="360"/>
      </w:pPr>
      <w:rPr>
        <w:rFonts w:ascii="Symbol" w:hAnsi="Symbol" w:hint="default"/>
      </w:rPr>
    </w:lvl>
    <w:lvl w:ilvl="4" w:tplc="E572E578" w:tentative="1">
      <w:start w:val="1"/>
      <w:numFmt w:val="bullet"/>
      <w:lvlText w:val=""/>
      <w:lvlJc w:val="left"/>
      <w:pPr>
        <w:tabs>
          <w:tab w:val="num" w:pos="3600"/>
        </w:tabs>
        <w:ind w:left="3600" w:hanging="360"/>
      </w:pPr>
      <w:rPr>
        <w:rFonts w:ascii="Symbol" w:hAnsi="Symbol" w:hint="default"/>
      </w:rPr>
    </w:lvl>
    <w:lvl w:ilvl="5" w:tplc="E0A46D80" w:tentative="1">
      <w:start w:val="1"/>
      <w:numFmt w:val="bullet"/>
      <w:lvlText w:val=""/>
      <w:lvlJc w:val="left"/>
      <w:pPr>
        <w:tabs>
          <w:tab w:val="num" w:pos="4320"/>
        </w:tabs>
        <w:ind w:left="4320" w:hanging="360"/>
      </w:pPr>
      <w:rPr>
        <w:rFonts w:ascii="Symbol" w:hAnsi="Symbol" w:hint="default"/>
      </w:rPr>
    </w:lvl>
    <w:lvl w:ilvl="6" w:tplc="62A23B64" w:tentative="1">
      <w:start w:val="1"/>
      <w:numFmt w:val="bullet"/>
      <w:lvlText w:val=""/>
      <w:lvlJc w:val="left"/>
      <w:pPr>
        <w:tabs>
          <w:tab w:val="num" w:pos="5040"/>
        </w:tabs>
        <w:ind w:left="5040" w:hanging="360"/>
      </w:pPr>
      <w:rPr>
        <w:rFonts w:ascii="Symbol" w:hAnsi="Symbol" w:hint="default"/>
      </w:rPr>
    </w:lvl>
    <w:lvl w:ilvl="7" w:tplc="FF26DE52" w:tentative="1">
      <w:start w:val="1"/>
      <w:numFmt w:val="bullet"/>
      <w:lvlText w:val=""/>
      <w:lvlJc w:val="left"/>
      <w:pPr>
        <w:tabs>
          <w:tab w:val="num" w:pos="5760"/>
        </w:tabs>
        <w:ind w:left="5760" w:hanging="360"/>
      </w:pPr>
      <w:rPr>
        <w:rFonts w:ascii="Symbol" w:hAnsi="Symbol" w:hint="default"/>
      </w:rPr>
    </w:lvl>
    <w:lvl w:ilvl="8" w:tplc="94DC41C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6"/>
  </w:num>
  <w:num w:numId="2" w16cid:durableId="683287659">
    <w:abstractNumId w:val="35"/>
  </w:num>
  <w:num w:numId="3" w16cid:durableId="728529381">
    <w:abstractNumId w:val="40"/>
  </w:num>
  <w:num w:numId="4" w16cid:durableId="68234440">
    <w:abstractNumId w:val="4"/>
  </w:num>
  <w:num w:numId="5" w16cid:durableId="1781365608">
    <w:abstractNumId w:val="19"/>
  </w:num>
  <w:num w:numId="6" w16cid:durableId="533009151">
    <w:abstractNumId w:val="8"/>
  </w:num>
  <w:num w:numId="7" w16cid:durableId="901212903">
    <w:abstractNumId w:val="18"/>
  </w:num>
  <w:num w:numId="8" w16cid:durableId="1222252637">
    <w:abstractNumId w:val="31"/>
  </w:num>
  <w:num w:numId="9" w16cid:durableId="1714500130">
    <w:abstractNumId w:val="0"/>
  </w:num>
  <w:num w:numId="10" w16cid:durableId="1260216319">
    <w:abstractNumId w:val="41"/>
  </w:num>
  <w:num w:numId="11" w16cid:durableId="1546871227">
    <w:abstractNumId w:val="10"/>
  </w:num>
  <w:num w:numId="12" w16cid:durableId="25181756">
    <w:abstractNumId w:val="1"/>
  </w:num>
  <w:num w:numId="13" w16cid:durableId="1465613946">
    <w:abstractNumId w:val="6"/>
  </w:num>
  <w:num w:numId="14" w16cid:durableId="26952468">
    <w:abstractNumId w:val="39"/>
  </w:num>
  <w:num w:numId="15" w16cid:durableId="986321871">
    <w:abstractNumId w:val="17"/>
  </w:num>
  <w:num w:numId="16" w16cid:durableId="778764484">
    <w:abstractNumId w:val="23"/>
  </w:num>
  <w:num w:numId="17" w16cid:durableId="686490563">
    <w:abstractNumId w:val="28"/>
  </w:num>
  <w:num w:numId="18" w16cid:durableId="2038583506">
    <w:abstractNumId w:val="24"/>
  </w:num>
  <w:num w:numId="19" w16cid:durableId="2006324204">
    <w:abstractNumId w:val="5"/>
  </w:num>
  <w:num w:numId="20" w16cid:durableId="186263559">
    <w:abstractNumId w:val="26"/>
  </w:num>
  <w:num w:numId="21" w16cid:durableId="487064933">
    <w:abstractNumId w:val="30"/>
  </w:num>
  <w:num w:numId="22" w16cid:durableId="1426342997">
    <w:abstractNumId w:val="3"/>
  </w:num>
  <w:num w:numId="23" w16cid:durableId="1452168471">
    <w:abstractNumId w:val="33"/>
  </w:num>
  <w:num w:numId="24" w16cid:durableId="935866605">
    <w:abstractNumId w:val="22"/>
  </w:num>
  <w:num w:numId="25" w16cid:durableId="266425904">
    <w:abstractNumId w:val="15"/>
  </w:num>
  <w:num w:numId="26" w16cid:durableId="580022149">
    <w:abstractNumId w:val="9"/>
  </w:num>
  <w:num w:numId="27" w16cid:durableId="420492982">
    <w:abstractNumId w:val="11"/>
  </w:num>
  <w:num w:numId="28" w16cid:durableId="1509101222">
    <w:abstractNumId w:val="43"/>
  </w:num>
  <w:num w:numId="29" w16cid:durableId="1029993041">
    <w:abstractNumId w:val="29"/>
  </w:num>
  <w:num w:numId="30" w16cid:durableId="2126188080">
    <w:abstractNumId w:val="36"/>
  </w:num>
  <w:num w:numId="31" w16cid:durableId="146212798">
    <w:abstractNumId w:val="38"/>
  </w:num>
  <w:num w:numId="32" w16cid:durableId="1053044094">
    <w:abstractNumId w:val="25"/>
  </w:num>
  <w:num w:numId="33" w16cid:durableId="371031045">
    <w:abstractNumId w:val="2"/>
  </w:num>
  <w:num w:numId="34" w16cid:durableId="1999915259">
    <w:abstractNumId w:val="34"/>
  </w:num>
  <w:num w:numId="35" w16cid:durableId="131945155">
    <w:abstractNumId w:val="7"/>
  </w:num>
  <w:num w:numId="36" w16cid:durableId="1759250014">
    <w:abstractNumId w:val="44"/>
  </w:num>
  <w:num w:numId="37" w16cid:durableId="880090098">
    <w:abstractNumId w:val="21"/>
  </w:num>
  <w:num w:numId="38" w16cid:durableId="1522668933">
    <w:abstractNumId w:val="45"/>
  </w:num>
  <w:num w:numId="39" w16cid:durableId="1480149955">
    <w:abstractNumId w:val="13"/>
  </w:num>
  <w:num w:numId="40" w16cid:durableId="656802711">
    <w:abstractNumId w:val="32"/>
  </w:num>
  <w:num w:numId="41" w16cid:durableId="924609789">
    <w:abstractNumId w:val="37"/>
  </w:num>
  <w:num w:numId="42" w16cid:durableId="1732847962">
    <w:abstractNumId w:val="42"/>
  </w:num>
  <w:num w:numId="43" w16cid:durableId="1246842170">
    <w:abstractNumId w:val="27"/>
  </w:num>
  <w:num w:numId="44" w16cid:durableId="282619461">
    <w:abstractNumId w:val="14"/>
  </w:num>
  <w:num w:numId="45" w16cid:durableId="681736080">
    <w:abstractNumId w:val="12"/>
  </w:num>
  <w:num w:numId="46" w16cid:durableId="2831921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E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C69"/>
    <w:rsid w:val="00086489"/>
    <w:rsid w:val="00086628"/>
    <w:rsid w:val="00090E41"/>
    <w:rsid w:val="00091FCF"/>
    <w:rsid w:val="000921DE"/>
    <w:rsid w:val="000927CA"/>
    <w:rsid w:val="00092BB4"/>
    <w:rsid w:val="00094BEB"/>
    <w:rsid w:val="00095AE9"/>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0489"/>
    <w:rsid w:val="000B1E94"/>
    <w:rsid w:val="000B24AD"/>
    <w:rsid w:val="000B4E06"/>
    <w:rsid w:val="000B4EB3"/>
    <w:rsid w:val="000B505E"/>
    <w:rsid w:val="000B5387"/>
    <w:rsid w:val="000B5673"/>
    <w:rsid w:val="000B5D95"/>
    <w:rsid w:val="000B69C1"/>
    <w:rsid w:val="000B7734"/>
    <w:rsid w:val="000C01B4"/>
    <w:rsid w:val="000C14B3"/>
    <w:rsid w:val="000C1D61"/>
    <w:rsid w:val="000C373A"/>
    <w:rsid w:val="000C5342"/>
    <w:rsid w:val="000C5430"/>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4BF6"/>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4173"/>
    <w:rsid w:val="00164BE1"/>
    <w:rsid w:val="0016610E"/>
    <w:rsid w:val="00170192"/>
    <w:rsid w:val="00170C6D"/>
    <w:rsid w:val="00171EF6"/>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0AE9"/>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3AD9"/>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0F4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56E9"/>
    <w:rsid w:val="002663A8"/>
    <w:rsid w:val="00266528"/>
    <w:rsid w:val="00266EF5"/>
    <w:rsid w:val="00267102"/>
    <w:rsid w:val="00274A2F"/>
    <w:rsid w:val="00277360"/>
    <w:rsid w:val="00277DD2"/>
    <w:rsid w:val="00277E20"/>
    <w:rsid w:val="00281D54"/>
    <w:rsid w:val="002821B9"/>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E7C38"/>
    <w:rsid w:val="003F097E"/>
    <w:rsid w:val="003F18D8"/>
    <w:rsid w:val="003F65B7"/>
    <w:rsid w:val="003F7888"/>
    <w:rsid w:val="00400931"/>
    <w:rsid w:val="004016F1"/>
    <w:rsid w:val="00401ECD"/>
    <w:rsid w:val="00402134"/>
    <w:rsid w:val="00403506"/>
    <w:rsid w:val="00403D0E"/>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244"/>
    <w:rsid w:val="00461F07"/>
    <w:rsid w:val="00462E1D"/>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166"/>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25FC"/>
    <w:rsid w:val="004A33C0"/>
    <w:rsid w:val="004A34A9"/>
    <w:rsid w:val="004A34B8"/>
    <w:rsid w:val="004A35CC"/>
    <w:rsid w:val="004A4061"/>
    <w:rsid w:val="004A439C"/>
    <w:rsid w:val="004A4C16"/>
    <w:rsid w:val="004A5172"/>
    <w:rsid w:val="004A536B"/>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68F"/>
    <w:rsid w:val="004B60BB"/>
    <w:rsid w:val="004B78F7"/>
    <w:rsid w:val="004B7D2B"/>
    <w:rsid w:val="004C0743"/>
    <w:rsid w:val="004C0BA4"/>
    <w:rsid w:val="004C2120"/>
    <w:rsid w:val="004C2615"/>
    <w:rsid w:val="004C2692"/>
    <w:rsid w:val="004C26A9"/>
    <w:rsid w:val="004C3CBB"/>
    <w:rsid w:val="004C5134"/>
    <w:rsid w:val="004C5452"/>
    <w:rsid w:val="004C554F"/>
    <w:rsid w:val="004C558B"/>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175CD"/>
    <w:rsid w:val="00520DD4"/>
    <w:rsid w:val="0052123A"/>
    <w:rsid w:val="0052547B"/>
    <w:rsid w:val="00526F6C"/>
    <w:rsid w:val="00527F74"/>
    <w:rsid w:val="005308A1"/>
    <w:rsid w:val="005309D8"/>
    <w:rsid w:val="00533A67"/>
    <w:rsid w:val="005358AA"/>
    <w:rsid w:val="005361A7"/>
    <w:rsid w:val="005362D5"/>
    <w:rsid w:val="00536D4B"/>
    <w:rsid w:val="00537323"/>
    <w:rsid w:val="00537D5F"/>
    <w:rsid w:val="00537F63"/>
    <w:rsid w:val="00540834"/>
    <w:rsid w:val="0054127E"/>
    <w:rsid w:val="00541E58"/>
    <w:rsid w:val="00542489"/>
    <w:rsid w:val="00542E06"/>
    <w:rsid w:val="00543692"/>
    <w:rsid w:val="00543700"/>
    <w:rsid w:val="00544B2A"/>
    <w:rsid w:val="00546E18"/>
    <w:rsid w:val="005473AE"/>
    <w:rsid w:val="00547787"/>
    <w:rsid w:val="00547BAB"/>
    <w:rsid w:val="0055060F"/>
    <w:rsid w:val="005519F3"/>
    <w:rsid w:val="00551A15"/>
    <w:rsid w:val="00553180"/>
    <w:rsid w:val="0055373C"/>
    <w:rsid w:val="00553BE2"/>
    <w:rsid w:val="00554554"/>
    <w:rsid w:val="00554BA7"/>
    <w:rsid w:val="005550A0"/>
    <w:rsid w:val="00555924"/>
    <w:rsid w:val="005559BA"/>
    <w:rsid w:val="00555D64"/>
    <w:rsid w:val="00555FA0"/>
    <w:rsid w:val="00556268"/>
    <w:rsid w:val="0055709B"/>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5945"/>
    <w:rsid w:val="005C6FC5"/>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5C3"/>
    <w:rsid w:val="00625C8D"/>
    <w:rsid w:val="00626709"/>
    <w:rsid w:val="00626E62"/>
    <w:rsid w:val="00626EDE"/>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72D"/>
    <w:rsid w:val="00671FF6"/>
    <w:rsid w:val="00672754"/>
    <w:rsid w:val="00672CFF"/>
    <w:rsid w:val="00673C77"/>
    <w:rsid w:val="00673DF4"/>
    <w:rsid w:val="00673E17"/>
    <w:rsid w:val="0067421F"/>
    <w:rsid w:val="00674CD0"/>
    <w:rsid w:val="00674DEB"/>
    <w:rsid w:val="00675CD7"/>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E6B39"/>
    <w:rsid w:val="006F0148"/>
    <w:rsid w:val="006F2E05"/>
    <w:rsid w:val="006F6024"/>
    <w:rsid w:val="006F6D1C"/>
    <w:rsid w:val="006F7B86"/>
    <w:rsid w:val="00700DDD"/>
    <w:rsid w:val="00701C38"/>
    <w:rsid w:val="007024E9"/>
    <w:rsid w:val="007037FC"/>
    <w:rsid w:val="00705228"/>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252"/>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018A"/>
    <w:rsid w:val="0078120C"/>
    <w:rsid w:val="0078185A"/>
    <w:rsid w:val="00781AF3"/>
    <w:rsid w:val="00783BDF"/>
    <w:rsid w:val="00784FAE"/>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53F"/>
    <w:rsid w:val="007B678A"/>
    <w:rsid w:val="007B79FC"/>
    <w:rsid w:val="007C01FD"/>
    <w:rsid w:val="007C0796"/>
    <w:rsid w:val="007C12DE"/>
    <w:rsid w:val="007C1C5B"/>
    <w:rsid w:val="007C3419"/>
    <w:rsid w:val="007C4145"/>
    <w:rsid w:val="007C4188"/>
    <w:rsid w:val="007C4367"/>
    <w:rsid w:val="007C5762"/>
    <w:rsid w:val="007C5BCF"/>
    <w:rsid w:val="007C63FD"/>
    <w:rsid w:val="007C6560"/>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5E78"/>
    <w:rsid w:val="00807420"/>
    <w:rsid w:val="00807B2C"/>
    <w:rsid w:val="00807C5E"/>
    <w:rsid w:val="0081044F"/>
    <w:rsid w:val="00810F4F"/>
    <w:rsid w:val="00812A09"/>
    <w:rsid w:val="00812AF9"/>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6F4A"/>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DD8"/>
    <w:rsid w:val="00962F29"/>
    <w:rsid w:val="0096330B"/>
    <w:rsid w:val="00966145"/>
    <w:rsid w:val="0096690F"/>
    <w:rsid w:val="00966E2B"/>
    <w:rsid w:val="00966E93"/>
    <w:rsid w:val="0096702C"/>
    <w:rsid w:val="009674CD"/>
    <w:rsid w:val="00970A57"/>
    <w:rsid w:val="00971C94"/>
    <w:rsid w:val="00971CE3"/>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06A"/>
    <w:rsid w:val="009A29E7"/>
    <w:rsid w:val="009A3395"/>
    <w:rsid w:val="009A33B9"/>
    <w:rsid w:val="009A350C"/>
    <w:rsid w:val="009A38AD"/>
    <w:rsid w:val="009A4535"/>
    <w:rsid w:val="009A4D76"/>
    <w:rsid w:val="009A6EDF"/>
    <w:rsid w:val="009A7BC6"/>
    <w:rsid w:val="009B0EAF"/>
    <w:rsid w:val="009B1666"/>
    <w:rsid w:val="009B2C4B"/>
    <w:rsid w:val="009B399F"/>
    <w:rsid w:val="009B3F08"/>
    <w:rsid w:val="009B4DC3"/>
    <w:rsid w:val="009B5F15"/>
    <w:rsid w:val="009B64C0"/>
    <w:rsid w:val="009B6636"/>
    <w:rsid w:val="009B6FF5"/>
    <w:rsid w:val="009B7228"/>
    <w:rsid w:val="009C0374"/>
    <w:rsid w:val="009C0923"/>
    <w:rsid w:val="009C09B3"/>
    <w:rsid w:val="009C25F3"/>
    <w:rsid w:val="009C2EEE"/>
    <w:rsid w:val="009C3CCB"/>
    <w:rsid w:val="009C5D18"/>
    <w:rsid w:val="009C5EB4"/>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688"/>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C77"/>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5C6"/>
    <w:rsid w:val="00AB5BCB"/>
    <w:rsid w:val="00AB5C26"/>
    <w:rsid w:val="00AB6EDF"/>
    <w:rsid w:val="00AB77D2"/>
    <w:rsid w:val="00AB7848"/>
    <w:rsid w:val="00AC1F80"/>
    <w:rsid w:val="00AC39CC"/>
    <w:rsid w:val="00AC5C8E"/>
    <w:rsid w:val="00AC7569"/>
    <w:rsid w:val="00AC7871"/>
    <w:rsid w:val="00AD0AE1"/>
    <w:rsid w:val="00AD0E03"/>
    <w:rsid w:val="00AD2295"/>
    <w:rsid w:val="00AD258A"/>
    <w:rsid w:val="00AD34CB"/>
    <w:rsid w:val="00AD38C9"/>
    <w:rsid w:val="00AD3BE7"/>
    <w:rsid w:val="00AD3F16"/>
    <w:rsid w:val="00AD458A"/>
    <w:rsid w:val="00AD4732"/>
    <w:rsid w:val="00AD4867"/>
    <w:rsid w:val="00AD5351"/>
    <w:rsid w:val="00AD5DD9"/>
    <w:rsid w:val="00AD607C"/>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E7F77"/>
    <w:rsid w:val="00AF02EB"/>
    <w:rsid w:val="00AF10E0"/>
    <w:rsid w:val="00AF1141"/>
    <w:rsid w:val="00AF3082"/>
    <w:rsid w:val="00AF4030"/>
    <w:rsid w:val="00AF4159"/>
    <w:rsid w:val="00AF4ADD"/>
    <w:rsid w:val="00AF5180"/>
    <w:rsid w:val="00AF6BFE"/>
    <w:rsid w:val="00AF7A1B"/>
    <w:rsid w:val="00AF7ED9"/>
    <w:rsid w:val="00AF7F78"/>
    <w:rsid w:val="00B0083A"/>
    <w:rsid w:val="00B01C2E"/>
    <w:rsid w:val="00B025BD"/>
    <w:rsid w:val="00B038D3"/>
    <w:rsid w:val="00B043D7"/>
    <w:rsid w:val="00B04E3F"/>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2EE"/>
    <w:rsid w:val="00B45903"/>
    <w:rsid w:val="00B45913"/>
    <w:rsid w:val="00B47081"/>
    <w:rsid w:val="00B47D3D"/>
    <w:rsid w:val="00B47FCC"/>
    <w:rsid w:val="00B51D11"/>
    <w:rsid w:val="00B54985"/>
    <w:rsid w:val="00B553AA"/>
    <w:rsid w:val="00B56DB4"/>
    <w:rsid w:val="00B57FC9"/>
    <w:rsid w:val="00B60866"/>
    <w:rsid w:val="00B60BFF"/>
    <w:rsid w:val="00B60EAA"/>
    <w:rsid w:val="00B61089"/>
    <w:rsid w:val="00B6201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3B"/>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69B1"/>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35D"/>
    <w:rsid w:val="00BD6DA9"/>
    <w:rsid w:val="00BD75BB"/>
    <w:rsid w:val="00BE0034"/>
    <w:rsid w:val="00BE0EC7"/>
    <w:rsid w:val="00BE182B"/>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1FCB"/>
    <w:rsid w:val="00C02065"/>
    <w:rsid w:val="00C03164"/>
    <w:rsid w:val="00C03200"/>
    <w:rsid w:val="00C043D7"/>
    <w:rsid w:val="00C047B8"/>
    <w:rsid w:val="00C049AB"/>
    <w:rsid w:val="00C04EBB"/>
    <w:rsid w:val="00C06153"/>
    <w:rsid w:val="00C071EB"/>
    <w:rsid w:val="00C0750F"/>
    <w:rsid w:val="00C07D61"/>
    <w:rsid w:val="00C10427"/>
    <w:rsid w:val="00C10B68"/>
    <w:rsid w:val="00C10C99"/>
    <w:rsid w:val="00C11C5D"/>
    <w:rsid w:val="00C11C9E"/>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06F7"/>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1A28"/>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65C9"/>
    <w:rsid w:val="00C77525"/>
    <w:rsid w:val="00C77E36"/>
    <w:rsid w:val="00C8035F"/>
    <w:rsid w:val="00C80F3B"/>
    <w:rsid w:val="00C810C6"/>
    <w:rsid w:val="00C813FD"/>
    <w:rsid w:val="00C828B2"/>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6ED"/>
    <w:rsid w:val="00CC29FA"/>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6FD"/>
    <w:rsid w:val="00D06C26"/>
    <w:rsid w:val="00D10E13"/>
    <w:rsid w:val="00D13C14"/>
    <w:rsid w:val="00D15691"/>
    <w:rsid w:val="00D15C50"/>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4C"/>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85"/>
    <w:rsid w:val="00D94F7F"/>
    <w:rsid w:val="00D95128"/>
    <w:rsid w:val="00D962B9"/>
    <w:rsid w:val="00D96335"/>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0A4F"/>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C79"/>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71C"/>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50F9"/>
    <w:rsid w:val="00F35743"/>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tican.va/content/francesco/es/encyclicals/documents/20241024-enciclica-dilexit-no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2693</Words>
  <Characters>14816</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2025-10-16T13:25:00Z</dcterms:created>
  <dcterms:modified xsi:type="dcterms:W3CDTF">2025-10-16T13:25:00Z</dcterms:modified>
</cp:coreProperties>
</file>