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2DC1A" w14:textId="77777777" w:rsidR="006C0E3D" w:rsidRPr="006C0E3D" w:rsidRDefault="006C0E3D" w:rsidP="006C0E3D">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6C0E3D">
        <w:rPr>
          <w:rFonts w:ascii="Arial" w:eastAsia="Times New Roman" w:hAnsi="Arial" w:cs="Arial"/>
          <w:b/>
          <w:bCs/>
          <w:i/>
          <w:iCs/>
          <w:color w:val="000000"/>
          <w:kern w:val="0"/>
          <w:sz w:val="36"/>
          <w:szCs w:val="36"/>
          <w:lang w:eastAsia="es-UY"/>
          <w14:ligatures w14:val="none"/>
        </w:rPr>
        <w:t>Una mujer de </w:t>
      </w:r>
      <w:hyperlink r:id="rId4" w:tgtFrame="_blank" w:history="1">
        <w:r w:rsidRPr="006C0E3D">
          <w:rPr>
            <w:rFonts w:ascii="Arial" w:eastAsia="Times New Roman" w:hAnsi="Arial" w:cs="Arial"/>
            <w:b/>
            <w:bCs/>
            <w:i/>
            <w:iCs/>
            <w:color w:val="1155CC"/>
            <w:kern w:val="0"/>
            <w:sz w:val="36"/>
            <w:szCs w:val="36"/>
            <w:u w:val="single"/>
            <w:lang w:eastAsia="es-UY"/>
            <w14:ligatures w14:val="none"/>
          </w:rPr>
          <w:t>Samaría</w:t>
        </w:r>
      </w:hyperlink>
    </w:p>
    <w:p w14:paraId="39B2733D" w14:textId="77777777" w:rsidR="006C0E3D" w:rsidRPr="006C0E3D" w:rsidRDefault="006C0E3D" w:rsidP="006C0E3D">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6C0E3D">
        <w:rPr>
          <w:rFonts w:ascii="Arial" w:eastAsia="Times New Roman" w:hAnsi="Arial" w:cs="Arial"/>
          <w:i/>
          <w:iCs/>
          <w:color w:val="000000"/>
          <w:kern w:val="0"/>
          <w:sz w:val="24"/>
          <w:szCs w:val="24"/>
          <w:lang w:eastAsia="es-UY"/>
          <w14:ligatures w14:val="none"/>
        </w:rPr>
        <w:t>Eduardo de la Serna</w:t>
      </w:r>
    </w:p>
    <w:p w14:paraId="0DFBC1EE" w14:textId="77777777" w:rsidR="006C0E3D" w:rsidRPr="006C0E3D" w:rsidRDefault="006C0E3D" w:rsidP="006C0E3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0E4B87FA" w14:textId="77777777" w:rsidR="006C0E3D" w:rsidRPr="006C0E3D" w:rsidRDefault="006C0E3D" w:rsidP="006C0E3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6C0E3D">
        <w:rPr>
          <w:rFonts w:ascii="Times New Roman" w:eastAsia="Times New Roman" w:hAnsi="Times New Roman" w:cs="Times New Roman"/>
          <w:noProof/>
          <w:color w:val="1155CC"/>
          <w:kern w:val="0"/>
          <w:sz w:val="24"/>
          <w:szCs w:val="24"/>
          <w:lang w:eastAsia="es-UY"/>
          <w14:ligatures w14:val="none"/>
        </w:rPr>
        <w:drawing>
          <wp:inline distT="0" distB="0" distL="0" distR="0" wp14:anchorId="2117A42A" wp14:editId="7D7FA911">
            <wp:extent cx="3810000" cy="2000250"/>
            <wp:effectExtent l="0" t="0" r="0" b="0"/>
            <wp:docPr id="1" name="Imagen 1" descr="Un dibuj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000250"/>
                    </a:xfrm>
                    <a:prstGeom prst="rect">
                      <a:avLst/>
                    </a:prstGeom>
                    <a:noFill/>
                    <a:ln>
                      <a:noFill/>
                    </a:ln>
                  </pic:spPr>
                </pic:pic>
              </a:graphicData>
            </a:graphic>
          </wp:inline>
        </w:drawing>
      </w:r>
    </w:p>
    <w:p w14:paraId="02AC445C" w14:textId="77777777" w:rsidR="006C0E3D" w:rsidRPr="006C0E3D" w:rsidRDefault="006C0E3D" w:rsidP="006C0E3D">
      <w:pPr>
        <w:shd w:val="clear" w:color="auto" w:fill="FFFFFF"/>
        <w:spacing w:after="0" w:line="240" w:lineRule="auto"/>
        <w:rPr>
          <w:rFonts w:ascii="Arial" w:eastAsia="Times New Roman" w:hAnsi="Arial" w:cs="Arial"/>
          <w:color w:val="222222"/>
          <w:kern w:val="0"/>
          <w:sz w:val="24"/>
          <w:szCs w:val="24"/>
          <w:lang w:eastAsia="es-UY"/>
          <w14:ligatures w14:val="none"/>
        </w:rPr>
      </w:pPr>
      <w:r w:rsidRPr="006C0E3D">
        <w:rPr>
          <w:rFonts w:ascii="Times New Roman" w:eastAsia="Times New Roman" w:hAnsi="Times New Roman" w:cs="Times New Roman"/>
          <w:color w:val="000000"/>
          <w:kern w:val="0"/>
          <w:sz w:val="24"/>
          <w:szCs w:val="24"/>
          <w:lang w:eastAsia="es-UY"/>
          <w14:ligatures w14:val="none"/>
        </w:rPr>
        <w:br/>
      </w:r>
    </w:p>
    <w:p w14:paraId="25C73C4A" w14:textId="77777777" w:rsidR="006C0E3D" w:rsidRPr="006C0E3D" w:rsidRDefault="006C0E3D" w:rsidP="006C0E3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0E3D">
        <w:rPr>
          <w:rFonts w:ascii="Arial" w:eastAsia="Times New Roman" w:hAnsi="Arial" w:cs="Arial"/>
          <w:color w:val="000000"/>
          <w:kern w:val="0"/>
          <w:sz w:val="24"/>
          <w:szCs w:val="24"/>
          <w:lang w:eastAsia="es-UY"/>
          <w14:ligatures w14:val="none"/>
        </w:rPr>
        <w:t>Samaría era una gran región que se encontraba en el medio de </w:t>
      </w:r>
      <w:hyperlink r:id="rId6" w:tgtFrame="_blank" w:history="1">
        <w:r w:rsidRPr="006C0E3D">
          <w:rPr>
            <w:rFonts w:ascii="Arial" w:eastAsia="Times New Roman" w:hAnsi="Arial" w:cs="Arial"/>
            <w:color w:val="1155CC"/>
            <w:kern w:val="0"/>
            <w:sz w:val="24"/>
            <w:szCs w:val="24"/>
            <w:u w:val="single"/>
            <w:lang w:eastAsia="es-UY"/>
            <w14:ligatures w14:val="none"/>
          </w:rPr>
          <w:t>Israel</w:t>
        </w:r>
      </w:hyperlink>
      <w:r w:rsidRPr="006C0E3D">
        <w:rPr>
          <w:rFonts w:ascii="Arial" w:eastAsia="Times New Roman" w:hAnsi="Arial" w:cs="Arial"/>
          <w:color w:val="000000"/>
          <w:kern w:val="0"/>
          <w:sz w:val="24"/>
          <w:szCs w:val="24"/>
          <w:lang w:eastAsia="es-UY"/>
          <w14:ligatures w14:val="none"/>
        </w:rPr>
        <w:t> separando las provincias de </w:t>
      </w:r>
      <w:hyperlink r:id="rId7" w:tgtFrame="_blank" w:history="1">
        <w:r w:rsidRPr="006C0E3D">
          <w:rPr>
            <w:rFonts w:ascii="Arial" w:eastAsia="Times New Roman" w:hAnsi="Arial" w:cs="Arial"/>
            <w:color w:val="1155CC"/>
            <w:kern w:val="0"/>
            <w:sz w:val="24"/>
            <w:szCs w:val="24"/>
            <w:u w:val="single"/>
            <w:lang w:eastAsia="es-UY"/>
            <w14:ligatures w14:val="none"/>
          </w:rPr>
          <w:t>Galilea</w:t>
        </w:r>
      </w:hyperlink>
      <w:r w:rsidRPr="006C0E3D">
        <w:rPr>
          <w:rFonts w:ascii="Arial" w:eastAsia="Times New Roman" w:hAnsi="Arial" w:cs="Arial"/>
          <w:color w:val="000000"/>
          <w:kern w:val="0"/>
          <w:sz w:val="24"/>
          <w:szCs w:val="24"/>
          <w:lang w:eastAsia="es-UY"/>
          <w14:ligatures w14:val="none"/>
        </w:rPr>
        <w:t> y de </w:t>
      </w:r>
      <w:hyperlink r:id="rId8" w:tgtFrame="_blank" w:history="1">
        <w:r w:rsidRPr="006C0E3D">
          <w:rPr>
            <w:rFonts w:ascii="Arial" w:eastAsia="Times New Roman" w:hAnsi="Arial" w:cs="Arial"/>
            <w:color w:val="1155CC"/>
            <w:kern w:val="0"/>
            <w:sz w:val="24"/>
            <w:szCs w:val="24"/>
            <w:u w:val="single"/>
            <w:lang w:eastAsia="es-UY"/>
            <w14:ligatures w14:val="none"/>
          </w:rPr>
          <w:t>Judea</w:t>
        </w:r>
      </w:hyperlink>
      <w:r w:rsidRPr="006C0E3D">
        <w:rPr>
          <w:rFonts w:ascii="Arial" w:eastAsia="Times New Roman" w:hAnsi="Arial" w:cs="Arial"/>
          <w:color w:val="000000"/>
          <w:kern w:val="0"/>
          <w:sz w:val="24"/>
          <w:szCs w:val="24"/>
          <w:lang w:eastAsia="es-UY"/>
          <w14:ligatures w14:val="none"/>
        </w:rPr>
        <w:t>. Tomaba el nombre de la ciudad que había sido capital del reino norte, Israel, erigida en el siglo IX a.C. por el rey </w:t>
      </w:r>
      <w:hyperlink r:id="rId9" w:tgtFrame="_blank" w:history="1">
        <w:r w:rsidRPr="006C0E3D">
          <w:rPr>
            <w:rFonts w:ascii="Arial" w:eastAsia="Times New Roman" w:hAnsi="Arial" w:cs="Arial"/>
            <w:color w:val="1155CC"/>
            <w:kern w:val="0"/>
            <w:sz w:val="24"/>
            <w:szCs w:val="24"/>
            <w:u w:val="single"/>
            <w:lang w:eastAsia="es-UY"/>
            <w14:ligatures w14:val="none"/>
          </w:rPr>
          <w:t>Omri</w:t>
        </w:r>
      </w:hyperlink>
      <w:r w:rsidRPr="006C0E3D">
        <w:rPr>
          <w:rFonts w:ascii="Arial" w:eastAsia="Times New Roman" w:hAnsi="Arial" w:cs="Arial"/>
          <w:color w:val="000000"/>
          <w:kern w:val="0"/>
          <w:sz w:val="24"/>
          <w:szCs w:val="24"/>
          <w:lang w:eastAsia="es-UY"/>
          <w14:ligatures w14:val="none"/>
        </w:rPr>
        <w:t> (ver 1 Re 16,23-24). Las relaciones con el reino sur, Judá, no siempre fueron buenas. E incluso, en ocasiones fueron decididamente malas. En tiempos de </w:t>
      </w:r>
      <w:hyperlink r:id="rId10" w:tgtFrame="_blank" w:history="1">
        <w:r w:rsidRPr="006C0E3D">
          <w:rPr>
            <w:rFonts w:ascii="Arial" w:eastAsia="Times New Roman" w:hAnsi="Arial" w:cs="Arial"/>
            <w:color w:val="1155CC"/>
            <w:kern w:val="0"/>
            <w:sz w:val="24"/>
            <w:szCs w:val="24"/>
            <w:u w:val="single"/>
            <w:lang w:eastAsia="es-UY"/>
            <w14:ligatures w14:val="none"/>
          </w:rPr>
          <w:t>Jesús</w:t>
        </w:r>
      </w:hyperlink>
      <w:r w:rsidRPr="006C0E3D">
        <w:rPr>
          <w:rFonts w:ascii="Arial" w:eastAsia="Times New Roman" w:hAnsi="Arial" w:cs="Arial"/>
          <w:color w:val="000000"/>
          <w:kern w:val="0"/>
          <w:sz w:val="24"/>
          <w:szCs w:val="24"/>
          <w:lang w:eastAsia="es-UY"/>
          <w14:ligatures w14:val="none"/>
        </w:rPr>
        <w:t>, judíos y samaritanos no se llevaban nada bien (aunque todos eran súbditos del </w:t>
      </w:r>
      <w:hyperlink r:id="rId11" w:tgtFrame="_blank" w:history="1">
        <w:r w:rsidRPr="006C0E3D">
          <w:rPr>
            <w:rFonts w:ascii="Arial" w:eastAsia="Times New Roman" w:hAnsi="Arial" w:cs="Arial"/>
            <w:color w:val="1155CC"/>
            <w:kern w:val="0"/>
            <w:sz w:val="24"/>
            <w:szCs w:val="24"/>
            <w:u w:val="single"/>
            <w:lang w:eastAsia="es-UY"/>
            <w14:ligatures w14:val="none"/>
          </w:rPr>
          <w:t>Imperio Romano</w:t>
        </w:r>
      </w:hyperlink>
      <w:r w:rsidRPr="006C0E3D">
        <w:rPr>
          <w:rFonts w:ascii="Arial" w:eastAsia="Times New Roman" w:hAnsi="Arial" w:cs="Arial"/>
          <w:color w:val="000000"/>
          <w:kern w:val="0"/>
          <w:sz w:val="24"/>
          <w:szCs w:val="24"/>
          <w:lang w:eastAsia="es-UY"/>
          <w14:ligatures w14:val="none"/>
        </w:rPr>
        <w:t>, por cierto). Política y religiosamente las relaciones mutuas eran francamente malas. Los samaritanos tenían, también ellos, un templo en un monte (Jn 4,20), tenían los mismos primeros libros de la Biblia (la Ley, o el </w:t>
      </w:r>
      <w:hyperlink r:id="rId12" w:tgtFrame="_blank" w:history="1">
        <w:r w:rsidRPr="006C0E3D">
          <w:rPr>
            <w:rFonts w:ascii="Arial" w:eastAsia="Times New Roman" w:hAnsi="Arial" w:cs="Arial"/>
            <w:color w:val="1155CC"/>
            <w:kern w:val="0"/>
            <w:sz w:val="24"/>
            <w:szCs w:val="24"/>
            <w:u w:val="single"/>
            <w:lang w:eastAsia="es-UY"/>
            <w14:ligatures w14:val="none"/>
          </w:rPr>
          <w:t>Pentateuco</w:t>
        </w:r>
      </w:hyperlink>
      <w:r w:rsidRPr="006C0E3D">
        <w:rPr>
          <w:rFonts w:ascii="Arial" w:eastAsia="Times New Roman" w:hAnsi="Arial" w:cs="Arial"/>
          <w:color w:val="000000"/>
          <w:kern w:val="0"/>
          <w:sz w:val="24"/>
          <w:szCs w:val="24"/>
          <w:lang w:eastAsia="es-UY"/>
          <w14:ligatures w14:val="none"/>
        </w:rPr>
        <w:t>), pero, en ocasiones los encuentros entre ambos llegaban a la violencia (ver Lc 9,52-54). Por eso, por ejemplo, es claramente chocante, para el auditorio judío, que Jesús proponga a un samaritano como modelo de discipulado y ejemplo de amor (Lc 10,33-37). Pero, sin duda, los galileos piadosos que frecuentaban ocasionalmente el templo de Jerusalén, en su peregrinación debían, necesariamente, pasar por Samaría a menos que pudieran desviarse por </w:t>
      </w:r>
      <w:hyperlink r:id="rId13" w:tgtFrame="_blank" w:history="1">
        <w:r w:rsidRPr="006C0E3D">
          <w:rPr>
            <w:rFonts w:ascii="Arial" w:eastAsia="Times New Roman" w:hAnsi="Arial" w:cs="Arial"/>
            <w:color w:val="1155CC"/>
            <w:kern w:val="0"/>
            <w:sz w:val="24"/>
            <w:szCs w:val="24"/>
            <w:u w:val="single"/>
            <w:lang w:eastAsia="es-UY"/>
            <w14:ligatures w14:val="none"/>
          </w:rPr>
          <w:t>Cisjordania</w:t>
        </w:r>
      </w:hyperlink>
      <w:r w:rsidRPr="006C0E3D">
        <w:rPr>
          <w:rFonts w:ascii="Arial" w:eastAsia="Times New Roman" w:hAnsi="Arial" w:cs="Arial"/>
          <w:color w:val="000000"/>
          <w:kern w:val="0"/>
          <w:sz w:val="24"/>
          <w:szCs w:val="24"/>
          <w:lang w:eastAsia="es-UY"/>
          <w14:ligatures w14:val="none"/>
        </w:rPr>
        <w:t>. Esto es lo que le ocurre a Jesús (Jn 4,3-4).</w:t>
      </w:r>
    </w:p>
    <w:p w14:paraId="6760A592" w14:textId="77777777" w:rsidR="006C0E3D" w:rsidRPr="006C0E3D" w:rsidRDefault="006C0E3D" w:rsidP="006C0E3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0E3D">
        <w:rPr>
          <w:rFonts w:ascii="Arial" w:eastAsia="Times New Roman" w:hAnsi="Arial" w:cs="Arial"/>
          <w:color w:val="000000"/>
          <w:kern w:val="0"/>
          <w:sz w:val="24"/>
          <w:szCs w:val="24"/>
          <w:lang w:eastAsia="es-UY"/>
          <w14:ligatures w14:val="none"/>
        </w:rPr>
        <w:t>El </w:t>
      </w:r>
      <w:hyperlink r:id="rId14" w:tgtFrame="_blank" w:history="1">
        <w:r w:rsidRPr="006C0E3D">
          <w:rPr>
            <w:rFonts w:ascii="Arial" w:eastAsia="Times New Roman" w:hAnsi="Arial" w:cs="Arial"/>
            <w:color w:val="1155CC"/>
            <w:kern w:val="0"/>
            <w:sz w:val="24"/>
            <w:szCs w:val="24"/>
            <w:u w:val="single"/>
            <w:lang w:eastAsia="es-UY"/>
            <w14:ligatures w14:val="none"/>
          </w:rPr>
          <w:t>cuarto Evangelio</w:t>
        </w:r>
      </w:hyperlink>
      <w:r w:rsidRPr="006C0E3D">
        <w:rPr>
          <w:rFonts w:ascii="Arial" w:eastAsia="Times New Roman" w:hAnsi="Arial" w:cs="Arial"/>
          <w:color w:val="000000"/>
          <w:kern w:val="0"/>
          <w:sz w:val="24"/>
          <w:szCs w:val="24"/>
          <w:lang w:eastAsia="es-UY"/>
          <w14:ligatures w14:val="none"/>
        </w:rPr>
        <w:t> nos cuenta, en este contexto el encuentro de Jesús con una </w:t>
      </w:r>
      <w:hyperlink r:id="rId15" w:tgtFrame="_blank" w:history="1">
        <w:r w:rsidRPr="006C0E3D">
          <w:rPr>
            <w:rFonts w:ascii="Arial" w:eastAsia="Times New Roman" w:hAnsi="Arial" w:cs="Arial"/>
            <w:color w:val="1155CC"/>
            <w:kern w:val="0"/>
            <w:sz w:val="24"/>
            <w:szCs w:val="24"/>
            <w:u w:val="single"/>
            <w:lang w:eastAsia="es-UY"/>
            <w14:ligatures w14:val="none"/>
          </w:rPr>
          <w:t>mujer samaritana</w:t>
        </w:r>
      </w:hyperlink>
      <w:r w:rsidRPr="006C0E3D">
        <w:rPr>
          <w:rFonts w:ascii="Arial" w:eastAsia="Times New Roman" w:hAnsi="Arial" w:cs="Arial"/>
          <w:color w:val="000000"/>
          <w:kern w:val="0"/>
          <w:sz w:val="24"/>
          <w:szCs w:val="24"/>
          <w:lang w:eastAsia="es-UY"/>
          <w14:ligatures w14:val="none"/>
        </w:rPr>
        <w:t> (4,5-42). La relación entre ambos no es tensa, pero sí hay una cierta distancia: “¿Cómo tú, siendo judío, me pides de beber a mí, una mujer samaritana?” (y </w:t>
      </w:r>
      <w:hyperlink r:id="rId16" w:tgtFrame="_blank" w:history="1">
        <w:r w:rsidRPr="006C0E3D">
          <w:rPr>
            <w:rFonts w:ascii="Arial" w:eastAsia="Times New Roman" w:hAnsi="Arial" w:cs="Arial"/>
            <w:color w:val="1155CC"/>
            <w:kern w:val="0"/>
            <w:sz w:val="24"/>
            <w:szCs w:val="24"/>
            <w:u w:val="single"/>
            <w:lang w:eastAsia="es-UY"/>
            <w14:ligatures w14:val="none"/>
          </w:rPr>
          <w:t>Juan</w:t>
        </w:r>
      </w:hyperlink>
      <w:r w:rsidRPr="006C0E3D">
        <w:rPr>
          <w:rFonts w:ascii="Arial" w:eastAsia="Times New Roman" w:hAnsi="Arial" w:cs="Arial"/>
          <w:color w:val="000000"/>
          <w:kern w:val="0"/>
          <w:sz w:val="24"/>
          <w:szCs w:val="24"/>
          <w:lang w:eastAsia="es-UY"/>
          <w14:ligatures w14:val="none"/>
        </w:rPr>
        <w:t xml:space="preserve"> aclara, como es frecuente en él, lo que ya sabemos, que las relaciones entre ambos grupos eran malas; v.9). Es que, cansado del camino, y mientras sus discípulos habían ido por comida (v.8), Jesús se ha sentado junto a un pozo. Como es obvio en las regiones desérticas, los pozos son importantísimos, y son lugares de encuentros (y desencuentros). Pero, y acá una cuestión para notar, era frecuente que se fuera al pozo por agua cuando el sol ya había bajado. Por el calor. Pero esto que narra el Evangelio ocurre al mediodía (“era la hora sexta”, precisa Juan, v. 6). Es muy probable que, por algún motivo que desconocemos, esta mujer no quisiera encontrarse con otras, y por eso fuera al pozo en horario inusual. Pero, y aquí lo importante, empieza con Jesús una conversación que, pareciera, tiene por tema el agua, aunque, como también es común en Juan, inmediatamente pasa a otro nivel y comience a referirse a otro tipo de “agua”. En principio, en el mundo antiguo, por “agua viva” </w:t>
      </w:r>
      <w:r w:rsidRPr="006C0E3D">
        <w:rPr>
          <w:rFonts w:ascii="Arial" w:eastAsia="Times New Roman" w:hAnsi="Arial" w:cs="Arial"/>
          <w:color w:val="000000"/>
          <w:kern w:val="0"/>
          <w:sz w:val="24"/>
          <w:szCs w:val="24"/>
          <w:lang w:eastAsia="es-UY"/>
          <w14:ligatures w14:val="none"/>
        </w:rPr>
        <w:lastRenderedPageBreak/>
        <w:t>se entiende agua que fluye (a diferencia del agua de un pozo, precisamente), pero en Juan, la “vida” suele referirse a la vida divina (o la </w:t>
      </w:r>
      <w:hyperlink r:id="rId17" w:tgtFrame="_blank" w:history="1">
        <w:r w:rsidRPr="006C0E3D">
          <w:rPr>
            <w:rFonts w:ascii="Arial" w:eastAsia="Times New Roman" w:hAnsi="Arial" w:cs="Arial"/>
            <w:color w:val="1155CC"/>
            <w:kern w:val="0"/>
            <w:sz w:val="24"/>
            <w:szCs w:val="24"/>
            <w:u w:val="single"/>
            <w:lang w:eastAsia="es-UY"/>
            <w14:ligatures w14:val="none"/>
          </w:rPr>
          <w:t>vida eterna</w:t>
        </w:r>
      </w:hyperlink>
      <w:r w:rsidRPr="006C0E3D">
        <w:rPr>
          <w:rFonts w:ascii="Arial" w:eastAsia="Times New Roman" w:hAnsi="Arial" w:cs="Arial"/>
          <w:color w:val="000000"/>
          <w:kern w:val="0"/>
          <w:sz w:val="24"/>
          <w:szCs w:val="24"/>
          <w:lang w:eastAsia="es-UY"/>
          <w14:ligatures w14:val="none"/>
        </w:rPr>
        <w:t>). Por eso, cuando Jesús le habló de “</w:t>
      </w:r>
      <w:hyperlink r:id="rId18" w:tgtFrame="_blank" w:history="1">
        <w:r w:rsidRPr="006C0E3D">
          <w:rPr>
            <w:rFonts w:ascii="Arial" w:eastAsia="Times New Roman" w:hAnsi="Arial" w:cs="Arial"/>
            <w:color w:val="1155CC"/>
            <w:kern w:val="0"/>
            <w:sz w:val="24"/>
            <w:szCs w:val="24"/>
            <w:u w:val="single"/>
            <w:lang w:eastAsia="es-UY"/>
            <w14:ligatures w14:val="none"/>
          </w:rPr>
          <w:t>agua viva</w:t>
        </w:r>
      </w:hyperlink>
      <w:r w:rsidRPr="006C0E3D">
        <w:rPr>
          <w:rFonts w:ascii="Arial" w:eastAsia="Times New Roman" w:hAnsi="Arial" w:cs="Arial"/>
          <w:color w:val="000000"/>
          <w:kern w:val="0"/>
          <w:sz w:val="24"/>
          <w:szCs w:val="24"/>
          <w:lang w:eastAsia="es-UY"/>
          <w14:ligatures w14:val="none"/>
        </w:rPr>
        <w:t>” (v. 10) y la mujer le pregunta desconcertada (con lo que el Evangelio aprovecha para dar un nuevo paso en la revelación que va a ocurrir, v.11), él le aclara que el agua que el “dé” (notar la importancia del verbo “dar” en esta unidad; ver v.10: “el don de Dios”) se convertirá en “fuente de agua que brota para la vida eterna” (v.14). Si bien la mujer sigue entendiendo que Jesús habla del “agua” normal, las preguntas que va formulando revelan que su fe va creciendo. O, para usar imágenes del relato, empieza a verse saciada.</w:t>
      </w:r>
    </w:p>
    <w:p w14:paraId="01BCB5D9" w14:textId="77777777" w:rsidR="006C0E3D" w:rsidRPr="006C0E3D" w:rsidRDefault="006C0E3D" w:rsidP="006C0E3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0E3D">
        <w:rPr>
          <w:rFonts w:ascii="Arial" w:eastAsia="Times New Roman" w:hAnsi="Arial" w:cs="Arial"/>
          <w:color w:val="000000"/>
          <w:kern w:val="0"/>
          <w:sz w:val="24"/>
          <w:szCs w:val="24"/>
          <w:lang w:eastAsia="es-UY"/>
          <w14:ligatures w14:val="none"/>
        </w:rPr>
        <w:t>La que en un primer momento a Jesús lo llamó “judío” (v.9; que en boca samaritana no es amable), pasa a tratarlo de “señor” (v.11), cuando Jesús le revela algo de su vida personal lo reconoce como “profeta” (v.19), luego le pregunta por el </w:t>
      </w:r>
      <w:hyperlink r:id="rId19" w:tgtFrame="_blank" w:history="1">
        <w:r w:rsidRPr="006C0E3D">
          <w:rPr>
            <w:rFonts w:ascii="Arial" w:eastAsia="Times New Roman" w:hAnsi="Arial" w:cs="Arial"/>
            <w:color w:val="1155CC"/>
            <w:kern w:val="0"/>
            <w:sz w:val="24"/>
            <w:szCs w:val="24"/>
            <w:u w:val="single"/>
            <w:lang w:eastAsia="es-UY"/>
            <w14:ligatures w14:val="none"/>
          </w:rPr>
          <w:t>Mesías, el Cristo</w:t>
        </w:r>
      </w:hyperlink>
      <w:r w:rsidRPr="006C0E3D">
        <w:rPr>
          <w:rFonts w:ascii="Arial" w:eastAsia="Times New Roman" w:hAnsi="Arial" w:cs="Arial"/>
          <w:color w:val="000000"/>
          <w:kern w:val="0"/>
          <w:sz w:val="24"/>
          <w:szCs w:val="24"/>
          <w:lang w:eastAsia="es-UY"/>
          <w14:ligatures w14:val="none"/>
        </w:rPr>
        <w:t> (v.25.29) para, finalmente, ella y los habitantes de la ciudad, reconocerlo como “</w:t>
      </w:r>
      <w:hyperlink r:id="rId20" w:tgtFrame="_blank" w:history="1">
        <w:r w:rsidRPr="006C0E3D">
          <w:rPr>
            <w:rFonts w:ascii="Arial" w:eastAsia="Times New Roman" w:hAnsi="Arial" w:cs="Arial"/>
            <w:color w:val="1155CC"/>
            <w:kern w:val="0"/>
            <w:sz w:val="24"/>
            <w:szCs w:val="24"/>
            <w:u w:val="single"/>
            <w:lang w:eastAsia="es-UY"/>
            <w14:ligatures w14:val="none"/>
          </w:rPr>
          <w:t>el salvador del mundo</w:t>
        </w:r>
      </w:hyperlink>
      <w:r w:rsidRPr="006C0E3D">
        <w:rPr>
          <w:rFonts w:ascii="Arial" w:eastAsia="Times New Roman" w:hAnsi="Arial" w:cs="Arial"/>
          <w:color w:val="000000"/>
          <w:kern w:val="0"/>
          <w:sz w:val="24"/>
          <w:szCs w:val="24"/>
          <w:lang w:eastAsia="es-UY"/>
          <w14:ligatures w14:val="none"/>
        </w:rPr>
        <w:t>” (v.42). Esta mujer, que no quería estar en contacto con los y las habitantes de la ciudad, cuando empieza a saciar su sed, corre a “dar” la noticia a los demás (vv.29.30), lo que los lleva a “creer” (v.39), y como ya no necesita “agua”, deja el cántaro en el pozo (v.28), porque ya no tendrá sed (v.14).</w:t>
      </w:r>
    </w:p>
    <w:p w14:paraId="3F98F736" w14:textId="77777777" w:rsidR="006C0E3D" w:rsidRPr="006C0E3D" w:rsidRDefault="006C0E3D" w:rsidP="006C0E3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0E3D">
        <w:rPr>
          <w:rFonts w:ascii="Arial" w:eastAsia="Times New Roman" w:hAnsi="Arial" w:cs="Arial"/>
          <w:color w:val="000000"/>
          <w:kern w:val="0"/>
          <w:sz w:val="24"/>
          <w:szCs w:val="24"/>
          <w:lang w:eastAsia="es-UY"/>
          <w14:ligatures w14:val="none"/>
        </w:rPr>
        <w:t>Por supuesto que el Evangelio se mueve en dos niveles (como también lo hace con el pan en el c.6, pan que “da” el Padre, y el que lo coma nunca más tendrá “hambre”, vv.32.35). Una mujer (a los ojos de su tiempo era mal visto que una mujer hablara con un varón en público, como se ve en 4,27) al encontrarse con Jesús (o un varón, como se ve en el caso del </w:t>
      </w:r>
      <w:hyperlink r:id="rId21" w:tgtFrame="_blank" w:history="1">
        <w:r w:rsidRPr="006C0E3D">
          <w:rPr>
            <w:rFonts w:ascii="Arial" w:eastAsia="Times New Roman" w:hAnsi="Arial" w:cs="Arial"/>
            <w:color w:val="1155CC"/>
            <w:kern w:val="0"/>
            <w:sz w:val="24"/>
            <w:szCs w:val="24"/>
            <w:u w:val="single"/>
            <w:lang w:eastAsia="es-UY"/>
            <w14:ligatures w14:val="none"/>
          </w:rPr>
          <w:t>ciego de nacimiento</w:t>
        </w:r>
      </w:hyperlink>
      <w:r w:rsidRPr="006C0E3D">
        <w:rPr>
          <w:rFonts w:ascii="Arial" w:eastAsia="Times New Roman" w:hAnsi="Arial" w:cs="Arial"/>
          <w:color w:val="000000"/>
          <w:kern w:val="0"/>
          <w:sz w:val="24"/>
          <w:szCs w:val="24"/>
          <w:lang w:eastAsia="es-UY"/>
          <w14:ligatures w14:val="none"/>
        </w:rPr>
        <w:t> del cap.9) no puede permanecer igual. Ese encuentro, ese “don”, le sacia la vida a la samaritana, lo llena de luz al que había sido ciego. De encontrarnos y dejarnos transformar por Jesús se trata el maravilloso “don” de la fe.</w:t>
      </w:r>
    </w:p>
    <w:p w14:paraId="6A50A0FE" w14:textId="77777777" w:rsidR="006C0E3D" w:rsidRPr="006C0E3D" w:rsidRDefault="006C0E3D" w:rsidP="006C0E3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23D20F7" w14:textId="77777777" w:rsidR="006C0E3D" w:rsidRPr="006C0E3D" w:rsidRDefault="006C0E3D" w:rsidP="006C0E3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0E3D">
        <w:rPr>
          <w:rFonts w:ascii="Arial" w:eastAsia="Times New Roman" w:hAnsi="Arial" w:cs="Arial"/>
          <w:color w:val="000000"/>
          <w:kern w:val="0"/>
          <w:sz w:val="24"/>
          <w:szCs w:val="24"/>
          <w:lang w:eastAsia="es-UY"/>
          <w14:ligatures w14:val="none"/>
        </w:rPr>
        <w:t>Imagen tomada de </w:t>
      </w:r>
      <w:hyperlink r:id="rId22" w:tgtFrame="_blank" w:history="1">
        <w:r w:rsidRPr="006C0E3D">
          <w:rPr>
            <w:rFonts w:ascii="Arial" w:eastAsia="Times New Roman" w:hAnsi="Arial" w:cs="Arial"/>
            <w:color w:val="1155CC"/>
            <w:kern w:val="0"/>
            <w:sz w:val="24"/>
            <w:szCs w:val="24"/>
            <w:u w:val="single"/>
            <w:lang w:eastAsia="es-UY"/>
            <w14:ligatures w14:val="none"/>
          </w:rPr>
          <w:t>https://www.bibliaon.com/es/mujer_samaritana_encuentro_con_jesus/</w:t>
        </w:r>
      </w:hyperlink>
    </w:p>
    <w:p w14:paraId="6E2684C3" w14:textId="77777777" w:rsidR="006C0E3D" w:rsidRPr="006C0E3D" w:rsidRDefault="006C0E3D" w:rsidP="006C0E3D">
      <w:pPr>
        <w:shd w:val="clear" w:color="auto" w:fill="FFFFFF"/>
        <w:spacing w:after="0" w:line="240" w:lineRule="auto"/>
        <w:rPr>
          <w:rFonts w:ascii="Arial" w:eastAsia="Times New Roman" w:hAnsi="Arial" w:cs="Arial"/>
          <w:color w:val="222222"/>
          <w:kern w:val="0"/>
          <w:sz w:val="24"/>
          <w:szCs w:val="24"/>
          <w:lang w:eastAsia="es-UY"/>
          <w14:ligatures w14:val="none"/>
        </w:rPr>
      </w:pPr>
    </w:p>
    <w:p w14:paraId="3B265B39" w14:textId="56C00F4B" w:rsidR="00926044" w:rsidRDefault="006C0E3D" w:rsidP="006C0E3D">
      <w:r w:rsidRPr="006C0E3D">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E3D"/>
    <w:rsid w:val="006C0E3D"/>
    <w:rsid w:val="00926044"/>
    <w:rsid w:val="00DE17AC"/>
    <w:rsid w:val="00EC676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0EAF"/>
  <w15:chartTrackingRefBased/>
  <w15:docId w15:val="{4E99E88E-1C2F-4CD3-9142-CB2548B7B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C0E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C0E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C0E3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C0E3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C0E3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C0E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C0E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C0E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C0E3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0E3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0E3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0E3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0E3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0E3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0E3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0E3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0E3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0E3D"/>
    <w:rPr>
      <w:rFonts w:eastAsiaTheme="majorEastAsia" w:cstheme="majorBidi"/>
      <w:color w:val="272727" w:themeColor="text1" w:themeTint="D8"/>
    </w:rPr>
  </w:style>
  <w:style w:type="paragraph" w:styleId="Ttulo">
    <w:name w:val="Title"/>
    <w:basedOn w:val="Normal"/>
    <w:next w:val="Normal"/>
    <w:link w:val="TtuloCar"/>
    <w:uiPriority w:val="10"/>
    <w:qFormat/>
    <w:rsid w:val="006C0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C0E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0E3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0E3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0E3D"/>
    <w:pPr>
      <w:spacing w:before="160"/>
      <w:jc w:val="center"/>
    </w:pPr>
    <w:rPr>
      <w:i/>
      <w:iCs/>
      <w:color w:val="404040" w:themeColor="text1" w:themeTint="BF"/>
    </w:rPr>
  </w:style>
  <w:style w:type="character" w:customStyle="1" w:styleId="CitaCar">
    <w:name w:val="Cita Car"/>
    <w:basedOn w:val="Fuentedeprrafopredeter"/>
    <w:link w:val="Cita"/>
    <w:uiPriority w:val="29"/>
    <w:rsid w:val="006C0E3D"/>
    <w:rPr>
      <w:i/>
      <w:iCs/>
      <w:color w:val="404040" w:themeColor="text1" w:themeTint="BF"/>
    </w:rPr>
  </w:style>
  <w:style w:type="paragraph" w:styleId="Prrafodelista">
    <w:name w:val="List Paragraph"/>
    <w:basedOn w:val="Normal"/>
    <w:uiPriority w:val="34"/>
    <w:qFormat/>
    <w:rsid w:val="006C0E3D"/>
    <w:pPr>
      <w:ind w:left="720"/>
      <w:contextualSpacing/>
    </w:pPr>
  </w:style>
  <w:style w:type="character" w:styleId="nfasisintenso">
    <w:name w:val="Intense Emphasis"/>
    <w:basedOn w:val="Fuentedeprrafopredeter"/>
    <w:uiPriority w:val="21"/>
    <w:qFormat/>
    <w:rsid w:val="006C0E3D"/>
    <w:rPr>
      <w:i/>
      <w:iCs/>
      <w:color w:val="0F4761" w:themeColor="accent1" w:themeShade="BF"/>
    </w:rPr>
  </w:style>
  <w:style w:type="paragraph" w:styleId="Citadestacada">
    <w:name w:val="Intense Quote"/>
    <w:basedOn w:val="Normal"/>
    <w:next w:val="Normal"/>
    <w:link w:val="CitadestacadaCar"/>
    <w:uiPriority w:val="30"/>
    <w:qFormat/>
    <w:rsid w:val="006C0E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C0E3D"/>
    <w:rPr>
      <w:i/>
      <w:iCs/>
      <w:color w:val="0F4761" w:themeColor="accent1" w:themeShade="BF"/>
    </w:rPr>
  </w:style>
  <w:style w:type="character" w:styleId="Referenciaintensa">
    <w:name w:val="Intense Reference"/>
    <w:basedOn w:val="Fuentedeprrafopredeter"/>
    <w:uiPriority w:val="32"/>
    <w:qFormat/>
    <w:rsid w:val="006C0E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6992229703877021852" TargetMode="External"/><Relationship Id="rId13" Type="http://schemas.openxmlformats.org/officeDocument/2006/relationships/hyperlink" Target="https://www.blogger.com/blog/post/edit/2845060600014161194/6992229703877021852" TargetMode="External"/><Relationship Id="rId18" Type="http://schemas.openxmlformats.org/officeDocument/2006/relationships/hyperlink" Target="https://www.blogger.com/blog/post/edit/2845060600014161194/6992229703877021852" TargetMode="External"/><Relationship Id="rId3" Type="http://schemas.openxmlformats.org/officeDocument/2006/relationships/webSettings" Target="webSettings.xml"/><Relationship Id="rId21" Type="http://schemas.openxmlformats.org/officeDocument/2006/relationships/hyperlink" Target="https://www.blogger.com/blog/post/edit/2845060600014161194/6992229703877021852" TargetMode="External"/><Relationship Id="rId7" Type="http://schemas.openxmlformats.org/officeDocument/2006/relationships/hyperlink" Target="https://www.blogger.com/blog/post/edit/2845060600014161194/6992229703877021852" TargetMode="External"/><Relationship Id="rId12" Type="http://schemas.openxmlformats.org/officeDocument/2006/relationships/hyperlink" Target="https://www.blogger.com/blog/post/edit/2845060600014161194/6992229703877021852" TargetMode="External"/><Relationship Id="rId17" Type="http://schemas.openxmlformats.org/officeDocument/2006/relationships/hyperlink" Target="https://www.blogger.com/blog/post/edit/2845060600014161194/6992229703877021852" TargetMode="External"/><Relationship Id="rId2" Type="http://schemas.openxmlformats.org/officeDocument/2006/relationships/settings" Target="settings.xml"/><Relationship Id="rId16" Type="http://schemas.openxmlformats.org/officeDocument/2006/relationships/hyperlink" Target="https://www.blogger.com/blog/post/edit/2845060600014161194/6992229703877021852" TargetMode="External"/><Relationship Id="rId20" Type="http://schemas.openxmlformats.org/officeDocument/2006/relationships/hyperlink" Target="https://www.blogger.com/blog/post/edit/2845060600014161194/6992229703877021852" TargetMode="External"/><Relationship Id="rId1" Type="http://schemas.openxmlformats.org/officeDocument/2006/relationships/styles" Target="styles.xml"/><Relationship Id="rId6" Type="http://schemas.openxmlformats.org/officeDocument/2006/relationships/hyperlink" Target="https://www.blogger.com/blog/post/edit/2845060600014161194/6992229703877021852" TargetMode="External"/><Relationship Id="rId11" Type="http://schemas.openxmlformats.org/officeDocument/2006/relationships/hyperlink" Target="https://www.blogger.com/blog/post/edit/2845060600014161194/6992229703877021852"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www.blogger.com/blog/post/edit/2845060600014161194/6992229703877021852" TargetMode="External"/><Relationship Id="rId23" Type="http://schemas.openxmlformats.org/officeDocument/2006/relationships/fontTable" Target="fontTable.xml"/><Relationship Id="rId10" Type="http://schemas.openxmlformats.org/officeDocument/2006/relationships/hyperlink" Target="https://www.blogger.com/blog/post/edit/2845060600014161194/6992229703877021852" TargetMode="External"/><Relationship Id="rId19" Type="http://schemas.openxmlformats.org/officeDocument/2006/relationships/hyperlink" Target="https://www.blogger.com/blog/post/edit/2845060600014161194/6992229703877021852" TargetMode="External"/><Relationship Id="rId4" Type="http://schemas.openxmlformats.org/officeDocument/2006/relationships/hyperlink" Target="https://www.blogger.com/blog/post/edit/2845060600014161194/6992229703877021852" TargetMode="External"/><Relationship Id="rId9" Type="http://schemas.openxmlformats.org/officeDocument/2006/relationships/hyperlink" Target="https://www.blogger.com/blog/post/edit/2845060600014161194/6992229703877021852" TargetMode="External"/><Relationship Id="rId14" Type="http://schemas.openxmlformats.org/officeDocument/2006/relationships/hyperlink" Target="https://www.blogger.com/blog/post/edit/2845060600014161194/6992229703877021852" TargetMode="External"/><Relationship Id="rId22" Type="http://schemas.openxmlformats.org/officeDocument/2006/relationships/hyperlink" Target="https://www.bibliaon.com/es/mujer_samaritana_encuentro_con_jesu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999</Words>
  <Characters>5499</Characters>
  <Application>Microsoft Office Word</Application>
  <DocSecurity>0</DocSecurity>
  <Lines>45</Lines>
  <Paragraphs>12</Paragraphs>
  <ScaleCrop>false</ScaleCrop>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2025-10-02T13:49:00Z</dcterms:created>
  <dcterms:modified xsi:type="dcterms:W3CDTF">2025-10-02T13:49:00Z</dcterms:modified>
</cp:coreProperties>
</file>