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DE2E7" w14:textId="77777777" w:rsidR="000D6436" w:rsidRPr="000D6436" w:rsidRDefault="000D6436" w:rsidP="003402B0">
      <w:pPr>
        <w:spacing w:after="0" w:line="870" w:lineRule="atLeast"/>
        <w:jc w:val="both"/>
        <w:textAlignment w:val="baseline"/>
        <w:outlineLvl w:val="0"/>
        <w:rPr>
          <w:rFonts w:ascii="Merriweather" w:eastAsia="Times New Roman" w:hAnsi="Merriweather" w:cs="Times New Roman"/>
          <w:b/>
          <w:bCs/>
          <w:color w:val="000000"/>
          <w:kern w:val="36"/>
          <w:sz w:val="72"/>
          <w:szCs w:val="72"/>
          <w:lang w:eastAsia="es-UY"/>
          <w14:ligatures w14:val="none"/>
        </w:rPr>
      </w:pPr>
      <w:r w:rsidRPr="000D6436">
        <w:rPr>
          <w:rFonts w:ascii="Merriweather" w:eastAsia="Times New Roman" w:hAnsi="Merriweather" w:cs="Times New Roman"/>
          <w:b/>
          <w:bCs/>
          <w:color w:val="000000"/>
          <w:kern w:val="36"/>
          <w:sz w:val="72"/>
          <w:szCs w:val="72"/>
          <w:lang w:eastAsia="es-UY"/>
          <w14:ligatures w14:val="none"/>
        </w:rPr>
        <w:t xml:space="preserve">La Justicia chilena declara sobreseído el proceso por abusos a </w:t>
      </w:r>
      <w:proofErr w:type="gramStart"/>
      <w:r w:rsidRPr="000D6436">
        <w:rPr>
          <w:rFonts w:ascii="Merriweather" w:eastAsia="Times New Roman" w:hAnsi="Merriweather" w:cs="Times New Roman"/>
          <w:b/>
          <w:bCs/>
          <w:color w:val="000000"/>
          <w:kern w:val="36"/>
          <w:sz w:val="72"/>
          <w:szCs w:val="72"/>
          <w:lang w:eastAsia="es-UY"/>
          <w14:ligatures w14:val="none"/>
        </w:rPr>
        <w:t>ex sacerdote</w:t>
      </w:r>
      <w:proofErr w:type="gramEnd"/>
      <w:r w:rsidRPr="000D6436">
        <w:rPr>
          <w:rFonts w:ascii="Merriweather" w:eastAsia="Times New Roman" w:hAnsi="Merriweather" w:cs="Times New Roman"/>
          <w:b/>
          <w:bCs/>
          <w:color w:val="000000"/>
          <w:kern w:val="36"/>
          <w:sz w:val="72"/>
          <w:szCs w:val="72"/>
          <w:lang w:eastAsia="es-UY"/>
          <w14:ligatures w14:val="none"/>
        </w:rPr>
        <w:t xml:space="preserve"> Cristián </w:t>
      </w:r>
      <w:proofErr w:type="spellStart"/>
      <w:r w:rsidRPr="000D6436">
        <w:rPr>
          <w:rFonts w:ascii="Merriweather" w:eastAsia="Times New Roman" w:hAnsi="Merriweather" w:cs="Times New Roman"/>
          <w:b/>
          <w:bCs/>
          <w:color w:val="000000"/>
          <w:kern w:val="36"/>
          <w:sz w:val="72"/>
          <w:szCs w:val="72"/>
          <w:lang w:eastAsia="es-UY"/>
          <w14:ligatures w14:val="none"/>
        </w:rPr>
        <w:t>Precht</w:t>
      </w:r>
      <w:proofErr w:type="spellEnd"/>
    </w:p>
    <w:p w14:paraId="4426AB28" w14:textId="77777777" w:rsidR="000D6436" w:rsidRPr="000D6436" w:rsidRDefault="000D6436" w:rsidP="003402B0">
      <w:pPr>
        <w:spacing w:after="0" w:line="240" w:lineRule="auto"/>
        <w:jc w:val="both"/>
        <w:textAlignment w:val="baseline"/>
        <w:rPr>
          <w:rFonts w:ascii="Titillium Web" w:eastAsia="Times New Roman" w:hAnsi="Titillium Web" w:cs="Times New Roman"/>
          <w:color w:val="E00109"/>
          <w:kern w:val="0"/>
          <w:sz w:val="23"/>
          <w:szCs w:val="23"/>
          <w:lang w:eastAsia="es-UY"/>
          <w14:ligatures w14:val="none"/>
        </w:rPr>
      </w:pPr>
      <w:r w:rsidRPr="000D6436">
        <w:rPr>
          <w:rFonts w:ascii="Titillium Web" w:eastAsia="Times New Roman" w:hAnsi="Titillium Web" w:cs="Times New Roman"/>
          <w:color w:val="E00109"/>
          <w:kern w:val="0"/>
          <w:sz w:val="23"/>
          <w:szCs w:val="23"/>
          <w:lang w:eastAsia="es-UY"/>
          <w14:ligatures w14:val="none"/>
        </w:rPr>
        <w:t>Por </w:t>
      </w:r>
      <w:hyperlink r:id="rId5" w:history="1">
        <w:r w:rsidRPr="000D6436">
          <w:rPr>
            <w:rFonts w:ascii="Titillium Web" w:eastAsia="Times New Roman" w:hAnsi="Titillium Web" w:cs="Times New Roman"/>
            <w:b/>
            <w:bCs/>
            <w:color w:val="E00109"/>
            <w:kern w:val="0"/>
            <w:sz w:val="23"/>
            <w:szCs w:val="23"/>
            <w:u w:val="single"/>
            <w:bdr w:val="none" w:sz="0" w:space="0" w:color="auto" w:frame="1"/>
            <w:lang w:eastAsia="es-UY"/>
            <w14:ligatures w14:val="none"/>
          </w:rPr>
          <w:t>Roberto Urbina Avendaño</w:t>
        </w:r>
      </w:hyperlink>
    </w:p>
    <w:p w14:paraId="1A81054F" w14:textId="77777777" w:rsidR="000D6436" w:rsidRPr="000D6436" w:rsidRDefault="000D6436" w:rsidP="003402B0">
      <w:pPr>
        <w:spacing w:line="240" w:lineRule="auto"/>
        <w:jc w:val="both"/>
        <w:textAlignment w:val="baseline"/>
        <w:rPr>
          <w:rFonts w:ascii="Titillium Web" w:eastAsia="Times New Roman" w:hAnsi="Titillium Web" w:cs="Times New Roman"/>
          <w:color w:val="E00109"/>
          <w:kern w:val="0"/>
          <w:sz w:val="23"/>
          <w:szCs w:val="23"/>
          <w:lang w:eastAsia="es-UY"/>
          <w14:ligatures w14:val="none"/>
        </w:rPr>
      </w:pPr>
      <w:r w:rsidRPr="000D6436">
        <w:rPr>
          <w:rFonts w:ascii="Titillium Web" w:eastAsia="Times New Roman" w:hAnsi="Titillium Web" w:cs="Times New Roman"/>
          <w:color w:val="E00109"/>
          <w:kern w:val="0"/>
          <w:sz w:val="23"/>
          <w:szCs w:val="23"/>
          <w:lang w:eastAsia="es-UY"/>
          <w14:ligatures w14:val="none"/>
        </w:rPr>
        <w:t> | </w:t>
      </w:r>
      <w:r w:rsidRPr="000D6436">
        <w:rPr>
          <w:rFonts w:ascii="Titillium Web" w:eastAsia="Times New Roman" w:hAnsi="Titillium Web" w:cs="Times New Roman"/>
          <w:color w:val="E00109"/>
          <w:kern w:val="0"/>
          <w:sz w:val="23"/>
          <w:szCs w:val="23"/>
          <w:bdr w:val="none" w:sz="0" w:space="0" w:color="auto" w:frame="1"/>
          <w:lang w:eastAsia="es-UY"/>
          <w14:ligatures w14:val="none"/>
        </w:rPr>
        <w:t>27/07/2025 - 10:00</w:t>
      </w:r>
    </w:p>
    <w:p w14:paraId="62B57121" w14:textId="77777777" w:rsidR="000D6436" w:rsidRPr="000D6436" w:rsidRDefault="000D6436" w:rsidP="003402B0">
      <w:pPr>
        <w:numPr>
          <w:ilvl w:val="0"/>
          <w:numId w:val="1"/>
        </w:numPr>
        <w:spacing w:after="0" w:line="240" w:lineRule="auto"/>
        <w:jc w:val="both"/>
        <w:textAlignment w:val="baseline"/>
        <w:outlineLvl w:val="1"/>
        <w:rPr>
          <w:rFonts w:ascii="Titillium Web" w:eastAsia="Times New Roman" w:hAnsi="Titillium Web" w:cs="Times New Roman"/>
          <w:b/>
          <w:bCs/>
          <w:color w:val="000000"/>
          <w:kern w:val="0"/>
          <w:sz w:val="24"/>
          <w:szCs w:val="24"/>
          <w:lang w:eastAsia="es-UY"/>
          <w14:ligatures w14:val="none"/>
        </w:rPr>
      </w:pPr>
      <w:r w:rsidRPr="000D6436">
        <w:rPr>
          <w:rFonts w:ascii="Titillium Web" w:eastAsia="Times New Roman" w:hAnsi="Titillium Web" w:cs="Times New Roman"/>
          <w:b/>
          <w:bCs/>
          <w:color w:val="000000"/>
          <w:kern w:val="0"/>
          <w:sz w:val="24"/>
          <w:szCs w:val="24"/>
          <w:lang w:eastAsia="es-UY"/>
          <w14:ligatures w14:val="none"/>
        </w:rPr>
        <w:t>Después de 7 años el fallo dice no haber fundamentos y declara prescrito el proceso</w:t>
      </w:r>
    </w:p>
    <w:p w14:paraId="65C1D920" w14:textId="77777777" w:rsidR="000D6436" w:rsidRPr="000D6436" w:rsidRDefault="000D6436" w:rsidP="003402B0">
      <w:pPr>
        <w:numPr>
          <w:ilvl w:val="0"/>
          <w:numId w:val="1"/>
        </w:numPr>
        <w:spacing w:after="0" w:line="240" w:lineRule="auto"/>
        <w:jc w:val="both"/>
        <w:textAlignment w:val="baseline"/>
        <w:outlineLvl w:val="1"/>
        <w:rPr>
          <w:rFonts w:ascii="Titillium Web" w:eastAsia="Times New Roman" w:hAnsi="Titillium Web" w:cs="Times New Roman"/>
          <w:b/>
          <w:bCs/>
          <w:color w:val="000000"/>
          <w:kern w:val="0"/>
          <w:sz w:val="24"/>
          <w:szCs w:val="24"/>
          <w:lang w:eastAsia="es-UY"/>
          <w14:ligatures w14:val="none"/>
        </w:rPr>
      </w:pPr>
      <w:r w:rsidRPr="000D6436">
        <w:rPr>
          <w:rFonts w:ascii="Titillium Web" w:eastAsia="Times New Roman" w:hAnsi="Titillium Web" w:cs="Times New Roman"/>
          <w:b/>
          <w:bCs/>
          <w:color w:val="000000"/>
          <w:kern w:val="0"/>
          <w:sz w:val="24"/>
          <w:szCs w:val="24"/>
          <w:lang w:eastAsia="es-UY"/>
          <w14:ligatures w14:val="none"/>
        </w:rPr>
        <w:t>En septiembre de 2018, el papa Francisco ordenó la dimisión del estado clerical de quien fue vicario de la Solidaridad en la década de los 70</w:t>
      </w:r>
    </w:p>
    <w:p w14:paraId="58B38E2B" w14:textId="77777777" w:rsidR="000D6436" w:rsidRPr="000D6436" w:rsidRDefault="000D6436" w:rsidP="003402B0">
      <w:pPr>
        <w:spacing w:line="240" w:lineRule="auto"/>
        <w:jc w:val="both"/>
        <w:textAlignment w:val="baseline"/>
        <w:rPr>
          <w:rFonts w:ascii="Titillium Web" w:eastAsia="Times New Roman" w:hAnsi="Titillium Web" w:cs="Times New Roman"/>
          <w:color w:val="000000"/>
          <w:kern w:val="0"/>
          <w:sz w:val="24"/>
          <w:szCs w:val="24"/>
          <w:lang w:eastAsia="es-UY"/>
          <w14:ligatures w14:val="none"/>
        </w:rPr>
      </w:pPr>
      <w:r w:rsidRPr="000D6436">
        <w:rPr>
          <w:rFonts w:ascii="Titillium Web" w:eastAsia="Times New Roman" w:hAnsi="Titillium Web" w:cs="Times New Roman"/>
          <w:noProof/>
          <w:color w:val="000000"/>
          <w:kern w:val="0"/>
          <w:sz w:val="24"/>
          <w:szCs w:val="24"/>
          <w:lang w:eastAsia="es-UY"/>
          <w14:ligatures w14:val="none"/>
        </w:rPr>
        <w:drawing>
          <wp:inline distT="0" distB="0" distL="0" distR="0" wp14:anchorId="4A168477" wp14:editId="398D8DE5">
            <wp:extent cx="5702300" cy="2695921"/>
            <wp:effectExtent l="0" t="0" r="0" b="9525"/>
            <wp:docPr id="2" name="Imagen 1" descr="La Justicia chilena declara sobreseído el proceso por abusos a ex sacerdote Cristián P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Justicia chilena declara sobreseído el proceso por abusos a ex sacerdote Cristián Prech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8331" cy="2698772"/>
                    </a:xfrm>
                    <a:prstGeom prst="rect">
                      <a:avLst/>
                    </a:prstGeom>
                    <a:noFill/>
                    <a:ln>
                      <a:noFill/>
                    </a:ln>
                  </pic:spPr>
                </pic:pic>
              </a:graphicData>
            </a:graphic>
          </wp:inline>
        </w:drawing>
      </w:r>
    </w:p>
    <w:p w14:paraId="7B61F6E3" w14:textId="06894CBB" w:rsidR="000D6436" w:rsidRPr="000D6436" w:rsidRDefault="000D6436" w:rsidP="003402B0">
      <w:pPr>
        <w:spacing w:after="0" w:line="240" w:lineRule="auto"/>
        <w:jc w:val="both"/>
        <w:textAlignment w:val="baseline"/>
        <w:rPr>
          <w:rFonts w:ascii="Titillium Web" w:eastAsia="Times New Roman" w:hAnsi="Titillium Web" w:cs="Times New Roman"/>
          <w:color w:val="000000"/>
          <w:kern w:val="0"/>
          <w:sz w:val="24"/>
          <w:szCs w:val="24"/>
          <w:lang w:eastAsia="es-UY"/>
          <w14:ligatures w14:val="none"/>
        </w:rPr>
      </w:pPr>
      <w:r w:rsidRPr="000D6436">
        <w:rPr>
          <w:rFonts w:ascii="Titillium Web" w:eastAsia="Times New Roman" w:hAnsi="Titillium Web" w:cs="Times New Roman"/>
          <w:color w:val="000000"/>
          <w:kern w:val="0"/>
          <w:sz w:val="24"/>
          <w:szCs w:val="24"/>
          <w:lang w:eastAsia="es-UY"/>
          <w14:ligatures w14:val="none"/>
        </w:rPr>
        <w:br/>
      </w:r>
    </w:p>
    <w:p w14:paraId="7849588C" w14:textId="77777777" w:rsidR="000D6436" w:rsidRPr="000D6436" w:rsidRDefault="000D6436" w:rsidP="003402B0">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0D6436">
        <w:rPr>
          <w:rFonts w:ascii="Titillium Web" w:eastAsia="Times New Roman" w:hAnsi="Titillium Web" w:cs="Times New Roman"/>
          <w:color w:val="000000"/>
          <w:kern w:val="0"/>
          <w:sz w:val="27"/>
          <w:szCs w:val="27"/>
          <w:lang w:eastAsia="es-UY"/>
          <w14:ligatures w14:val="none"/>
        </w:rPr>
        <w:t>La Corte de Apelaciones de Santiago </w:t>
      </w:r>
      <w:r w:rsidRPr="000D6436">
        <w:rPr>
          <w:rFonts w:ascii="Titillium Web" w:eastAsia="Times New Roman" w:hAnsi="Titillium Web" w:cs="Times New Roman"/>
          <w:b/>
          <w:bCs/>
          <w:color w:val="535353"/>
          <w:kern w:val="0"/>
          <w:sz w:val="24"/>
          <w:szCs w:val="24"/>
          <w:bdr w:val="none" w:sz="0" w:space="0" w:color="auto" w:frame="1"/>
          <w:lang w:eastAsia="es-UY"/>
          <w14:ligatures w14:val="none"/>
        </w:rPr>
        <w:t>declaró sobreseída la causa judicial</w:t>
      </w:r>
      <w:r w:rsidRPr="000D6436">
        <w:rPr>
          <w:rFonts w:ascii="Titillium Web" w:eastAsia="Times New Roman" w:hAnsi="Titillium Web" w:cs="Times New Roman"/>
          <w:color w:val="000000"/>
          <w:kern w:val="0"/>
          <w:sz w:val="27"/>
          <w:szCs w:val="27"/>
          <w:lang w:eastAsia="es-UY"/>
          <w14:ligatures w14:val="none"/>
        </w:rPr>
        <w:t> iniciada en 2018 contra </w:t>
      </w:r>
      <w:r w:rsidRPr="000D6436">
        <w:rPr>
          <w:rFonts w:ascii="Titillium Web" w:eastAsia="Times New Roman" w:hAnsi="Titillium Web" w:cs="Times New Roman"/>
          <w:b/>
          <w:bCs/>
          <w:color w:val="535353"/>
          <w:kern w:val="0"/>
          <w:sz w:val="24"/>
          <w:szCs w:val="24"/>
          <w:bdr w:val="none" w:sz="0" w:space="0" w:color="auto" w:frame="1"/>
          <w:lang w:eastAsia="es-UY"/>
          <w14:ligatures w14:val="none"/>
        </w:rPr>
        <w:t xml:space="preserve">Cristián </w:t>
      </w:r>
      <w:proofErr w:type="spellStart"/>
      <w:r w:rsidRPr="000D6436">
        <w:rPr>
          <w:rFonts w:ascii="Titillium Web" w:eastAsia="Times New Roman" w:hAnsi="Titillium Web" w:cs="Times New Roman"/>
          <w:b/>
          <w:bCs/>
          <w:color w:val="535353"/>
          <w:kern w:val="0"/>
          <w:sz w:val="24"/>
          <w:szCs w:val="24"/>
          <w:bdr w:val="none" w:sz="0" w:space="0" w:color="auto" w:frame="1"/>
          <w:lang w:eastAsia="es-UY"/>
          <w14:ligatures w14:val="none"/>
        </w:rPr>
        <w:t>Precht</w:t>
      </w:r>
      <w:proofErr w:type="spellEnd"/>
      <w:r w:rsidRPr="000D6436">
        <w:rPr>
          <w:rFonts w:ascii="Titillium Web" w:eastAsia="Times New Roman" w:hAnsi="Titillium Web" w:cs="Times New Roman"/>
          <w:b/>
          <w:bCs/>
          <w:color w:val="535353"/>
          <w:kern w:val="0"/>
          <w:sz w:val="24"/>
          <w:szCs w:val="24"/>
          <w:bdr w:val="none" w:sz="0" w:space="0" w:color="auto" w:frame="1"/>
          <w:lang w:eastAsia="es-UY"/>
          <w14:ligatures w14:val="none"/>
        </w:rPr>
        <w:t xml:space="preserve"> Bañados</w:t>
      </w:r>
      <w:r w:rsidRPr="000D6436">
        <w:rPr>
          <w:rFonts w:ascii="Titillium Web" w:eastAsia="Times New Roman" w:hAnsi="Titillium Web" w:cs="Times New Roman"/>
          <w:color w:val="000000"/>
          <w:kern w:val="0"/>
          <w:sz w:val="27"/>
          <w:szCs w:val="27"/>
          <w:lang w:eastAsia="es-UY"/>
          <w14:ligatures w14:val="none"/>
        </w:rPr>
        <w:t>, ex vicario de la Solidaridad del </w:t>
      </w:r>
      <w:hyperlink r:id="rId7" w:history="1">
        <w:r w:rsidRPr="000D6436">
          <w:rPr>
            <w:rFonts w:ascii="Titillium Web" w:eastAsia="Times New Roman" w:hAnsi="Titillium Web" w:cs="Times New Roman"/>
            <w:color w:val="E00109"/>
            <w:kern w:val="0"/>
            <w:sz w:val="27"/>
            <w:szCs w:val="27"/>
            <w:u w:val="single"/>
            <w:lang w:eastAsia="es-UY"/>
            <w14:ligatures w14:val="none"/>
          </w:rPr>
          <w:t>Arzobispado de Santiago</w:t>
        </w:r>
      </w:hyperlink>
      <w:r w:rsidRPr="000D6436">
        <w:rPr>
          <w:rFonts w:ascii="Titillium Web" w:eastAsia="Times New Roman" w:hAnsi="Titillium Web" w:cs="Times New Roman"/>
          <w:color w:val="000000"/>
          <w:kern w:val="0"/>
          <w:sz w:val="27"/>
          <w:szCs w:val="27"/>
          <w:lang w:eastAsia="es-UY"/>
          <w14:ligatures w14:val="none"/>
        </w:rPr>
        <w:t> quien fue reducido a la condición laical por el papa Francisco en septiembre de ese año.</w:t>
      </w:r>
    </w:p>
    <w:p w14:paraId="6E5AE925" w14:textId="77777777" w:rsidR="000D6436" w:rsidRPr="000D6436" w:rsidRDefault="000D6436" w:rsidP="003402B0">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0D6436">
        <w:rPr>
          <w:rFonts w:ascii="Titillium Web" w:eastAsia="Times New Roman" w:hAnsi="Titillium Web" w:cs="Times New Roman"/>
          <w:color w:val="000000"/>
          <w:kern w:val="0"/>
          <w:sz w:val="27"/>
          <w:szCs w:val="27"/>
          <w:lang w:eastAsia="es-UY"/>
          <w14:ligatures w14:val="none"/>
        </w:rPr>
        <w:lastRenderedPageBreak/>
        <w:t>El tribunal determinó que se había </w:t>
      </w:r>
      <w:r w:rsidRPr="000D6436">
        <w:rPr>
          <w:rFonts w:ascii="Titillium Web" w:eastAsia="Times New Roman" w:hAnsi="Titillium Web" w:cs="Times New Roman"/>
          <w:b/>
          <w:bCs/>
          <w:color w:val="535353"/>
          <w:kern w:val="0"/>
          <w:sz w:val="24"/>
          <w:szCs w:val="24"/>
          <w:bdr w:val="none" w:sz="0" w:space="0" w:color="auto" w:frame="1"/>
          <w:lang w:eastAsia="es-UY"/>
          <w14:ligatures w14:val="none"/>
        </w:rPr>
        <w:t xml:space="preserve">“superado con creces, en lo que a él respecta, el tiempo de prescripción de la acción penal de los </w:t>
      </w:r>
      <w:proofErr w:type="gramStart"/>
      <w:r w:rsidRPr="000D6436">
        <w:rPr>
          <w:rFonts w:ascii="Titillium Web" w:eastAsia="Times New Roman" w:hAnsi="Titillium Web" w:cs="Times New Roman"/>
          <w:b/>
          <w:bCs/>
          <w:color w:val="535353"/>
          <w:kern w:val="0"/>
          <w:sz w:val="24"/>
          <w:szCs w:val="24"/>
          <w:bdr w:val="none" w:sz="0" w:space="0" w:color="auto" w:frame="1"/>
          <w:lang w:eastAsia="es-UY"/>
          <w14:ligatures w14:val="none"/>
        </w:rPr>
        <w:t>ilícitos objeto</w:t>
      </w:r>
      <w:proofErr w:type="gramEnd"/>
      <w:r w:rsidRPr="000D6436">
        <w:rPr>
          <w:rFonts w:ascii="Titillium Web" w:eastAsia="Times New Roman" w:hAnsi="Titillium Web" w:cs="Times New Roman"/>
          <w:b/>
          <w:bCs/>
          <w:color w:val="535353"/>
          <w:kern w:val="0"/>
          <w:sz w:val="24"/>
          <w:szCs w:val="24"/>
          <w:bdr w:val="none" w:sz="0" w:space="0" w:color="auto" w:frame="1"/>
          <w:lang w:eastAsia="es-UY"/>
          <w14:ligatures w14:val="none"/>
        </w:rPr>
        <w:t xml:space="preserve"> de las querellas”</w:t>
      </w:r>
      <w:r w:rsidRPr="000D6436">
        <w:rPr>
          <w:rFonts w:ascii="Titillium Web" w:eastAsia="Times New Roman" w:hAnsi="Titillium Web" w:cs="Times New Roman"/>
          <w:color w:val="000000"/>
          <w:kern w:val="0"/>
          <w:sz w:val="27"/>
          <w:szCs w:val="27"/>
          <w:lang w:eastAsia="es-UY"/>
          <w14:ligatures w14:val="none"/>
        </w:rPr>
        <w:t> y decidió sobreseer “definitiva y parcialmente este procedimiento” por no haber diligencias ni antecedentes pendientes. El acusado nunca estuvo con medidas cautelares durante el proceso.</w:t>
      </w:r>
    </w:p>
    <w:p w14:paraId="30AF1D77" w14:textId="77777777" w:rsidR="000D6436" w:rsidRPr="000D6436" w:rsidRDefault="000D6436" w:rsidP="003402B0">
      <w:pPr>
        <w:spacing w:after="0" w:line="240" w:lineRule="auto"/>
        <w:jc w:val="both"/>
        <w:textAlignment w:val="baseline"/>
        <w:outlineLvl w:val="2"/>
        <w:rPr>
          <w:rFonts w:ascii="Titillium Web" w:eastAsia="Times New Roman" w:hAnsi="Titillium Web" w:cs="Times New Roman"/>
          <w:color w:val="E00109"/>
          <w:kern w:val="0"/>
          <w:sz w:val="36"/>
          <w:szCs w:val="36"/>
          <w:lang w:eastAsia="es-UY"/>
          <w14:ligatures w14:val="none"/>
        </w:rPr>
      </w:pPr>
      <w:r w:rsidRPr="000D6436">
        <w:rPr>
          <w:rFonts w:ascii="Titillium Web" w:eastAsia="Times New Roman" w:hAnsi="Titillium Web" w:cs="Times New Roman"/>
          <w:b/>
          <w:bCs/>
          <w:color w:val="E00109"/>
          <w:kern w:val="0"/>
          <w:sz w:val="36"/>
          <w:szCs w:val="36"/>
          <w:bdr w:val="none" w:sz="0" w:space="0" w:color="auto" w:frame="1"/>
          <w:lang w:eastAsia="es-UY"/>
          <w14:ligatures w14:val="none"/>
        </w:rPr>
        <w:t>Denuncias por abusos</w:t>
      </w:r>
    </w:p>
    <w:p w14:paraId="490A1CCC" w14:textId="77777777" w:rsidR="000D6436" w:rsidRPr="000D6436" w:rsidRDefault="000D6436" w:rsidP="003402B0">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proofErr w:type="spellStart"/>
      <w:r w:rsidRPr="000D6436">
        <w:rPr>
          <w:rFonts w:ascii="Titillium Web" w:eastAsia="Times New Roman" w:hAnsi="Titillium Web" w:cs="Times New Roman"/>
          <w:b/>
          <w:bCs/>
          <w:color w:val="535353"/>
          <w:kern w:val="0"/>
          <w:sz w:val="24"/>
          <w:szCs w:val="24"/>
          <w:bdr w:val="none" w:sz="0" w:space="0" w:color="auto" w:frame="1"/>
          <w:lang w:eastAsia="es-UY"/>
          <w14:ligatures w14:val="none"/>
        </w:rPr>
        <w:t>Precht</w:t>
      </w:r>
      <w:proofErr w:type="spellEnd"/>
      <w:r w:rsidRPr="000D6436">
        <w:rPr>
          <w:rFonts w:ascii="Titillium Web" w:eastAsia="Times New Roman" w:hAnsi="Titillium Web" w:cs="Times New Roman"/>
          <w:b/>
          <w:bCs/>
          <w:color w:val="535353"/>
          <w:kern w:val="0"/>
          <w:sz w:val="24"/>
          <w:szCs w:val="24"/>
          <w:bdr w:val="none" w:sz="0" w:space="0" w:color="auto" w:frame="1"/>
          <w:lang w:eastAsia="es-UY"/>
          <w14:ligatures w14:val="none"/>
        </w:rPr>
        <w:t xml:space="preserve"> era acusado de </w:t>
      </w:r>
      <w:hyperlink r:id="rId8" w:history="1">
        <w:r w:rsidRPr="000D6436">
          <w:rPr>
            <w:rFonts w:ascii="Titillium Web" w:eastAsia="Times New Roman" w:hAnsi="Titillium Web" w:cs="Times New Roman"/>
            <w:b/>
            <w:bCs/>
            <w:color w:val="E00109"/>
            <w:kern w:val="0"/>
            <w:sz w:val="27"/>
            <w:szCs w:val="27"/>
            <w:u w:val="single"/>
            <w:bdr w:val="none" w:sz="0" w:space="0" w:color="auto" w:frame="1"/>
            <w:lang w:eastAsia="es-UY"/>
            <w14:ligatures w14:val="none"/>
          </w:rPr>
          <w:t>delitos de connotación sexual</w:t>
        </w:r>
      </w:hyperlink>
      <w:r w:rsidRPr="000D6436">
        <w:rPr>
          <w:rFonts w:ascii="Titillium Web" w:eastAsia="Times New Roman" w:hAnsi="Titillium Web" w:cs="Times New Roman"/>
          <w:b/>
          <w:bCs/>
          <w:color w:val="535353"/>
          <w:kern w:val="0"/>
          <w:sz w:val="24"/>
          <w:szCs w:val="24"/>
          <w:bdr w:val="none" w:sz="0" w:space="0" w:color="auto" w:frame="1"/>
          <w:lang w:eastAsia="es-UY"/>
          <w14:ligatures w14:val="none"/>
        </w:rPr>
        <w:t> en contra de menores en 1979 y 1987.</w:t>
      </w:r>
      <w:r w:rsidRPr="000D6436">
        <w:rPr>
          <w:rFonts w:ascii="Titillium Web" w:eastAsia="Times New Roman" w:hAnsi="Titillium Web" w:cs="Times New Roman"/>
          <w:color w:val="000000"/>
          <w:kern w:val="0"/>
          <w:sz w:val="27"/>
          <w:szCs w:val="27"/>
          <w:lang w:eastAsia="es-UY"/>
          <w14:ligatures w14:val="none"/>
        </w:rPr>
        <w:t xml:space="preserve"> Una primera denuncia en 2011 motivó que el Vaticano lo suspendiera por 5 años del ejercicio sacerdotal. En 2018 las acusaciones por abusos contra integrantes del clero tuvieron fuerte repercusión en el país, motivando la intervención del Papa y la renuncia de todos los obispos chilenos. En ese ambiente, nuevas acusaciones contra </w:t>
      </w:r>
      <w:proofErr w:type="spellStart"/>
      <w:r w:rsidRPr="000D6436">
        <w:rPr>
          <w:rFonts w:ascii="Titillium Web" w:eastAsia="Times New Roman" w:hAnsi="Titillium Web" w:cs="Times New Roman"/>
          <w:color w:val="000000"/>
          <w:kern w:val="0"/>
          <w:sz w:val="27"/>
          <w:szCs w:val="27"/>
          <w:lang w:eastAsia="es-UY"/>
          <w14:ligatures w14:val="none"/>
        </w:rPr>
        <w:t>Precht</w:t>
      </w:r>
      <w:proofErr w:type="spellEnd"/>
      <w:r w:rsidRPr="000D6436">
        <w:rPr>
          <w:rFonts w:ascii="Titillium Web" w:eastAsia="Times New Roman" w:hAnsi="Titillium Web" w:cs="Times New Roman"/>
          <w:color w:val="000000"/>
          <w:kern w:val="0"/>
          <w:sz w:val="27"/>
          <w:szCs w:val="27"/>
          <w:lang w:eastAsia="es-UY"/>
          <w14:ligatures w14:val="none"/>
        </w:rPr>
        <w:t xml:space="preserve"> abrieron esta nueva causa en los tribunales civiles de Chile y el proceso eclesiástico llevó al Papa a ordenar, de forma inapelable, su reducción a la condición laical.</w:t>
      </w:r>
    </w:p>
    <w:p w14:paraId="23FF8B4A" w14:textId="77777777" w:rsidR="000D6436" w:rsidRPr="000D6436" w:rsidRDefault="000D6436" w:rsidP="003402B0">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0D6436">
        <w:rPr>
          <w:rFonts w:ascii="Titillium Web" w:eastAsia="Times New Roman" w:hAnsi="Titillium Web" w:cs="Times New Roman"/>
          <w:color w:val="000000"/>
          <w:kern w:val="0"/>
          <w:sz w:val="27"/>
          <w:szCs w:val="27"/>
          <w:lang w:eastAsia="es-UY"/>
          <w14:ligatures w14:val="none"/>
        </w:rPr>
        <w:t>Ahora, ante esta resolución su abogado, </w:t>
      </w:r>
      <w:r w:rsidRPr="000D6436">
        <w:rPr>
          <w:rFonts w:ascii="Titillium Web" w:eastAsia="Times New Roman" w:hAnsi="Titillium Web" w:cs="Times New Roman"/>
          <w:b/>
          <w:bCs/>
          <w:color w:val="535353"/>
          <w:kern w:val="0"/>
          <w:sz w:val="24"/>
          <w:szCs w:val="24"/>
          <w:bdr w:val="none" w:sz="0" w:space="0" w:color="auto" w:frame="1"/>
          <w:lang w:eastAsia="es-UY"/>
          <w14:ligatures w14:val="none"/>
        </w:rPr>
        <w:t xml:space="preserve">Luciano </w:t>
      </w:r>
      <w:proofErr w:type="spellStart"/>
      <w:r w:rsidRPr="000D6436">
        <w:rPr>
          <w:rFonts w:ascii="Titillium Web" w:eastAsia="Times New Roman" w:hAnsi="Titillium Web" w:cs="Times New Roman"/>
          <w:b/>
          <w:bCs/>
          <w:color w:val="535353"/>
          <w:kern w:val="0"/>
          <w:sz w:val="24"/>
          <w:szCs w:val="24"/>
          <w:bdr w:val="none" w:sz="0" w:space="0" w:color="auto" w:frame="1"/>
          <w:lang w:eastAsia="es-UY"/>
          <w14:ligatures w14:val="none"/>
        </w:rPr>
        <w:t>Fouillioux</w:t>
      </w:r>
      <w:proofErr w:type="spellEnd"/>
      <w:r w:rsidRPr="000D6436">
        <w:rPr>
          <w:rFonts w:ascii="Titillium Web" w:eastAsia="Times New Roman" w:hAnsi="Titillium Web" w:cs="Times New Roman"/>
          <w:color w:val="000000"/>
          <w:kern w:val="0"/>
          <w:sz w:val="27"/>
          <w:szCs w:val="27"/>
          <w:lang w:eastAsia="es-UY"/>
          <w14:ligatures w14:val="none"/>
        </w:rPr>
        <w:t>, destacó que</w:t>
      </w:r>
      <w:r w:rsidRPr="000D6436">
        <w:rPr>
          <w:rFonts w:ascii="Titillium Web" w:eastAsia="Times New Roman" w:hAnsi="Titillium Web" w:cs="Times New Roman"/>
          <w:b/>
          <w:bCs/>
          <w:color w:val="535353"/>
          <w:kern w:val="0"/>
          <w:sz w:val="24"/>
          <w:szCs w:val="24"/>
          <w:bdr w:val="none" w:sz="0" w:space="0" w:color="auto" w:frame="1"/>
          <w:lang w:eastAsia="es-UY"/>
          <w14:ligatures w14:val="none"/>
        </w:rPr>
        <w:t xml:space="preserve"> se trata “de un buen fallo, que pone remedio final al trato inmisericorde que se le dio por algunas personas a Cristián </w:t>
      </w:r>
      <w:proofErr w:type="spellStart"/>
      <w:r w:rsidRPr="000D6436">
        <w:rPr>
          <w:rFonts w:ascii="Titillium Web" w:eastAsia="Times New Roman" w:hAnsi="Titillium Web" w:cs="Times New Roman"/>
          <w:b/>
          <w:bCs/>
          <w:color w:val="535353"/>
          <w:kern w:val="0"/>
          <w:sz w:val="24"/>
          <w:szCs w:val="24"/>
          <w:bdr w:val="none" w:sz="0" w:space="0" w:color="auto" w:frame="1"/>
          <w:lang w:eastAsia="es-UY"/>
          <w14:ligatures w14:val="none"/>
        </w:rPr>
        <w:t>Precht</w:t>
      </w:r>
      <w:proofErr w:type="spellEnd"/>
      <w:r w:rsidRPr="000D6436">
        <w:rPr>
          <w:rFonts w:ascii="Titillium Web" w:eastAsia="Times New Roman" w:hAnsi="Titillium Web" w:cs="Times New Roman"/>
          <w:color w:val="000000"/>
          <w:kern w:val="0"/>
          <w:sz w:val="27"/>
          <w:szCs w:val="27"/>
          <w:lang w:eastAsia="es-UY"/>
          <w14:ligatures w14:val="none"/>
        </w:rPr>
        <w:t xml:space="preserve"> en los últimos años. Trato </w:t>
      </w:r>
      <w:proofErr w:type="gramStart"/>
      <w:r w:rsidRPr="000D6436">
        <w:rPr>
          <w:rFonts w:ascii="Titillium Web" w:eastAsia="Times New Roman" w:hAnsi="Titillium Web" w:cs="Times New Roman"/>
          <w:color w:val="000000"/>
          <w:kern w:val="0"/>
          <w:sz w:val="27"/>
          <w:szCs w:val="27"/>
          <w:lang w:eastAsia="es-UY"/>
          <w14:ligatures w14:val="none"/>
        </w:rPr>
        <w:t>que</w:t>
      </w:r>
      <w:proofErr w:type="gramEnd"/>
      <w:r w:rsidRPr="000D6436">
        <w:rPr>
          <w:rFonts w:ascii="Titillium Web" w:eastAsia="Times New Roman" w:hAnsi="Titillium Web" w:cs="Times New Roman"/>
          <w:color w:val="000000"/>
          <w:kern w:val="0"/>
          <w:sz w:val="27"/>
          <w:szCs w:val="27"/>
          <w:lang w:eastAsia="es-UY"/>
          <w14:ligatures w14:val="none"/>
        </w:rPr>
        <w:t xml:space="preserve"> no solo no merecía, sino que además, atendida su inocencia de las imputaciones realizadas, siempre cooperó por siete años con la justicia. No hubo delito atribuible en sede judicial al señor Cristián </w:t>
      </w:r>
      <w:proofErr w:type="spellStart"/>
      <w:r w:rsidRPr="000D6436">
        <w:rPr>
          <w:rFonts w:ascii="Titillium Web" w:eastAsia="Times New Roman" w:hAnsi="Titillium Web" w:cs="Times New Roman"/>
          <w:color w:val="000000"/>
          <w:kern w:val="0"/>
          <w:sz w:val="27"/>
          <w:szCs w:val="27"/>
          <w:lang w:eastAsia="es-UY"/>
          <w14:ligatures w14:val="none"/>
        </w:rPr>
        <w:t>Precht</w:t>
      </w:r>
      <w:proofErr w:type="spellEnd"/>
      <w:r w:rsidRPr="000D6436">
        <w:rPr>
          <w:rFonts w:ascii="Titillium Web" w:eastAsia="Times New Roman" w:hAnsi="Titillium Web" w:cs="Times New Roman"/>
          <w:color w:val="000000"/>
          <w:kern w:val="0"/>
          <w:sz w:val="27"/>
          <w:szCs w:val="27"/>
          <w:lang w:eastAsia="es-UY"/>
          <w14:ligatures w14:val="none"/>
        </w:rPr>
        <w:t xml:space="preserve"> Bañados”.</w:t>
      </w:r>
    </w:p>
    <w:p w14:paraId="1D8F4CCF" w14:textId="77777777" w:rsidR="000D6436" w:rsidRPr="000D6436" w:rsidRDefault="000D6436" w:rsidP="003402B0">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0D6436">
        <w:rPr>
          <w:rFonts w:ascii="Titillium Web" w:eastAsia="Times New Roman" w:hAnsi="Titillium Web" w:cs="Times New Roman"/>
          <w:color w:val="000000"/>
          <w:kern w:val="0"/>
          <w:sz w:val="27"/>
          <w:szCs w:val="27"/>
          <w:lang w:eastAsia="es-UY"/>
          <w14:ligatures w14:val="none"/>
        </w:rPr>
        <w:t xml:space="preserve">Esta historia judicial se origina en 2011 con una denuncia de presunto abuso sexual a la que luego se sumaron otras que originaron una investigación de la Arquidiócesis de Santiago y del Vaticano que reconoció “noticias verosímiles de conductas abusivas con mayores y menores de edad” por parte de </w:t>
      </w:r>
      <w:proofErr w:type="spellStart"/>
      <w:r w:rsidRPr="000D6436">
        <w:rPr>
          <w:rFonts w:ascii="Titillium Web" w:eastAsia="Times New Roman" w:hAnsi="Titillium Web" w:cs="Times New Roman"/>
          <w:color w:val="000000"/>
          <w:kern w:val="0"/>
          <w:sz w:val="27"/>
          <w:szCs w:val="27"/>
          <w:lang w:eastAsia="es-UY"/>
          <w14:ligatures w14:val="none"/>
        </w:rPr>
        <w:t>Precht</w:t>
      </w:r>
      <w:proofErr w:type="spellEnd"/>
      <w:r w:rsidRPr="000D6436">
        <w:rPr>
          <w:rFonts w:ascii="Titillium Web" w:eastAsia="Times New Roman" w:hAnsi="Titillium Web" w:cs="Times New Roman"/>
          <w:color w:val="000000"/>
          <w:kern w:val="0"/>
          <w:sz w:val="27"/>
          <w:szCs w:val="27"/>
          <w:lang w:eastAsia="es-UY"/>
          <w14:ligatures w14:val="none"/>
        </w:rPr>
        <w:t xml:space="preserve"> y otros sacerdotes. Esto provocó la suspensión, en 2012, de sus funciones sacerdotales; sanción que se cumplió en diciembre de 2017. </w:t>
      </w:r>
      <w:r w:rsidRPr="000D6436">
        <w:rPr>
          <w:rFonts w:ascii="Titillium Web" w:eastAsia="Times New Roman" w:hAnsi="Titillium Web" w:cs="Times New Roman"/>
          <w:b/>
          <w:bCs/>
          <w:color w:val="535353"/>
          <w:kern w:val="0"/>
          <w:sz w:val="24"/>
          <w:szCs w:val="24"/>
          <w:bdr w:val="none" w:sz="0" w:space="0" w:color="auto" w:frame="1"/>
          <w:lang w:eastAsia="es-UY"/>
          <w14:ligatures w14:val="none"/>
        </w:rPr>
        <w:t>Durante ese tiempo, </w:t>
      </w:r>
      <w:proofErr w:type="spellStart"/>
      <w:r w:rsidRPr="000D6436">
        <w:rPr>
          <w:rFonts w:ascii="Titillium Web" w:eastAsia="Times New Roman" w:hAnsi="Titillium Web" w:cs="Times New Roman"/>
          <w:b/>
          <w:bCs/>
          <w:color w:val="535353"/>
          <w:kern w:val="0"/>
          <w:sz w:val="24"/>
          <w:szCs w:val="24"/>
          <w:bdr w:val="none" w:sz="0" w:space="0" w:color="auto" w:frame="1"/>
          <w:lang w:eastAsia="es-UY"/>
          <w14:ligatures w14:val="none"/>
        </w:rPr>
        <w:t>Precht</w:t>
      </w:r>
      <w:proofErr w:type="spellEnd"/>
      <w:r w:rsidRPr="000D6436">
        <w:rPr>
          <w:rFonts w:ascii="Titillium Web" w:eastAsia="Times New Roman" w:hAnsi="Titillium Web" w:cs="Times New Roman"/>
          <w:b/>
          <w:bCs/>
          <w:color w:val="535353"/>
          <w:kern w:val="0"/>
          <w:sz w:val="24"/>
          <w:szCs w:val="24"/>
          <w:bdr w:val="none" w:sz="0" w:space="0" w:color="auto" w:frame="1"/>
          <w:lang w:eastAsia="es-UY"/>
          <w14:ligatures w14:val="none"/>
        </w:rPr>
        <w:t xml:space="preserve"> siempre protestó su inocencia.</w:t>
      </w:r>
    </w:p>
    <w:p w14:paraId="1D825A26" w14:textId="77777777" w:rsidR="000D6436" w:rsidRPr="000D6436" w:rsidRDefault="000D6436" w:rsidP="003402B0">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0D6436">
        <w:rPr>
          <w:rFonts w:ascii="Titillium Web" w:eastAsia="Times New Roman" w:hAnsi="Titillium Web" w:cs="Times New Roman"/>
          <w:b/>
          <w:bCs/>
          <w:color w:val="535353"/>
          <w:kern w:val="0"/>
          <w:sz w:val="24"/>
          <w:szCs w:val="24"/>
          <w:bdr w:val="none" w:sz="0" w:space="0" w:color="auto" w:frame="1"/>
          <w:lang w:eastAsia="es-UY"/>
          <w14:ligatures w14:val="none"/>
        </w:rPr>
        <w:t>“Incluso la Congregación de la Doctrina de la Fe me liberó de esas acusaciones porque eran inconsistentes.</w:t>
      </w:r>
      <w:r w:rsidRPr="000D6436">
        <w:rPr>
          <w:rFonts w:ascii="Titillium Web" w:eastAsia="Times New Roman" w:hAnsi="Titillium Web" w:cs="Times New Roman"/>
          <w:color w:val="000000"/>
          <w:kern w:val="0"/>
          <w:sz w:val="27"/>
          <w:szCs w:val="27"/>
          <w:lang w:eastAsia="es-UY"/>
          <w14:ligatures w14:val="none"/>
        </w:rPr>
        <w:t> Si hubieran sido de menores, en ese mismo momento salgo del ministerio sacerdotal. Ese fue el único caso eclesiástico” en que estuvo involucrado, nos explica en el Hogar de adultos mayores donde ahora vive.</w:t>
      </w:r>
    </w:p>
    <w:p w14:paraId="2CC91915" w14:textId="77777777" w:rsidR="000D6436" w:rsidRPr="000D6436" w:rsidRDefault="000D6436" w:rsidP="003402B0">
      <w:pPr>
        <w:spacing w:before="300" w:after="75" w:line="240" w:lineRule="auto"/>
        <w:jc w:val="both"/>
        <w:textAlignment w:val="baseline"/>
        <w:outlineLvl w:val="2"/>
        <w:rPr>
          <w:rFonts w:ascii="Titillium Web" w:eastAsia="Times New Roman" w:hAnsi="Titillium Web" w:cs="Times New Roman"/>
          <w:color w:val="E00109"/>
          <w:kern w:val="0"/>
          <w:sz w:val="36"/>
          <w:szCs w:val="36"/>
          <w:lang w:eastAsia="es-UY"/>
          <w14:ligatures w14:val="none"/>
        </w:rPr>
      </w:pPr>
      <w:r w:rsidRPr="000D6436">
        <w:rPr>
          <w:rFonts w:ascii="Titillium Web" w:eastAsia="Times New Roman" w:hAnsi="Titillium Web" w:cs="Times New Roman"/>
          <w:color w:val="E00109"/>
          <w:kern w:val="0"/>
          <w:sz w:val="36"/>
          <w:szCs w:val="36"/>
          <w:lang w:eastAsia="es-UY"/>
          <w14:ligatures w14:val="none"/>
        </w:rPr>
        <w:lastRenderedPageBreak/>
        <w:t>No hay delito</w:t>
      </w:r>
    </w:p>
    <w:p w14:paraId="39D3F3BA" w14:textId="77777777" w:rsidR="000D6436" w:rsidRPr="000D6436" w:rsidRDefault="000D6436" w:rsidP="003402B0">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0D6436">
        <w:rPr>
          <w:rFonts w:ascii="Titillium Web" w:eastAsia="Times New Roman" w:hAnsi="Titillium Web" w:cs="Times New Roman"/>
          <w:color w:val="000000"/>
          <w:kern w:val="0"/>
          <w:sz w:val="27"/>
          <w:szCs w:val="27"/>
          <w:lang w:eastAsia="es-UY"/>
          <w14:ligatures w14:val="none"/>
        </w:rPr>
        <w:t>No oculta su satisfacción por el actual fallo. “Este es un fallo de la Corte de Apelaciones que viene después de 7 años y algunos meses. Lo más importante es que aclara que no hay delito alguno y que el sobreseimiento es por el tiempo transcurrido y también porque no hay delito. Esto último para mí es lo más importante. Yo sabía que no había delito, pero probar la inocencia es lo más difícil que hay.</w:t>
      </w:r>
      <w:r w:rsidRPr="000D6436">
        <w:rPr>
          <w:rFonts w:ascii="Titillium Web" w:eastAsia="Times New Roman" w:hAnsi="Titillium Web" w:cs="Times New Roman"/>
          <w:b/>
          <w:bCs/>
          <w:color w:val="535353"/>
          <w:kern w:val="0"/>
          <w:sz w:val="24"/>
          <w:szCs w:val="24"/>
          <w:bdr w:val="none" w:sz="0" w:space="0" w:color="auto" w:frame="1"/>
          <w:lang w:eastAsia="es-UY"/>
          <w14:ligatures w14:val="none"/>
        </w:rPr>
        <w:t> En Chile, como en la Iglesia, se ha perdido el principio fundamental que nadie es culpable mientras no se demuestre lo contrario.</w:t>
      </w:r>
      <w:r w:rsidRPr="000D6436">
        <w:rPr>
          <w:rFonts w:ascii="Titillium Web" w:eastAsia="Times New Roman" w:hAnsi="Titillium Web" w:cs="Times New Roman"/>
          <w:color w:val="000000"/>
          <w:kern w:val="0"/>
          <w:sz w:val="27"/>
          <w:szCs w:val="27"/>
          <w:lang w:eastAsia="es-UY"/>
          <w14:ligatures w14:val="none"/>
        </w:rPr>
        <w:t xml:space="preserve"> Hoy hay que demostrar la inocencia”, nos afirma </w:t>
      </w:r>
      <w:proofErr w:type="spellStart"/>
      <w:r w:rsidRPr="000D6436">
        <w:rPr>
          <w:rFonts w:ascii="Titillium Web" w:eastAsia="Times New Roman" w:hAnsi="Titillium Web" w:cs="Times New Roman"/>
          <w:color w:val="000000"/>
          <w:kern w:val="0"/>
          <w:sz w:val="27"/>
          <w:szCs w:val="27"/>
          <w:lang w:eastAsia="es-UY"/>
          <w14:ligatures w14:val="none"/>
        </w:rPr>
        <w:t>Precht</w:t>
      </w:r>
      <w:proofErr w:type="spellEnd"/>
      <w:r w:rsidRPr="000D6436">
        <w:rPr>
          <w:rFonts w:ascii="Titillium Web" w:eastAsia="Times New Roman" w:hAnsi="Titillium Web" w:cs="Times New Roman"/>
          <w:color w:val="000000"/>
          <w:kern w:val="0"/>
          <w:sz w:val="27"/>
          <w:szCs w:val="27"/>
          <w:lang w:eastAsia="es-UY"/>
          <w14:ligatures w14:val="none"/>
        </w:rPr>
        <w:t>.</w:t>
      </w:r>
    </w:p>
    <w:p w14:paraId="1339E9C9" w14:textId="77777777" w:rsidR="000D6436" w:rsidRPr="000D6436" w:rsidRDefault="000D6436" w:rsidP="003402B0">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0D6436">
        <w:rPr>
          <w:rFonts w:ascii="Titillium Web" w:eastAsia="Times New Roman" w:hAnsi="Titillium Web" w:cs="Times New Roman"/>
          <w:b/>
          <w:bCs/>
          <w:color w:val="535353"/>
          <w:kern w:val="0"/>
          <w:sz w:val="24"/>
          <w:szCs w:val="24"/>
          <w:bdr w:val="none" w:sz="0" w:space="0" w:color="auto" w:frame="1"/>
          <w:lang w:eastAsia="es-UY"/>
          <w14:ligatures w14:val="none"/>
        </w:rPr>
        <w:t>Le costó aceptar que tenía que defenderse de su Iglesia</w:t>
      </w:r>
      <w:r w:rsidRPr="000D6436">
        <w:rPr>
          <w:rFonts w:ascii="Titillium Web" w:eastAsia="Times New Roman" w:hAnsi="Titillium Web" w:cs="Times New Roman"/>
          <w:color w:val="000000"/>
          <w:kern w:val="0"/>
          <w:sz w:val="27"/>
          <w:szCs w:val="27"/>
          <w:lang w:eastAsia="es-UY"/>
          <w14:ligatures w14:val="none"/>
        </w:rPr>
        <w:t xml:space="preserve"> por lo que no quería tener abogado. Cuando fue necesario buscó en el Tribunal eclesiástico de Santiago y pidió a Raúl Hasbún, quien consideró un privilegio defenderlo, nunca le cobró, trabajó con dedicación, cariño y mucha inteligencia, asegura </w:t>
      </w:r>
      <w:proofErr w:type="spellStart"/>
      <w:r w:rsidRPr="000D6436">
        <w:rPr>
          <w:rFonts w:ascii="Titillium Web" w:eastAsia="Times New Roman" w:hAnsi="Titillium Web" w:cs="Times New Roman"/>
          <w:color w:val="000000"/>
          <w:kern w:val="0"/>
          <w:sz w:val="27"/>
          <w:szCs w:val="27"/>
          <w:lang w:eastAsia="es-UY"/>
          <w14:ligatures w14:val="none"/>
        </w:rPr>
        <w:t>Precht</w:t>
      </w:r>
      <w:proofErr w:type="spellEnd"/>
      <w:r w:rsidRPr="000D6436">
        <w:rPr>
          <w:rFonts w:ascii="Titillium Web" w:eastAsia="Times New Roman" w:hAnsi="Titillium Web" w:cs="Times New Roman"/>
          <w:color w:val="000000"/>
          <w:kern w:val="0"/>
          <w:sz w:val="27"/>
          <w:szCs w:val="27"/>
          <w:lang w:eastAsia="es-UY"/>
          <w14:ligatures w14:val="none"/>
        </w:rPr>
        <w:t>.</w:t>
      </w:r>
    </w:p>
    <w:p w14:paraId="2FCA74E0" w14:textId="77777777" w:rsidR="000D6436" w:rsidRPr="000D6436" w:rsidRDefault="000D6436" w:rsidP="003402B0">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r w:rsidRPr="000D6436">
        <w:rPr>
          <w:rFonts w:ascii="Titillium Web" w:eastAsia="Times New Roman" w:hAnsi="Titillium Web" w:cs="Times New Roman"/>
          <w:color w:val="000000"/>
          <w:kern w:val="0"/>
          <w:sz w:val="27"/>
          <w:szCs w:val="27"/>
          <w:lang w:eastAsia="es-UY"/>
          <w14:ligatures w14:val="none"/>
        </w:rPr>
        <w:t>Es crítico de la aplicación de justicia en la Iglesia. “En todos esos años la justicia eclesiástica se caracterizó por ser ineficiente. Creo que ahora está mejor, pero en ese momento estaban comenzando estos casos y se cometían muchos errores. Desde luego podría haber alegado inexistencia de juicio justo, no lo hice simplemente porque la Congregación de la Fe no contestaba las cartas, uno no sabía lo que ellos habían recibido porque no lo decían. No me permitían leer los documentos, hasta meses después que los reconstituimos, con el padre Hasbún, en base a lo que recordamos de lo que nos leyeron. </w:t>
      </w:r>
      <w:r w:rsidRPr="000D6436">
        <w:rPr>
          <w:rFonts w:ascii="Titillium Web" w:eastAsia="Times New Roman" w:hAnsi="Titillium Web" w:cs="Times New Roman"/>
          <w:b/>
          <w:bCs/>
          <w:color w:val="535353"/>
          <w:kern w:val="0"/>
          <w:sz w:val="24"/>
          <w:szCs w:val="24"/>
          <w:bdr w:val="none" w:sz="0" w:space="0" w:color="auto" w:frame="1"/>
          <w:lang w:eastAsia="es-UY"/>
          <w14:ligatures w14:val="none"/>
        </w:rPr>
        <w:t>Me costó meses saber quiénes me acusaban y cuáles eran las denuncias ¿cómo defenderse sin saber nada de las acusaciones? Era la injusticia eclesiástica.</w:t>
      </w:r>
      <w:r w:rsidRPr="000D6436">
        <w:rPr>
          <w:rFonts w:ascii="Titillium Web" w:eastAsia="Times New Roman" w:hAnsi="Titillium Web" w:cs="Times New Roman"/>
          <w:color w:val="000000"/>
          <w:kern w:val="0"/>
          <w:sz w:val="27"/>
          <w:szCs w:val="27"/>
          <w:lang w:eastAsia="es-UY"/>
          <w14:ligatures w14:val="none"/>
        </w:rPr>
        <w:t> Por eso no quise apelar: ¿a una Congregación de la Fe que no responde? ¿Apelar de qué?”.</w:t>
      </w:r>
    </w:p>
    <w:p w14:paraId="04F27957" w14:textId="77777777" w:rsidR="000D6436" w:rsidRPr="000D6436" w:rsidRDefault="000D6436" w:rsidP="003402B0">
      <w:pPr>
        <w:spacing w:before="300" w:after="75" w:line="240" w:lineRule="auto"/>
        <w:jc w:val="both"/>
        <w:textAlignment w:val="baseline"/>
        <w:outlineLvl w:val="2"/>
        <w:rPr>
          <w:rFonts w:ascii="Titillium Web" w:eastAsia="Times New Roman" w:hAnsi="Titillium Web" w:cs="Times New Roman"/>
          <w:color w:val="E00109"/>
          <w:kern w:val="0"/>
          <w:sz w:val="36"/>
          <w:szCs w:val="36"/>
          <w:lang w:eastAsia="es-UY"/>
          <w14:ligatures w14:val="none"/>
        </w:rPr>
      </w:pPr>
      <w:r w:rsidRPr="000D6436">
        <w:rPr>
          <w:rFonts w:ascii="Titillium Web" w:eastAsia="Times New Roman" w:hAnsi="Titillium Web" w:cs="Times New Roman"/>
          <w:color w:val="E00109"/>
          <w:kern w:val="0"/>
          <w:sz w:val="36"/>
          <w:szCs w:val="36"/>
          <w:lang w:eastAsia="es-UY"/>
          <w14:ligatures w14:val="none"/>
        </w:rPr>
        <w:t>“Voy a apelar”</w:t>
      </w:r>
    </w:p>
    <w:p w14:paraId="6525A86A" w14:textId="77777777" w:rsidR="000D6436" w:rsidRPr="000D6436" w:rsidRDefault="000D6436" w:rsidP="003402B0">
      <w:pPr>
        <w:spacing w:after="450" w:line="240" w:lineRule="auto"/>
        <w:jc w:val="both"/>
        <w:textAlignment w:val="baseline"/>
        <w:rPr>
          <w:rFonts w:ascii="Titillium Web" w:eastAsia="Times New Roman" w:hAnsi="Titillium Web" w:cs="Times New Roman"/>
          <w:color w:val="000000"/>
          <w:kern w:val="0"/>
          <w:sz w:val="27"/>
          <w:szCs w:val="27"/>
          <w:lang w:eastAsia="es-UY"/>
          <w14:ligatures w14:val="none"/>
        </w:rPr>
      </w:pPr>
      <w:proofErr w:type="spellStart"/>
      <w:r w:rsidRPr="000D6436">
        <w:rPr>
          <w:rFonts w:ascii="Titillium Web" w:eastAsia="Times New Roman" w:hAnsi="Titillium Web" w:cs="Times New Roman"/>
          <w:color w:val="000000"/>
          <w:kern w:val="0"/>
          <w:sz w:val="27"/>
          <w:szCs w:val="27"/>
          <w:lang w:eastAsia="es-UY"/>
          <w14:ligatures w14:val="none"/>
        </w:rPr>
        <w:t>Precht</w:t>
      </w:r>
      <w:proofErr w:type="spellEnd"/>
      <w:r w:rsidRPr="000D6436">
        <w:rPr>
          <w:rFonts w:ascii="Titillium Web" w:eastAsia="Times New Roman" w:hAnsi="Titillium Web" w:cs="Times New Roman"/>
          <w:color w:val="000000"/>
          <w:kern w:val="0"/>
          <w:sz w:val="27"/>
          <w:szCs w:val="27"/>
          <w:lang w:eastAsia="es-UY"/>
          <w14:ligatures w14:val="none"/>
        </w:rPr>
        <w:t xml:space="preserve"> hizo sus estudios básicos y medios en el Saint </w:t>
      </w:r>
      <w:proofErr w:type="spellStart"/>
      <w:r w:rsidRPr="000D6436">
        <w:rPr>
          <w:rFonts w:ascii="Titillium Web" w:eastAsia="Times New Roman" w:hAnsi="Titillium Web" w:cs="Times New Roman"/>
          <w:color w:val="000000"/>
          <w:kern w:val="0"/>
          <w:sz w:val="27"/>
          <w:szCs w:val="27"/>
          <w:lang w:eastAsia="es-UY"/>
          <w14:ligatures w14:val="none"/>
        </w:rPr>
        <w:t>George’s</w:t>
      </w:r>
      <w:proofErr w:type="spellEnd"/>
      <w:r w:rsidRPr="000D6436">
        <w:rPr>
          <w:rFonts w:ascii="Titillium Web" w:eastAsia="Times New Roman" w:hAnsi="Titillium Web" w:cs="Times New Roman"/>
          <w:color w:val="000000"/>
          <w:kern w:val="0"/>
          <w:sz w:val="27"/>
          <w:szCs w:val="27"/>
          <w:lang w:eastAsia="es-UY"/>
          <w14:ligatures w14:val="none"/>
        </w:rPr>
        <w:t xml:space="preserve"> </w:t>
      </w:r>
      <w:proofErr w:type="spellStart"/>
      <w:r w:rsidRPr="000D6436">
        <w:rPr>
          <w:rFonts w:ascii="Titillium Web" w:eastAsia="Times New Roman" w:hAnsi="Titillium Web" w:cs="Times New Roman"/>
          <w:color w:val="000000"/>
          <w:kern w:val="0"/>
          <w:sz w:val="27"/>
          <w:szCs w:val="27"/>
          <w:lang w:eastAsia="es-UY"/>
          <w14:ligatures w14:val="none"/>
        </w:rPr>
        <w:t>College</w:t>
      </w:r>
      <w:proofErr w:type="spellEnd"/>
      <w:r w:rsidRPr="000D6436">
        <w:rPr>
          <w:rFonts w:ascii="Titillium Web" w:eastAsia="Times New Roman" w:hAnsi="Titillium Web" w:cs="Times New Roman"/>
          <w:color w:val="000000"/>
          <w:kern w:val="0"/>
          <w:sz w:val="27"/>
          <w:szCs w:val="27"/>
          <w:lang w:eastAsia="es-UY"/>
          <w14:ligatures w14:val="none"/>
        </w:rPr>
        <w:t xml:space="preserve"> de la Congregación de </w:t>
      </w:r>
      <w:proofErr w:type="spellStart"/>
      <w:r w:rsidRPr="000D6436">
        <w:rPr>
          <w:rFonts w:ascii="Titillium Web" w:eastAsia="Times New Roman" w:hAnsi="Titillium Web" w:cs="Times New Roman"/>
          <w:color w:val="000000"/>
          <w:kern w:val="0"/>
          <w:sz w:val="27"/>
          <w:szCs w:val="27"/>
          <w:lang w:eastAsia="es-UY"/>
          <w14:ligatures w14:val="none"/>
        </w:rPr>
        <w:t>Holy</w:t>
      </w:r>
      <w:proofErr w:type="spellEnd"/>
      <w:r w:rsidRPr="000D6436">
        <w:rPr>
          <w:rFonts w:ascii="Titillium Web" w:eastAsia="Times New Roman" w:hAnsi="Titillium Web" w:cs="Times New Roman"/>
          <w:color w:val="000000"/>
          <w:kern w:val="0"/>
          <w:sz w:val="27"/>
          <w:szCs w:val="27"/>
          <w:lang w:eastAsia="es-UY"/>
          <w14:ligatures w14:val="none"/>
        </w:rPr>
        <w:t xml:space="preserve"> Cross. Fue ordenado sacerdote en 1967, año en que obtuvo su Licenciatura en Teología en la Pontificia Universidad Católica de Chile. En 1972 obtuvo la Licenciatura en Sagrada Liturgia del Pontificio Ateneo de San Anselmo. Fue Vicario General de Pastoral, luego Vicario de la Esperanza Joven (pastoral juvenil). Tuvo especial protagonismo público en el </w:t>
      </w:r>
      <w:r w:rsidRPr="000D6436">
        <w:rPr>
          <w:rFonts w:ascii="Titillium Web" w:eastAsia="Times New Roman" w:hAnsi="Titillium Web" w:cs="Times New Roman"/>
          <w:color w:val="000000"/>
          <w:kern w:val="0"/>
          <w:sz w:val="27"/>
          <w:szCs w:val="27"/>
          <w:lang w:eastAsia="es-UY"/>
          <w14:ligatures w14:val="none"/>
        </w:rPr>
        <w:lastRenderedPageBreak/>
        <w:t>país entre 1976 y 1979 como Vicario de la Solidaridad, dirigiendo el organismo de la Iglesia que brindó acogida, apoyo y asistencia a las familias y víctimas de la dictadura militar chilena encabezada por Augusto Pinochet.</w:t>
      </w:r>
    </w:p>
    <w:p w14:paraId="70BAD1FB" w14:textId="77777777" w:rsidR="000D6436" w:rsidRPr="000D6436" w:rsidRDefault="000D6436" w:rsidP="003402B0">
      <w:pPr>
        <w:spacing w:after="0" w:line="240" w:lineRule="auto"/>
        <w:jc w:val="both"/>
        <w:textAlignment w:val="baseline"/>
        <w:rPr>
          <w:rFonts w:ascii="Titillium Web" w:eastAsia="Times New Roman" w:hAnsi="Titillium Web" w:cs="Times New Roman"/>
          <w:color w:val="000000"/>
          <w:kern w:val="0"/>
          <w:sz w:val="27"/>
          <w:szCs w:val="27"/>
          <w:lang w:eastAsia="es-UY"/>
          <w14:ligatures w14:val="none"/>
        </w:rPr>
      </w:pPr>
      <w:proofErr w:type="spellStart"/>
      <w:r w:rsidRPr="000D6436">
        <w:rPr>
          <w:rFonts w:ascii="Titillium Web" w:eastAsia="Times New Roman" w:hAnsi="Titillium Web" w:cs="Times New Roman"/>
          <w:color w:val="000000"/>
          <w:kern w:val="0"/>
          <w:sz w:val="27"/>
          <w:szCs w:val="27"/>
          <w:lang w:eastAsia="es-UY"/>
          <w14:ligatures w14:val="none"/>
        </w:rPr>
        <w:t>Precht</w:t>
      </w:r>
      <w:proofErr w:type="spellEnd"/>
      <w:r w:rsidRPr="000D6436">
        <w:rPr>
          <w:rFonts w:ascii="Titillium Web" w:eastAsia="Times New Roman" w:hAnsi="Titillium Web" w:cs="Times New Roman"/>
          <w:color w:val="000000"/>
          <w:kern w:val="0"/>
          <w:sz w:val="27"/>
          <w:szCs w:val="27"/>
          <w:lang w:eastAsia="es-UY"/>
          <w14:ligatures w14:val="none"/>
        </w:rPr>
        <w:t xml:space="preserve"> sigue sintiéndose sacerdote. </w:t>
      </w:r>
      <w:r w:rsidRPr="000D6436">
        <w:rPr>
          <w:rFonts w:ascii="Titillium Web" w:eastAsia="Times New Roman" w:hAnsi="Titillium Web" w:cs="Times New Roman"/>
          <w:b/>
          <w:bCs/>
          <w:color w:val="535353"/>
          <w:kern w:val="0"/>
          <w:sz w:val="24"/>
          <w:szCs w:val="24"/>
          <w:bdr w:val="none" w:sz="0" w:space="0" w:color="auto" w:frame="1"/>
          <w:lang w:eastAsia="es-UY"/>
          <w14:ligatures w14:val="none"/>
        </w:rPr>
        <w:t>Con este fallo ha tomado la decisión de apelar su dimisión al estado laical.</w:t>
      </w:r>
      <w:r w:rsidRPr="000D6436">
        <w:rPr>
          <w:rFonts w:ascii="Titillium Web" w:eastAsia="Times New Roman" w:hAnsi="Titillium Web" w:cs="Times New Roman"/>
          <w:color w:val="000000"/>
          <w:kern w:val="0"/>
          <w:sz w:val="27"/>
          <w:szCs w:val="27"/>
          <w:lang w:eastAsia="es-UY"/>
          <w14:ligatures w14:val="none"/>
        </w:rPr>
        <w:t> “Aunque el documento que me ‘asciende’ al estado laical dice que es inapelable, voy a apelar porque es posible hacerlo. No tengo inconveniente en que investiguen, pero veo posible volver al ministerio para ejercerlo, por vocación y por justicia. Quisiera atender principalmente en este Hogar donde vivo. Por mi edad no es mucho más lo que pueda hacer”.</w:t>
      </w:r>
    </w:p>
    <w:p w14:paraId="30134829" w14:textId="77777777" w:rsidR="00926044" w:rsidRDefault="00926044"/>
    <w:p w14:paraId="38FB5B29" w14:textId="0EA71CA2" w:rsidR="003402B0" w:rsidRDefault="003402B0">
      <w:hyperlink r:id="rId9" w:history="1">
        <w:r w:rsidRPr="0020624A">
          <w:rPr>
            <w:rStyle w:val="Hipervnculo"/>
          </w:rPr>
          <w:t>https://www.vidanuevadigital.com/2025/07/27/la-justicia-chilena-declara-sobreseido-el-proceso-por-abusos-a-ex-sacerdote-cristian-precht/amp/</w:t>
        </w:r>
      </w:hyperlink>
    </w:p>
    <w:p w14:paraId="4B396901" w14:textId="77777777" w:rsidR="003402B0" w:rsidRDefault="003402B0"/>
    <w:sectPr w:rsidR="003402B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Titillium Web">
    <w:charset w:val="00"/>
    <w:family w:val="auto"/>
    <w:pitch w:val="variable"/>
    <w:sig w:usb0="00000007" w:usb1="00000001"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46A13"/>
    <w:multiLevelType w:val="multilevel"/>
    <w:tmpl w:val="69704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713445"/>
    <w:multiLevelType w:val="multilevel"/>
    <w:tmpl w:val="0EC4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0031778">
    <w:abstractNumId w:val="0"/>
  </w:num>
  <w:num w:numId="2" w16cid:durableId="12653116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436"/>
    <w:rsid w:val="000D6436"/>
    <w:rsid w:val="003402B0"/>
    <w:rsid w:val="00864A26"/>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F391C"/>
  <w15:chartTrackingRefBased/>
  <w15:docId w15:val="{F8B4CAC3-B741-43F2-AB15-FD4C7443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D64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D64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D643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D643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D643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D643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D643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D643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D643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643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D643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D643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D643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D643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D643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D643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D643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D6436"/>
    <w:rPr>
      <w:rFonts w:eastAsiaTheme="majorEastAsia" w:cstheme="majorBidi"/>
      <w:color w:val="272727" w:themeColor="text1" w:themeTint="D8"/>
    </w:rPr>
  </w:style>
  <w:style w:type="paragraph" w:styleId="Ttulo">
    <w:name w:val="Title"/>
    <w:basedOn w:val="Normal"/>
    <w:next w:val="Normal"/>
    <w:link w:val="TtuloCar"/>
    <w:uiPriority w:val="10"/>
    <w:qFormat/>
    <w:rsid w:val="000D64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D643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D643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D643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D6436"/>
    <w:pPr>
      <w:spacing w:before="160"/>
      <w:jc w:val="center"/>
    </w:pPr>
    <w:rPr>
      <w:i/>
      <w:iCs/>
      <w:color w:val="404040" w:themeColor="text1" w:themeTint="BF"/>
    </w:rPr>
  </w:style>
  <w:style w:type="character" w:customStyle="1" w:styleId="CitaCar">
    <w:name w:val="Cita Car"/>
    <w:basedOn w:val="Fuentedeprrafopredeter"/>
    <w:link w:val="Cita"/>
    <w:uiPriority w:val="29"/>
    <w:rsid w:val="000D6436"/>
    <w:rPr>
      <w:i/>
      <w:iCs/>
      <w:color w:val="404040" w:themeColor="text1" w:themeTint="BF"/>
    </w:rPr>
  </w:style>
  <w:style w:type="paragraph" w:styleId="Prrafodelista">
    <w:name w:val="List Paragraph"/>
    <w:basedOn w:val="Normal"/>
    <w:uiPriority w:val="34"/>
    <w:qFormat/>
    <w:rsid w:val="000D6436"/>
    <w:pPr>
      <w:ind w:left="720"/>
      <w:contextualSpacing/>
    </w:pPr>
  </w:style>
  <w:style w:type="character" w:styleId="nfasisintenso">
    <w:name w:val="Intense Emphasis"/>
    <w:basedOn w:val="Fuentedeprrafopredeter"/>
    <w:uiPriority w:val="21"/>
    <w:qFormat/>
    <w:rsid w:val="000D6436"/>
    <w:rPr>
      <w:i/>
      <w:iCs/>
      <w:color w:val="0F4761" w:themeColor="accent1" w:themeShade="BF"/>
    </w:rPr>
  </w:style>
  <w:style w:type="paragraph" w:styleId="Citadestacada">
    <w:name w:val="Intense Quote"/>
    <w:basedOn w:val="Normal"/>
    <w:next w:val="Normal"/>
    <w:link w:val="CitadestacadaCar"/>
    <w:uiPriority w:val="30"/>
    <w:qFormat/>
    <w:rsid w:val="000D64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D6436"/>
    <w:rPr>
      <w:i/>
      <w:iCs/>
      <w:color w:val="0F4761" w:themeColor="accent1" w:themeShade="BF"/>
    </w:rPr>
  </w:style>
  <w:style w:type="character" w:styleId="Referenciaintensa">
    <w:name w:val="Intense Reference"/>
    <w:basedOn w:val="Fuentedeprrafopredeter"/>
    <w:uiPriority w:val="32"/>
    <w:qFormat/>
    <w:rsid w:val="000D6436"/>
    <w:rPr>
      <w:b/>
      <w:bCs/>
      <w:smallCaps/>
      <w:color w:val="0F4761" w:themeColor="accent1" w:themeShade="BF"/>
      <w:spacing w:val="5"/>
    </w:rPr>
  </w:style>
  <w:style w:type="character" w:styleId="Hipervnculo">
    <w:name w:val="Hyperlink"/>
    <w:basedOn w:val="Fuentedeprrafopredeter"/>
    <w:uiPriority w:val="99"/>
    <w:unhideWhenUsed/>
    <w:rsid w:val="003402B0"/>
    <w:rPr>
      <w:color w:val="467886" w:themeColor="hyperlink"/>
      <w:u w:val="single"/>
    </w:rPr>
  </w:style>
  <w:style w:type="character" w:styleId="Mencinsinresolver">
    <w:name w:val="Unresolved Mention"/>
    <w:basedOn w:val="Fuentedeprrafopredeter"/>
    <w:uiPriority w:val="99"/>
    <w:semiHidden/>
    <w:unhideWhenUsed/>
    <w:rsid w:val="003402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678027">
      <w:bodyDiv w:val="1"/>
      <w:marLeft w:val="0"/>
      <w:marRight w:val="0"/>
      <w:marTop w:val="0"/>
      <w:marBottom w:val="0"/>
      <w:divBdr>
        <w:top w:val="none" w:sz="0" w:space="0" w:color="auto"/>
        <w:left w:val="none" w:sz="0" w:space="0" w:color="auto"/>
        <w:bottom w:val="none" w:sz="0" w:space="0" w:color="auto"/>
        <w:right w:val="none" w:sz="0" w:space="0" w:color="auto"/>
      </w:divBdr>
      <w:divsChild>
        <w:div w:id="333997988">
          <w:marLeft w:val="0"/>
          <w:marRight w:val="0"/>
          <w:marTop w:val="0"/>
          <w:marBottom w:val="0"/>
          <w:divBdr>
            <w:top w:val="none" w:sz="0" w:space="0" w:color="auto"/>
            <w:left w:val="none" w:sz="0" w:space="0" w:color="auto"/>
            <w:bottom w:val="none" w:sz="0" w:space="0" w:color="auto"/>
            <w:right w:val="none" w:sz="0" w:space="0" w:color="auto"/>
          </w:divBdr>
          <w:divsChild>
            <w:div w:id="1937977001">
              <w:marLeft w:val="0"/>
              <w:marRight w:val="0"/>
              <w:marTop w:val="225"/>
              <w:marBottom w:val="225"/>
              <w:divBdr>
                <w:top w:val="none" w:sz="0" w:space="0" w:color="auto"/>
                <w:left w:val="none" w:sz="0" w:space="0" w:color="auto"/>
                <w:bottom w:val="none" w:sz="0" w:space="0" w:color="auto"/>
                <w:right w:val="none" w:sz="0" w:space="0" w:color="auto"/>
              </w:divBdr>
              <w:divsChild>
                <w:div w:id="161069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027295">
          <w:marLeft w:val="0"/>
          <w:marRight w:val="0"/>
          <w:marTop w:val="495"/>
          <w:marBottom w:val="300"/>
          <w:divBdr>
            <w:top w:val="none" w:sz="0" w:space="0" w:color="auto"/>
            <w:left w:val="none" w:sz="0" w:space="0" w:color="auto"/>
            <w:bottom w:val="none" w:sz="0" w:space="0" w:color="auto"/>
            <w:right w:val="none" w:sz="0" w:space="0" w:color="auto"/>
          </w:divBdr>
        </w:div>
        <w:div w:id="1364482306">
          <w:marLeft w:val="0"/>
          <w:marRight w:val="0"/>
          <w:marTop w:val="0"/>
          <w:marBottom w:val="0"/>
          <w:divBdr>
            <w:top w:val="none" w:sz="0" w:space="0" w:color="auto"/>
            <w:left w:val="none" w:sz="0" w:space="0" w:color="auto"/>
            <w:bottom w:val="none" w:sz="0" w:space="0" w:color="auto"/>
            <w:right w:val="none" w:sz="0" w:space="0" w:color="auto"/>
          </w:divBdr>
          <w:divsChild>
            <w:div w:id="1950118842">
              <w:marLeft w:val="0"/>
              <w:marRight w:val="0"/>
              <w:marTop w:val="0"/>
              <w:marBottom w:val="0"/>
              <w:divBdr>
                <w:top w:val="none" w:sz="0" w:space="0" w:color="auto"/>
                <w:left w:val="none" w:sz="0" w:space="0" w:color="auto"/>
                <w:bottom w:val="none" w:sz="0" w:space="0" w:color="auto"/>
                <w:right w:val="none" w:sz="0" w:space="0" w:color="auto"/>
              </w:divBdr>
            </w:div>
          </w:divsChild>
        </w:div>
        <w:div w:id="1378312236">
          <w:marLeft w:val="0"/>
          <w:marRight w:val="0"/>
          <w:marTop w:val="600"/>
          <w:marBottom w:val="0"/>
          <w:divBdr>
            <w:top w:val="none" w:sz="0" w:space="0" w:color="auto"/>
            <w:left w:val="none" w:sz="0" w:space="0" w:color="auto"/>
            <w:bottom w:val="none" w:sz="0" w:space="0" w:color="auto"/>
            <w:right w:val="none" w:sz="0" w:space="0" w:color="auto"/>
          </w:divBdr>
          <w:divsChild>
            <w:div w:id="45184023">
              <w:marLeft w:val="0"/>
              <w:marRight w:val="0"/>
              <w:marTop w:val="0"/>
              <w:marBottom w:val="0"/>
              <w:divBdr>
                <w:top w:val="none" w:sz="0" w:space="0" w:color="auto"/>
                <w:left w:val="none" w:sz="0" w:space="0" w:color="auto"/>
                <w:bottom w:val="none" w:sz="0" w:space="0" w:color="auto"/>
                <w:right w:val="none" w:sz="0" w:space="0" w:color="auto"/>
              </w:divBdr>
              <w:divsChild>
                <w:div w:id="1636597248">
                  <w:marLeft w:val="0"/>
                  <w:marRight w:val="0"/>
                  <w:marTop w:val="0"/>
                  <w:marBottom w:val="0"/>
                  <w:divBdr>
                    <w:top w:val="none" w:sz="0" w:space="0" w:color="auto"/>
                    <w:left w:val="none" w:sz="0" w:space="0" w:color="auto"/>
                    <w:bottom w:val="none" w:sz="0" w:space="0" w:color="auto"/>
                    <w:right w:val="none" w:sz="0" w:space="0" w:color="auto"/>
                  </w:divBdr>
                  <w:divsChild>
                    <w:div w:id="1633828851">
                      <w:marLeft w:val="900"/>
                      <w:marRight w:val="0"/>
                      <w:marTop w:val="0"/>
                      <w:marBottom w:val="0"/>
                      <w:divBdr>
                        <w:top w:val="none" w:sz="0" w:space="0" w:color="auto"/>
                        <w:left w:val="none" w:sz="0" w:space="0" w:color="auto"/>
                        <w:bottom w:val="none" w:sz="0" w:space="0" w:color="auto"/>
                        <w:right w:val="none" w:sz="0" w:space="0" w:color="auto"/>
                      </w:divBdr>
                      <w:divsChild>
                        <w:div w:id="19570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tag/abusos-sexuales-en-la-iglesia/" TargetMode="External"/><Relationship Id="rId3" Type="http://schemas.openxmlformats.org/officeDocument/2006/relationships/settings" Target="settings.xml"/><Relationship Id="rId7" Type="http://schemas.openxmlformats.org/officeDocument/2006/relationships/hyperlink" Target="https://www.vidanuevadigital.com/tag/arzobispado-de-santiag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vidanuevadigital.com/autor/roberto-urbina-avendan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idanuevadigital.com/2025/07/27/la-justicia-chilena-declara-sobreseido-el-proceso-por-abusos-a-ex-sacerdote-cristian-precht/a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972</Words>
  <Characters>5347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2025-08-01T12:14:00Z</dcterms:created>
  <dcterms:modified xsi:type="dcterms:W3CDTF">2025-08-01T12:43:00Z</dcterms:modified>
</cp:coreProperties>
</file>